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D9AE" w14:textId="77777777" w:rsidR="00222749" w:rsidRPr="004E2E10" w:rsidRDefault="00222749" w:rsidP="004E2E10">
      <w:pPr>
        <w:jc w:val="both"/>
        <w:rPr>
          <w:rFonts w:ascii="Times New Roman" w:hAnsi="Times New Roman" w:cs="Times New Roman"/>
          <w:sz w:val="20"/>
          <w:szCs w:val="20"/>
        </w:rPr>
      </w:pPr>
    </w:p>
    <w:p w14:paraId="2C78C3B3" w14:textId="4D0B3828" w:rsidR="003029E9" w:rsidRPr="004E2E10" w:rsidRDefault="00222749" w:rsidP="004E2E10">
      <w:pPr>
        <w:pStyle w:val="Default"/>
        <w:numPr>
          <w:ilvl w:val="0"/>
          <w:numId w:val="2"/>
        </w:numPr>
        <w:ind w:left="0" w:firstLine="0"/>
        <w:jc w:val="both"/>
        <w:rPr>
          <w:sz w:val="20"/>
          <w:szCs w:val="20"/>
        </w:rPr>
      </w:pPr>
      <w:r w:rsidRPr="004E2E10">
        <w:rPr>
          <w:sz w:val="20"/>
          <w:szCs w:val="20"/>
        </w:rPr>
        <w:t xml:space="preserve">PHP Frontend dashboard fejlesztése </w:t>
      </w:r>
    </w:p>
    <w:p w14:paraId="26EF3669" w14:textId="77777777" w:rsidR="003029E9" w:rsidRPr="004E2E10" w:rsidRDefault="003029E9" w:rsidP="004E2E10">
      <w:pPr>
        <w:jc w:val="both"/>
        <w:rPr>
          <w:rFonts w:ascii="Times New Roman" w:hAnsi="Times New Roman" w:cs="Times New Roman"/>
          <w:sz w:val="20"/>
          <w:szCs w:val="20"/>
        </w:rPr>
      </w:pPr>
    </w:p>
    <w:p w14:paraId="3E9BA346" w14:textId="4F29F4AD"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A Központi Kereskedési Terminál (REX_UI_Broker) a platform vizuális központja. Ez egy sötét témájú, üveghatású dizájnnal (glassmorphism) ellátott felület. A felhasználókat elsőként egy forgatható, 3D-s földgömb fogadja, amely vizuálisan jeleníti meg a világ aktív ingatlanpiacait. Ezen a terminálon lehetőség van kontinensek, országok és városok szintjén böngészni a piacokat, miközben az aktuális, összesített ingatlanár-indexek és a 24 órás árváltozások is láthatók. Ha a felhasználó kiválaszt egy adott piacot (például egy kerületet), interaktív grafikonokon (vonal- vagy gyertyadiagram) elemezheti az árak történelmi mozgását. Innen érhető el a Portfólió nézet is, ahol a saját befektetések, a szabad készpénz, valamint a likvid (szabadon kereskedhető) és a lekötött eszközök aránya követhető nyomon. Egy haladó nézet (Heatmap) pedig egy színkódolt, ár alapján súlyozott hőtérképen mutatja be a globális piaci trendeket. Szintén innen nyílik meg a kereskedési panel, ahol a tényleges vételi, eladási vagy lekötési (vault) szimulációk történnek.</w:t>
      </w:r>
    </w:p>
    <w:p w14:paraId="73D38427" w14:textId="5207968F"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Ha valaki nem befektetni, hanem a saját ingatlanját szeretné bevinni a rendszerbe, az Ingatlan-Digitalizációs Űrlappal (REX_UI_Questionnaire) találkozik. Ez a felület eltér a tőzsdei termináltól: egy elegáns, "pergamen" hatású dizájnt kapott, hogy egy komoly jogi dokumentum kitöltésének érzetét keltse. Ez egy többlépcsős kérdőív, folyamatjelző sávval. A felhasználónak hét különböző szakaszban kell adatokat megadnia: kezdve a jogi nyilatkozatok elfogadásával, majd a személyes és lokációs adatok megadásával. Ezt követik a konkrét ingatlanadatok (például méret, szobák száma, tető állapota, fűtés típusa), a pénzügyi mutatók (van-e hitel a házon, mennyi az adó), és a kockázati tényezők (például klímakockázati zóna vagy függőben lévő perek). A folyamat végén a felhasználó feltölti a tulajdont igazoló dokumentumokat (pl. tulajdoni lap), és megadja, hogy az ingatlan értékének hány százalékát kívánja digitalizálni. Az űrlap valós időben jelzi, ha egy kötelező mező kimaradt, vagy ha egy válasz (például a haszonélvezeti jog) további adatokat tesz szükségessé.</w:t>
      </w:r>
    </w:p>
    <w:p w14:paraId="1481B033" w14:textId="7F51A2CF"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A platform működésének megértését segíti a Piaci Likviditás Szimulátor (REX_UI_AMM). Ez a vizuális dashboard bemutatja, hogyan alakulnak az árak a színfalak mögött. A felhasználó itt láthatja a piaci "medence" (pool) állapotát: grafikus százaléksávok mutatják az elérhető ingatlanrészvények és a mögöttük álló készpénz arányát. Ez egy interaktív tesztkörnyezet, ahol a felhasználó szimulált vételi és eladási parancsokat adhat meg (akár dollárban, akár részvényszámban). Egy dinamikus pontdiagram (a "kötési görbe") valós időben, vizuálisan jeleníti meg, ahogy a tranzakció hatására a piaci egyensúly és az árfolyam elmozdul. A felületen egy tranzakciós napló is fut, amely rögzíti ezeket a lépéseket, és pontosan levezeti, hogy a tranzakció mérete hogyan befolyásolta a végrehajtási árat.</w:t>
      </w:r>
    </w:p>
    <w:p w14:paraId="4E515AE2" w14:textId="44BFCB84"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Végül, a színfalak mögötti működtetéshez készült az Adminisztrációs Vezérlőpult (REX_UI_master_control). Ez a dashboard a rendszergazdák munkaállomása, egy letisztult, adatközpontú felület. Legfőbb vizuális elemei az élő statisztikai jelvények, amelyek folyamatosan mutatják a rendszerben lévő felhasználók, a regisztrált publikus ingatlanok és a titkosított privát dokumentumok pontos számát. A felület lényege a beviteli mezőkben és a vezérlőgombokban rejlik: az adminisztrátorok itt tudnak tömeges adatgenerálást indítani. Megadhatják például, hogy a rendszer generáljon azonnal több száz fiktív felhasználót és hozzájuk tartozó ingatlant, hogy a tőzsdei terminál grafikonjai és térképei adatokkal töltődjenek fel. A felület a folyamat végén egyértelmű, színkódolt üzenetekkel tájékoztat a művelet sikerességéről vagy esetleges hibáiról.</w:t>
      </w:r>
    </w:p>
    <w:p w14:paraId="19513CA6" w14:textId="77777777" w:rsidR="000505CA" w:rsidRPr="000505CA" w:rsidRDefault="000505CA" w:rsidP="004E2E10">
      <w:pPr>
        <w:jc w:val="both"/>
        <w:rPr>
          <w:rFonts w:ascii="Times New Roman" w:hAnsi="Times New Roman" w:cs="Times New Roman"/>
          <w:sz w:val="20"/>
          <w:szCs w:val="20"/>
        </w:rPr>
      </w:pPr>
      <w:r w:rsidRPr="000505CA">
        <w:rPr>
          <w:rFonts w:ascii="Times New Roman" w:hAnsi="Times New Roman" w:cs="Times New Roman"/>
          <w:sz w:val="20"/>
          <w:szCs w:val="20"/>
        </w:rPr>
        <w:t xml:space="preserve">A teljes platform szilárd, láthatatlan gerincét az Adatbázis Kezelő Modul (REX_DB_handler) biztosítja. Ez a kód felelős a strukturált adattároló felépítéséért és szigorú védelméért. A tervezésnél a maximális adatbiztonság és a jogi megfelelőség volt a fő szempont, ezért az információkat szigorúan szegmentált táblákba rendezi. A központi felhasználói tábla kezeli a befektetői és tulajdonosi profilokat, beleértve a jogosultságokat és a hivatalos ügyfél-átvilágítási (KYC) státuszokat. A legfontosabb architekturális döntés az ingatlanadatok fizikai kettéválasztása: a publikus piaci tábla kizárólag a tőzsdei terminál számára szükséges, a befektetési döntéseket támogató fizikai és pénzügyi mutatókat (például várható hozam, tető kora, tartozások) tárolja. Ezzel szemben a szigorúan bizalmas, szenzitív jogi dokumentumok, pontos utcacímek és tulajdoni lapok egy dedikált, a nyilvánosság elől elzárt kompliance táblába kerülnek. A modul tartalmaz továbbá egy automatizált biztonsági takarító (cleanup) funkciót </w:t>
      </w:r>
      <w:r w:rsidRPr="000505CA">
        <w:rPr>
          <w:rFonts w:ascii="Times New Roman" w:hAnsi="Times New Roman" w:cs="Times New Roman"/>
          <w:sz w:val="20"/>
          <w:szCs w:val="20"/>
        </w:rPr>
        <w:lastRenderedPageBreak/>
        <w:t>is, amely azonnal töröl minden olyan táblát a rendszerből, amely nem szerepel a hivatalosan engedélyezett fehérlistán, így akadályozva meg az illetéktelen adatszerkezet-módosításokat.</w:t>
      </w:r>
    </w:p>
    <w:p w14:paraId="5C907B0E" w14:textId="77777777" w:rsidR="000505CA" w:rsidRPr="000505CA" w:rsidRDefault="000505CA" w:rsidP="004E2E10">
      <w:pPr>
        <w:jc w:val="both"/>
        <w:rPr>
          <w:rFonts w:ascii="Times New Roman" w:hAnsi="Times New Roman" w:cs="Times New Roman"/>
          <w:sz w:val="20"/>
          <w:szCs w:val="20"/>
        </w:rPr>
      </w:pPr>
      <w:r w:rsidRPr="000505CA">
        <w:rPr>
          <w:rFonts w:ascii="Times New Roman" w:hAnsi="Times New Roman" w:cs="Times New Roman"/>
          <w:sz w:val="20"/>
          <w:szCs w:val="20"/>
        </w:rPr>
        <w:t>A pénzügyi tranzakciók hitelességéért és a platform transzparenciájáért a Privát Blokklánc Motor (REX_Blockchain) felel. A platform nem támaszkodik drága és külső hálózatokra, hanem egy saját fejlesztésű, Proof-of-Work (PoW) elven működő belső főkönyvet futtat, amely a MySQL adatbázis blockchain_ledger táblájában tárolja a blokkokat. Ez az algoritmus felelős azért, hogy az ingatlanok kezdeti tokenizációját, valamint az azt követő másodlagos piaci műveleteket (vétel, eladás, shortolás, trezor-zárolás) kriptográfiailag védett, megmásíthatatlan blokkokba csomagolja és JSON formátumban az adatbázisba mentse. A motor intelligens adatkészítő logikája képes a meglévő valós felhasználói és ingatlanadatokat felhasználva komplex, összefüggő szimulációs tranzakciókat generálni, amelyeket egy 100 millió dolláros likviditást biztosító "Genesis" blokktól indítva fűz láncba. A rendszer leginnovatívabb biztonsági eleme a beépített lánc-validátor: ez a funkció képes bármikor végigpásztázni az adatbázisba mentett tranzakciókat, és újra lefuttatni a matematikai ellenőrzéseket. Ha bárki – akár szándékosan, akár véletlenül – utólag módosítana egy adatot (például egy tranzakciós összeget a relációs adatbázisban), az SHA-256 hash-lánc azonnal megtörik, a rendszer pedig riaszt, és érvénytelennek minősíti a manipulált főkönyvet.</w:t>
      </w:r>
    </w:p>
    <w:p w14:paraId="163255CB" w14:textId="77777777" w:rsidR="003029E9" w:rsidRPr="004E2E10" w:rsidRDefault="003029E9" w:rsidP="004E2E10">
      <w:pPr>
        <w:jc w:val="both"/>
        <w:rPr>
          <w:rFonts w:ascii="Times New Roman" w:hAnsi="Times New Roman" w:cs="Times New Roman"/>
          <w:sz w:val="20"/>
          <w:szCs w:val="20"/>
        </w:rPr>
      </w:pPr>
    </w:p>
    <w:p w14:paraId="60E85B80" w14:textId="0DA536C2" w:rsidR="00222749" w:rsidRPr="004E2E10" w:rsidRDefault="003029E9"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292A81FF" w14:textId="261C508D" w:rsidR="0024720A"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Backend &amp; adatbázis tervezése és fejlesztése </w:t>
      </w:r>
    </w:p>
    <w:p w14:paraId="39F1F9DE" w14:textId="77777777" w:rsidR="0024720A" w:rsidRPr="004E2E10" w:rsidRDefault="0024720A" w:rsidP="004E2E10">
      <w:pPr>
        <w:jc w:val="both"/>
        <w:rPr>
          <w:rFonts w:ascii="Times New Roman" w:hAnsi="Times New Roman" w:cs="Times New Roman"/>
          <w:sz w:val="20"/>
          <w:szCs w:val="20"/>
        </w:rPr>
      </w:pPr>
    </w:p>
    <w:p w14:paraId="4C565871"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REX (Real Estate Tokenization) platform backend és adatbázis architektúrájának elsődleges célja egy olyan hibrid rendszer létrehozása, amely zökkenőmentesen ötvözi a hagyományos relációs adatbázisok sebességét és könnyű skálázhatóságát a blokklánc technológia transzparenciájával és manipulálhatatlanságával. A fejlesztés fókuszában a maximális biztonság, a szigorú jogosultságkezelés és a másodlagos piaci tranzakciók hiteles rögzítése áll, mindez egy zárt, saját felügyelet alatt tartott ökoszisztémában.</w:t>
      </w:r>
    </w:p>
    <w:p w14:paraId="278BB5A7"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Relációs Adatbázis Architektúra A rendszer alapját egy szigorúan szegmentált, normalizált MySQL adatbázis képezi, amelynek tervezésekor az adatvédelmi és pénzügyi szabályozásoknak (GDPR, KYC, AML) való megfelelés volt az irányadó. Az adatokat logikai és fizikai szinten is elkülönítettük. A központosított identitáskezelésért a felhasználói modul felel, amely differenciálja a befektetői, tulajdonosi és adminisztrátori szerepköröket, miközben beépített támogatást nyújt a felhasználó-azonosítási folyamatok nyomon követésére és az érzékeny belépési vagy adóügyi adatok védelmére.</w:t>
      </w:r>
    </w:p>
    <w:p w14:paraId="35C48FE6"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Az ingatlanokhoz kapcsolódó adatköröket a maximális biztonság érdekében két teljesen különálló modulra bontottuk. A publikus piaci adatok táblája szolgálja ki a platform keresési és listázási funkcióit, így ez kizárólag a befektetési döntéshez szükséges, nem szenzitív információkat tartalmazza, mint például a lokáció, a várható hozam, a tartozások vagy az ingatlan fizikai paraméterei. Egy beépített állapotgép vezérli az ingatlanok életciklusát az audittól egészen az aktív piacra kerülésig. Ezzel szemben a privát kompliance modul egy szigorúan bizalmas, elzárt tároló, amely a pontos utcacímeket, tulajdoni lapokat és egyéb jogi dokumentumokat védi. Ez a strukturális szétválasztás garantálja, hogy egy publikus adatlekérdező végpont még szoftveres hiba esetén sem szivárogtathat ki személyes azonosításra alkalmas, érzékeny adatokat.</w:t>
      </w:r>
    </w:p>
    <w:p w14:paraId="50D1484A"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Privát Blokklánc Főkönyv A projekt legnagyobb technikai innovációja a relációs adatbázisba ágyazott, egyedi Proof-of-Work (PoW) elven működő blokklánc. A platform tudatosan nem támaszkodik külső, nyilvános hálózatokra, hanem saját rendszerén belül hitelesíti a tranzakciókat. Ebben a láncolatban minden egyes blokk a saját tartalmának, a tranzakciós adatoknak, egy időbélyegnek, egy számítási nonce értéknek, valamint az előző blokk hash-ének az egyesítéséből generál egy feltörhetetlen SHA-256 lenyomatot. A folyamat egy nulladik, úgynevezett Genesis blokkal indul, amely automatikusan létrehozza a platform likviditási alapját, beállítva a kezdeti token- és tőkekészleteket.</w:t>
      </w:r>
    </w:p>
    <w:p w14:paraId="07CF21A4"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rendszer legfőbb ereje a beépített auditálhatóságban rejlik. Az architektúra képes visszamenőleg ellenőrizni a teljes lánc integritását a kezdetektől a legutolsó tranzakcióig. Ha bármilyen belső vagy külső beavatkozás történik – például ha valaki utólag manuálisan módosít egy tranzakciós összeget az adatbázisban –, a kriptográfiai lánc azonnal megtörik. A rendszer ezt az ellenőrző algoritmusok futtatásával azonnal detektálja, és a manipulált láncszemet érvénytelennek minősíti.</w:t>
      </w:r>
    </w:p>
    <w:p w14:paraId="304A537E"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Tranzakciós Rendszer és Üzleti Logika A backend üzleti logikája natívan támogatja a komplex ingatlanpiaci és haladó tőzsdei műveleteket, amelyeket strukturált JSON formátumban, csomagokba foglalva rögzít a főkönyvben. Ez a rendszer kezeli a teljes tokenizációs folyamatot, amely során az új ingatlanok részesedés alapú bevezetése történik a piacra egyedi azonosítók generálásával. Emellett teljeskörűen kiszolgálja az alapvető másodlagos piaci kereskedést, a vételi és eladási tranzakciókat, sőt, a haladó piaci mozgásokat is, mint amilyen a short pozíciók felvétele fedezetszámítással. Az ökoszisztéma stabilitását a beépített zárolási mechanizmus növeli, amely lehetővé teszi a felhasználóknak, hogy tokenjeiket meghatározott időtartamokra kössék le a platform trezorjában.</w:t>
      </w:r>
    </w:p>
    <w:p w14:paraId="2E71C41E"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Technológiai Érték és Üzleti Előny Ez az architektúra tökéletes egyensúlyt teremt a teljesítmény, a költséghatékonyság és a maximális bizalom között. A modern felhasználói élményt és a másodperctört része alatti adatlekérdezéseket a villámgyors MySQL relációs modell biztosítja. Ugyanakkor a pénzügyi elszámolásokat és a tulajdonjog-váltásokat a beépített blokklánc technológia teszi megkérdőjelezhetetlenné. A megoldás banki szintű transzparenciát nyújt a befektetőknek anélkül, hogy a platformnak kiszámíthatatlan és drága tranzakciós díjakat kellene fizetnie egy harmadik fél által üzemeltetett hálózaton. Ezzel a fejlesztéssel a REX teljes és független kontrollt gyakorol a saját technológiai infrastruktúrája felett.</w:t>
      </w:r>
    </w:p>
    <w:p w14:paraId="274AFC61" w14:textId="02C0CFD6" w:rsidR="0024720A" w:rsidRPr="004E2E10" w:rsidRDefault="0024720A"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3E5BBB4D" w14:textId="3C097FD1"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Integráció és end-to-end tesztelés</w:t>
      </w:r>
    </w:p>
    <w:p w14:paraId="09E48F79" w14:textId="77777777" w:rsidR="0024720A" w:rsidRPr="004E2E10" w:rsidRDefault="0024720A" w:rsidP="004E2E10">
      <w:pPr>
        <w:jc w:val="both"/>
        <w:rPr>
          <w:rFonts w:ascii="Times New Roman" w:hAnsi="Times New Roman" w:cs="Times New Roman"/>
          <w:sz w:val="20"/>
          <w:szCs w:val="20"/>
        </w:rPr>
      </w:pPr>
    </w:p>
    <w:p w14:paraId="56CB7EAF"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1. Szakasz: Fedélzetre Lépés és Hitelesítés (Onboarding &amp; KYC)</w:t>
      </w:r>
      <w:r w:rsidRPr="00197BE4">
        <w:rPr>
          <w:rFonts w:ascii="Times New Roman" w:hAnsi="Times New Roman" w:cs="Times New Roman"/>
          <w:sz w:val="20"/>
          <w:szCs w:val="20"/>
        </w:rPr>
        <w:t xml:space="preserve"> Minden felhasználói interakció a regisztrációval és a személyazonosság ellenőrzésével kezdődik. Az új ügyfél adatai bekerülnek a központi MySQL adatbázis felhasználói táblájába, ahol a KYC (Know Your Customer) státusza kezdetben függőben lévőként (pending) jelenik meg. Ebben a korlátozott hozzáférésű fázisban a látogató már megtekintheti a platform publikus nézeteit, de pénzügyi interakciót nem kezdeményezhet. Amint az adminisztráció vagy a külső hitelesítő szolgáltató jóváhagyja a benyújtott dokumentumokat, a fiók státusza engedélyezettre (approved) vált. A rendszer ekkor feloldja a listázási és kereskedési funkciókat, a privát blokklánc pedig felkészül az adott felhasználóhoz köthető jövőbeni tranzakciók hitelesítésére.</w:t>
      </w:r>
    </w:p>
    <w:p w14:paraId="57C7E7B9"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2. Szakasz: Az Ingatlantulajdonos Útja (Eszköz-Tokenizáció)</w:t>
      </w:r>
      <w:r w:rsidRPr="00197BE4">
        <w:rPr>
          <w:rFonts w:ascii="Times New Roman" w:hAnsi="Times New Roman" w:cs="Times New Roman"/>
          <w:sz w:val="20"/>
          <w:szCs w:val="20"/>
        </w:rPr>
        <w:t xml:space="preserve"> Amennyiben a felhasználó tulajdonosként egy ingatlant kíván bevezetni a piacra, az elegáns, "pergamen" hatású Ingatlan-Digitalizációs Űrlapon halad végig. A rendszer már a bevitel pillanatában szétválasztja az adatokat: a fizikai és hozammutatók a publikus piaci adatbázisba, míg a tulajdoni lapok, címek és személyes nyilatkozatok a szigorúan elzárt privát kompliance táblába kerülnek. A beküldést követően az ingatlan státusza belső ellenőrzés alá (pending_audit) kerül. Ha a jogi és fizikai átvilágítás sikeresen lezárul, az eszköz hivatalosan aktív piaci (active_market) státuszba lép. Ebben a kritikus pillanatban fut le a háttérben a blokklánc "TOKENIZE" művelete, amely a fizikai eszközt digitális részesedésekre bontja, és egyedi tőzsdei ticker azonosítót (például </w:t>
      </w:r>
      <w:r w:rsidRPr="00197BE4">
        <w:rPr>
          <w:rFonts w:ascii="Times New Roman" w:hAnsi="Times New Roman" w:cs="Times New Roman"/>
          <w:i/>
          <w:iCs/>
          <w:sz w:val="20"/>
          <w:szCs w:val="20"/>
        </w:rPr>
        <w:t>REX-BUDAPE-1</w:t>
      </w:r>
      <w:r w:rsidRPr="00197BE4">
        <w:rPr>
          <w:rFonts w:ascii="Times New Roman" w:hAnsi="Times New Roman" w:cs="Times New Roman"/>
          <w:sz w:val="20"/>
          <w:szCs w:val="20"/>
        </w:rPr>
        <w:t>) generál a további kereskedéshez.</w:t>
      </w:r>
    </w:p>
    <w:p w14:paraId="2B11907B"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3. Szakasz: A Befektető Útja (Piaci Böngészés és Kereskedés)</w:t>
      </w:r>
      <w:r w:rsidRPr="00197BE4">
        <w:rPr>
          <w:rFonts w:ascii="Times New Roman" w:hAnsi="Times New Roman" w:cs="Times New Roman"/>
          <w:sz w:val="20"/>
          <w:szCs w:val="20"/>
        </w:rPr>
        <w:t xml:space="preserve"> A hitelesített befektető a sötét témájú, modern üveghatású (glassmorphism) Központi Kereskedési Terminálba érkezik, ahol egy interaktív, 3D-s forgatható földgömb és ár-súlyozott hőtérképek segítségével böngészheti a tokenizált piacokat. A befektetési döntést a Piaci Likviditás Szimulátor támogatja, ahol a felhasználó kockázatmentesen tesztelheti a tranzakciós volumenek árfolyamra és likviditási poolokra gyakorolt hatását. A platform a hagyományos, volatilitástól mentes fiat vagy USDC stabilkripto alapú elszámolást preferálja. Ezen a felületen a befektető a kiválasztott eszközre azonnali vételi (BUY), eladási (SELL), vagy akár haladó, margin-fedezetű (SHORT) műveleteket indíthat.</w:t>
      </w:r>
    </w:p>
    <w:p w14:paraId="5BE08437"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4. Szakasz: Elszámolás és Hosszútávú Elköteleződés (Vaulting)</w:t>
      </w:r>
      <w:r w:rsidRPr="00197BE4">
        <w:rPr>
          <w:rFonts w:ascii="Times New Roman" w:hAnsi="Times New Roman" w:cs="Times New Roman"/>
          <w:sz w:val="20"/>
          <w:szCs w:val="20"/>
        </w:rPr>
        <w:t xml:space="preserve"> A terminálon indított interakciókat a backend másodpercek alatt tranzakciós csomagokba (blokkokba) rendezi, amelyeket a platform saját fejlesztésű, Proof-of-Work elven működő privát blokklánc motorja (REX_Blockchain) dolgoz fel. A láncba JSON formátumban beírt adatok innentől kezdve megmásíthatatlanok. A felhasználó a Portfólió nézetben folyamatosan, valós időben nyomon követheti az összesített befektetéseit és szabad egyenlegét. A hosszú távú stratégia részeként a befektetőknek lehetőségük van a megszerzett részvényeik időhöz kötött zárolására is (VAULT_LOCK). Ezzel a funkcióval az eszközöket 7, 30, 180 vagy akár 365 napra is leköthetik a REX trezorjában, ami hozzájárul a rendszer egészének likviditási stabilitásához.</w:t>
      </w:r>
    </w:p>
    <w:p w14:paraId="1BBFE734" w14:textId="77777777" w:rsidR="005A47C0" w:rsidRPr="004E2E10" w:rsidRDefault="005A47C0" w:rsidP="004E2E10">
      <w:pPr>
        <w:jc w:val="both"/>
        <w:rPr>
          <w:rFonts w:ascii="Times New Roman" w:hAnsi="Times New Roman" w:cs="Times New Roman"/>
          <w:sz w:val="20"/>
          <w:szCs w:val="20"/>
        </w:rPr>
      </w:pPr>
    </w:p>
    <w:p w14:paraId="3CE6F971" w14:textId="5005CF0A" w:rsidR="0024720A" w:rsidRPr="004E2E10" w:rsidRDefault="0024720A"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7D01FAF7" w14:textId="77777777" w:rsidR="0024720A" w:rsidRPr="004E2E10" w:rsidRDefault="0024720A" w:rsidP="004E2E10">
      <w:pPr>
        <w:pStyle w:val="Default"/>
        <w:jc w:val="both"/>
        <w:rPr>
          <w:sz w:val="20"/>
          <w:szCs w:val="20"/>
        </w:rPr>
      </w:pPr>
    </w:p>
    <w:p w14:paraId="378C6D19" w14:textId="7913247A" w:rsidR="002C4387" w:rsidRPr="004E2E10" w:rsidRDefault="00222749" w:rsidP="004E2E10">
      <w:pPr>
        <w:pStyle w:val="Default"/>
        <w:numPr>
          <w:ilvl w:val="0"/>
          <w:numId w:val="2"/>
        </w:numPr>
        <w:ind w:left="0" w:firstLine="0"/>
        <w:jc w:val="both"/>
        <w:rPr>
          <w:sz w:val="20"/>
          <w:szCs w:val="20"/>
        </w:rPr>
      </w:pPr>
      <w:r w:rsidRPr="004E2E10">
        <w:rPr>
          <w:sz w:val="20"/>
          <w:szCs w:val="20"/>
        </w:rPr>
        <w:t xml:space="preserve">Árképzési mechanizmus kiválasztása (AMM vs. Order Book) </w:t>
      </w:r>
    </w:p>
    <w:p w14:paraId="015DCF30" w14:textId="77777777" w:rsidR="002C4387" w:rsidRPr="004E2E10" w:rsidRDefault="002C4387" w:rsidP="004E2E10">
      <w:pPr>
        <w:jc w:val="both"/>
        <w:rPr>
          <w:rFonts w:ascii="Times New Roman" w:hAnsi="Times New Roman" w:cs="Times New Roman"/>
          <w:sz w:val="20"/>
          <w:szCs w:val="20"/>
        </w:rPr>
      </w:pPr>
    </w:p>
    <w:p w14:paraId="0D5A7E0C" w14:textId="3FA0D02F"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A modern pénzügyi piacokon a likviditás biztosításának és az árfelfedezésnek két </w:t>
      </w:r>
      <w:r w:rsidR="006D25CD" w:rsidRPr="004E2E10">
        <w:rPr>
          <w:rFonts w:ascii="Times New Roman" w:hAnsi="Times New Roman" w:cs="Times New Roman"/>
          <w:sz w:val="20"/>
          <w:szCs w:val="20"/>
        </w:rPr>
        <w:t xml:space="preserve">számunkra releváns </w:t>
      </w:r>
      <w:r w:rsidRPr="002107D7">
        <w:rPr>
          <w:rFonts w:ascii="Times New Roman" w:hAnsi="Times New Roman" w:cs="Times New Roman"/>
          <w:sz w:val="20"/>
          <w:szCs w:val="20"/>
        </w:rPr>
        <w:t xml:space="preserve">domináns paradigmája létezik: a hagyományos, ajánlati könyvre épülő modell (Central Limit Order Book, CLOB) és az okosszerződések által vezérelt Automata Árjegyző (Automated Market Maker, AMM). Egy olyan szintetikus, fragmentált és lassú forgási sebességű eszközosztály esetében, mint a tört tulajdonú lakóingatlan-részvény, az árképzési mechanizmus kiválasztása nem csupán technológiai, hanem fundamentális életképességi kérdés. A CLOB modell a magas frekvenciájú, homogén piacokon tökéletesen működik, mivel ott a vevők és eladók folyamatosan jelen vannak, és az árfolyam a limitáras megbízások dinamikus újraárazásával súrlódásmentesen alkalmazkodik az információkhoz. Az ingatlanpiacon azonban ez a modell fatális likviditási hiányosságokat okoz. Ha egy ügyfél a felkínált lakástőkéje </w:t>
      </w:r>
      <w:r w:rsidR="006F5314">
        <w:rPr>
          <w:rFonts w:ascii="Times New Roman" w:hAnsi="Times New Roman" w:cs="Times New Roman"/>
          <w:sz w:val="20"/>
          <w:szCs w:val="20"/>
        </w:rPr>
        <w:t>25%-át</w:t>
      </w:r>
      <w:r w:rsidRPr="002107D7">
        <w:rPr>
          <w:rFonts w:ascii="Times New Roman" w:hAnsi="Times New Roman" w:cs="Times New Roman"/>
          <w:sz w:val="20"/>
          <w:szCs w:val="20"/>
        </w:rPr>
        <w:t xml:space="preserve"> azonnal pénzzé kívánja tenni, a CLOB rendszerben meg kell várnia, amíg a könyv túloldalán megjelenik egy vagy több megfelelő méretű és árszintű vételi ajánlat. Ha a piac </w:t>
      </w:r>
      <w:r w:rsidR="006F5314">
        <w:rPr>
          <w:rFonts w:ascii="Times New Roman" w:hAnsi="Times New Roman" w:cs="Times New Roman"/>
          <w:sz w:val="20"/>
          <w:szCs w:val="20"/>
        </w:rPr>
        <w:t>nem elég mély,</w:t>
      </w:r>
      <w:r w:rsidRPr="002107D7">
        <w:rPr>
          <w:rFonts w:ascii="Times New Roman" w:hAnsi="Times New Roman" w:cs="Times New Roman"/>
          <w:sz w:val="20"/>
          <w:szCs w:val="20"/>
        </w:rPr>
        <w:t xml:space="preserve"> az eszköz lényegében eladhatatlanná válik, vagy a piaci áras (market order) végrehajtás drasztikus, kontrollálatlan árzuhanást idéz elő, ami a REX alapvető értékajánlatát – a megbízható tőkefelszabadítást – semmisíti meg.</w:t>
      </w:r>
    </w:p>
    <w:p w14:paraId="63A23A85" w14:textId="0B0349D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Ezzel szemben a REX architektúrája egy Állandó Szorzatú Automata Árjegyző (Constant Product Market Maker, CPMM) modellt implementál, amely dedikált, emberi beavatkozás nélküli likviditást garantál. Ez a decentralizált pénzügyekből adaptált modell előre finanszírozott tartalékokra (poolokra) épül, ahol az ingatlanrészvények (X) és a likvid készpénz (Y) egyensúlyát egy </w:t>
      </w:r>
      <w:r w:rsidR="006F5314">
        <w:rPr>
          <w:rFonts w:ascii="Times New Roman" w:hAnsi="Times New Roman" w:cs="Times New Roman"/>
          <w:sz w:val="20"/>
          <w:szCs w:val="20"/>
        </w:rPr>
        <w:t>matematikai konstans (K=X*Y) szabályozza</w:t>
      </w:r>
      <w:r w:rsidRPr="002107D7">
        <w:rPr>
          <w:rFonts w:ascii="Times New Roman" w:hAnsi="Times New Roman" w:cs="Times New Roman"/>
          <w:sz w:val="20"/>
          <w:szCs w:val="20"/>
        </w:rPr>
        <w:t>. A rendszer alapköve, hogy a két eszközmennyiség szorzata a kereskedés során – a dinamikus díjak felhalmozódását megelőzően – állandó kell, hogy maradjon, amit az egyenlet ír le. Ebben a rendszerben nincs szükség a könyv túloldalán várakozó partnerre, a felhasználó magával a matematikai görbével köt üzletet. Egyetlen REX részvény azonnali (spot) árát a végrehajtás előtt a protokoll a tartalékok egyszerű hányadosaként határozza meg</w:t>
      </w:r>
      <w:r w:rsidR="006F5314">
        <w:rPr>
          <w:rFonts w:ascii="Times New Roman" w:hAnsi="Times New Roman" w:cs="Times New Roman"/>
          <w:sz w:val="20"/>
          <w:szCs w:val="20"/>
        </w:rPr>
        <w:t xml:space="preserve"> (P=Y/X)</w:t>
      </w:r>
      <w:r w:rsidRPr="002107D7">
        <w:rPr>
          <w:rFonts w:ascii="Times New Roman" w:hAnsi="Times New Roman" w:cs="Times New Roman"/>
          <w:sz w:val="20"/>
          <w:szCs w:val="20"/>
        </w:rPr>
        <w:t>.</w:t>
      </w:r>
    </w:p>
    <w:p w14:paraId="61ABE7F1" w14:textId="446CF569"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Amikor egy lakástulajdonos értékesíti a REX részvényeit, tulajdonképpen </w:t>
      </w:r>
      <w:r w:rsidR="006F5314">
        <w:rPr>
          <w:rFonts w:ascii="Times New Roman" w:hAnsi="Times New Roman" w:cs="Times New Roman"/>
          <w:sz w:val="20"/>
          <w:szCs w:val="20"/>
        </w:rPr>
        <w:t xml:space="preserve">addot mennyiségű </w:t>
      </w:r>
      <w:r w:rsidRPr="002107D7">
        <w:rPr>
          <w:rFonts w:ascii="Times New Roman" w:hAnsi="Times New Roman" w:cs="Times New Roman"/>
          <w:sz w:val="20"/>
          <w:szCs w:val="20"/>
        </w:rPr>
        <w:t>részvényt juttat a poolba</w:t>
      </w:r>
      <w:r w:rsidR="006F5314">
        <w:rPr>
          <w:rFonts w:ascii="Times New Roman" w:hAnsi="Times New Roman" w:cs="Times New Roman"/>
          <w:sz w:val="20"/>
          <w:szCs w:val="20"/>
        </w:rPr>
        <w:t xml:space="preserve"> (X1 &gt; X0)</w:t>
      </w:r>
      <w:r w:rsidRPr="002107D7">
        <w:rPr>
          <w:rFonts w:ascii="Times New Roman" w:hAnsi="Times New Roman" w:cs="Times New Roman"/>
          <w:sz w:val="20"/>
          <w:szCs w:val="20"/>
        </w:rPr>
        <w:t xml:space="preserve">, hogy onnan </w:t>
      </w:r>
      <w:r w:rsidR="006F5314">
        <w:rPr>
          <w:rFonts w:ascii="Times New Roman" w:hAnsi="Times New Roman" w:cs="Times New Roman"/>
          <w:sz w:val="20"/>
          <w:szCs w:val="20"/>
        </w:rPr>
        <w:t xml:space="preserve">adott </w:t>
      </w:r>
      <w:r w:rsidRPr="002107D7">
        <w:rPr>
          <w:rFonts w:ascii="Times New Roman" w:hAnsi="Times New Roman" w:cs="Times New Roman"/>
          <w:sz w:val="20"/>
          <w:szCs w:val="20"/>
        </w:rPr>
        <w:t>mennyiségű készpénzt vonjon ki</w:t>
      </w:r>
      <w:r w:rsidR="006F5314">
        <w:rPr>
          <w:rFonts w:ascii="Times New Roman" w:hAnsi="Times New Roman" w:cs="Times New Roman"/>
          <w:sz w:val="20"/>
          <w:szCs w:val="20"/>
        </w:rPr>
        <w:t xml:space="preserve"> (Y1 &lt; Y0)</w:t>
      </w:r>
      <w:r w:rsidRPr="002107D7">
        <w:rPr>
          <w:rFonts w:ascii="Times New Roman" w:hAnsi="Times New Roman" w:cs="Times New Roman"/>
          <w:sz w:val="20"/>
          <w:szCs w:val="20"/>
        </w:rPr>
        <w:t>. Az okosszerződés csak úgy engedélyezi a tranzakciót, ha az új egyenlegek szorzata továbbra is kiadja a</w:t>
      </w:r>
      <w:r w:rsidR="006F5314">
        <w:rPr>
          <w:rFonts w:ascii="Times New Roman" w:hAnsi="Times New Roman" w:cs="Times New Roman"/>
          <w:sz w:val="20"/>
          <w:szCs w:val="20"/>
        </w:rPr>
        <w:t>z</w:t>
      </w:r>
      <w:r w:rsidRPr="002107D7">
        <w:rPr>
          <w:rFonts w:ascii="Times New Roman" w:hAnsi="Times New Roman" w:cs="Times New Roman"/>
          <w:sz w:val="20"/>
          <w:szCs w:val="20"/>
        </w:rPr>
        <w:t xml:space="preserve"> állandót</w:t>
      </w:r>
      <w:r w:rsidR="006F5314">
        <w:rPr>
          <w:rFonts w:ascii="Times New Roman" w:hAnsi="Times New Roman" w:cs="Times New Roman"/>
          <w:sz w:val="20"/>
          <w:szCs w:val="20"/>
        </w:rPr>
        <w:t xml:space="preserve"> (K = X1 * Y1 = X0 * Y0)</w:t>
      </w:r>
      <w:r w:rsidRPr="002107D7">
        <w:rPr>
          <w:rFonts w:ascii="Times New Roman" w:hAnsi="Times New Roman" w:cs="Times New Roman"/>
          <w:sz w:val="20"/>
          <w:szCs w:val="20"/>
        </w:rPr>
        <w:t>. Ebből algebrai úton levezethető a pontosan kinyerhető készpénzösszeg, amelyet a képlet határoz meg. Ez a mechanizmus az úgynevezett ártehetetlenség (price inertia) elvén működik: a spot ár csak és kizárólag a tartalékok fizikai elmozdulásával tud frissülni. Ahogy a részvénykínálat nő és a készpénzbázis csökken a poolban, az árfolyam a végrehajtás során marginálisan, de folyamatosan csökken. A teljes megbízásra vetített átlagos végrehajtási ár</w:t>
      </w:r>
      <w:r w:rsidR="006F5314">
        <w:rPr>
          <w:rFonts w:ascii="Times New Roman" w:hAnsi="Times New Roman" w:cs="Times New Roman"/>
          <w:sz w:val="20"/>
          <w:szCs w:val="20"/>
        </w:rPr>
        <w:t xml:space="preserve"> a részvényszám változásának és a készpénzmozgás változásának hányadosa (Pavg = (Y1 - Y0) / X1 - X0))</w:t>
      </w:r>
      <w:r w:rsidRPr="002107D7">
        <w:rPr>
          <w:rFonts w:ascii="Times New Roman" w:hAnsi="Times New Roman" w:cs="Times New Roman"/>
          <w:sz w:val="20"/>
          <w:szCs w:val="20"/>
        </w:rPr>
        <w:t xml:space="preserve">. Bár az AMM modell hátránya, hogy az egyensúlyi árak külső piacokhoz való igazítása </w:t>
      </w:r>
      <w:r w:rsidR="006F5314">
        <w:rPr>
          <w:rFonts w:ascii="Times New Roman" w:hAnsi="Times New Roman" w:cs="Times New Roman"/>
          <w:sz w:val="20"/>
          <w:szCs w:val="20"/>
        </w:rPr>
        <w:t>a</w:t>
      </w:r>
      <w:r w:rsidR="0082722C">
        <w:rPr>
          <w:rFonts w:ascii="Times New Roman" w:hAnsi="Times New Roman" w:cs="Times New Roman"/>
          <w:sz w:val="20"/>
          <w:szCs w:val="20"/>
        </w:rPr>
        <w:t>ktív</w:t>
      </w:r>
      <w:r w:rsidR="006F5314">
        <w:rPr>
          <w:rFonts w:ascii="Times New Roman" w:hAnsi="Times New Roman" w:cs="Times New Roman"/>
          <w:sz w:val="20"/>
          <w:szCs w:val="20"/>
        </w:rPr>
        <w:t xml:space="preserve"> kereskedői jelenlétet</w:t>
      </w:r>
      <w:r w:rsidR="0082722C">
        <w:rPr>
          <w:rFonts w:ascii="Times New Roman" w:hAnsi="Times New Roman" w:cs="Times New Roman"/>
          <w:sz w:val="20"/>
          <w:szCs w:val="20"/>
        </w:rPr>
        <w:t>et</w:t>
      </w:r>
      <w:r w:rsidR="006F5314">
        <w:rPr>
          <w:rFonts w:ascii="Times New Roman" w:hAnsi="Times New Roman" w:cs="Times New Roman"/>
          <w:sz w:val="20"/>
          <w:szCs w:val="20"/>
        </w:rPr>
        <w:t xml:space="preserve"> </w:t>
      </w:r>
      <w:r w:rsidR="0082722C">
        <w:rPr>
          <w:rFonts w:ascii="Times New Roman" w:hAnsi="Times New Roman" w:cs="Times New Roman"/>
          <w:sz w:val="20"/>
          <w:szCs w:val="20"/>
        </w:rPr>
        <w:t>(</w:t>
      </w:r>
      <w:r w:rsidRPr="002107D7">
        <w:rPr>
          <w:rFonts w:ascii="Times New Roman" w:hAnsi="Times New Roman" w:cs="Times New Roman"/>
          <w:sz w:val="20"/>
          <w:szCs w:val="20"/>
        </w:rPr>
        <w:t>arbitrázst</w:t>
      </w:r>
      <w:r w:rsidR="0082722C">
        <w:rPr>
          <w:rFonts w:ascii="Times New Roman" w:hAnsi="Times New Roman" w:cs="Times New Roman"/>
          <w:sz w:val="20"/>
          <w:szCs w:val="20"/>
        </w:rPr>
        <w:t>)</w:t>
      </w:r>
      <w:r w:rsidRPr="002107D7">
        <w:rPr>
          <w:rFonts w:ascii="Times New Roman" w:hAnsi="Times New Roman" w:cs="Times New Roman"/>
          <w:sz w:val="20"/>
          <w:szCs w:val="20"/>
        </w:rPr>
        <w:t xml:space="preserve"> és tőkekivonást igényel, a garantált, azonnali, éjjel-nappal elérhető likviditás és a determinisztikus végrehajtás messze felülmúlja a CLOB modell inkonzisztenciáit a lakossági ingatlantőke piacán.</w:t>
      </w:r>
    </w:p>
    <w:p w14:paraId="6E6B54E1" w14:textId="26A41F9F" w:rsidR="002C4387" w:rsidRPr="004E2E10" w:rsidRDefault="002C4387"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26BE997D" w14:textId="77777777" w:rsidR="00222749" w:rsidRPr="004E2E10" w:rsidRDefault="00222749" w:rsidP="004E2E10">
      <w:pPr>
        <w:pStyle w:val="Default"/>
        <w:jc w:val="both"/>
        <w:rPr>
          <w:sz w:val="20"/>
          <w:szCs w:val="20"/>
        </w:rPr>
      </w:pPr>
    </w:p>
    <w:p w14:paraId="737E9357" w14:textId="4F921B54" w:rsidR="00222749" w:rsidRPr="004E2E10" w:rsidRDefault="00222749" w:rsidP="004E2E10">
      <w:pPr>
        <w:pStyle w:val="Default"/>
        <w:numPr>
          <w:ilvl w:val="0"/>
          <w:numId w:val="2"/>
        </w:numPr>
        <w:ind w:left="0" w:firstLine="0"/>
        <w:jc w:val="both"/>
        <w:rPr>
          <w:sz w:val="20"/>
          <w:szCs w:val="20"/>
        </w:rPr>
      </w:pPr>
      <w:r w:rsidRPr="004E2E10">
        <w:rPr>
          <w:sz w:val="20"/>
          <w:szCs w:val="20"/>
        </w:rPr>
        <w:t xml:space="preserve">Cash-flow modell felépítése </w:t>
      </w:r>
    </w:p>
    <w:p w14:paraId="456C5AF7" w14:textId="77777777" w:rsidR="002107D7" w:rsidRPr="004E2E10" w:rsidRDefault="002107D7" w:rsidP="004E2E10">
      <w:pPr>
        <w:jc w:val="both"/>
        <w:rPr>
          <w:rFonts w:ascii="Times New Roman" w:hAnsi="Times New Roman" w:cs="Times New Roman"/>
          <w:sz w:val="20"/>
          <w:szCs w:val="20"/>
        </w:rPr>
      </w:pPr>
      <w:r w:rsidRPr="004E2E10">
        <w:rPr>
          <w:rFonts w:ascii="Times New Roman" w:hAnsi="Times New Roman" w:cs="Times New Roman"/>
          <w:sz w:val="20"/>
          <w:szCs w:val="20"/>
        </w:rPr>
        <w:t>A REX ökoszisztéma készpénzáramlási és tőkeallokációs modellje egy radikálisan új megközelítést alkalmaz a lakossági ingatlanpiacon, teljesen elszakadva a hitelalapú (debt-based) konstrukcióktól. A hagyományos lakáshitel-kiváltások vagy szabad felhasználású jelzáloghitelek (HELOC) esetében a tulajdonos készpénzhez jut, cserébe azonban hosszú távú, kamatkockázattal terhelt, folyamatos havi törlesztési kötelezettséget vállal, amely rontja a rendelkezésre álló havi jövedelmét. A REX ezzel szemben tisztán saját tőke (equity) alapú megoldást kínál: a tulajdonos nem hitelt vesz fel, hanem az ingatlanában lévő holt tőke egy részét – jellemzően tíz és huszonöt százalék közötti sávban – tokenizált részvények formájában értékesíti a másodlagos piacon. Ez a felső korlát kritikus fontosságú a morális kockázat (moral hazard) elkerülése végett, hiszen ha a tulajdonos túlságosan nagy hányadot adna el, megszűnne az érdekeltsége az ingatlan állagának megóvásában.</w:t>
      </w:r>
    </w:p>
    <w:p w14:paraId="68EA9AF5" w14:textId="77777777" w:rsidR="002107D7" w:rsidRPr="004E2E10" w:rsidRDefault="002107D7" w:rsidP="004E2E10">
      <w:pPr>
        <w:jc w:val="both"/>
        <w:rPr>
          <w:rFonts w:ascii="Times New Roman" w:hAnsi="Times New Roman" w:cs="Times New Roman"/>
          <w:sz w:val="20"/>
          <w:szCs w:val="20"/>
        </w:rPr>
      </w:pPr>
    </w:p>
    <w:p w14:paraId="0B47920F" w14:textId="319A09CC" w:rsidR="002107D7" w:rsidRPr="004E2E10" w:rsidRDefault="002107D7" w:rsidP="004E2E10">
      <w:pPr>
        <w:jc w:val="both"/>
        <w:rPr>
          <w:rFonts w:ascii="Times New Roman" w:hAnsi="Times New Roman" w:cs="Times New Roman"/>
          <w:sz w:val="20"/>
          <w:szCs w:val="20"/>
        </w:rPr>
      </w:pPr>
      <w:r w:rsidRPr="004E2E10">
        <w:rPr>
          <w:rFonts w:ascii="Times New Roman" w:hAnsi="Times New Roman" w:cs="Times New Roman"/>
          <w:sz w:val="20"/>
          <w:szCs w:val="20"/>
        </w:rPr>
        <w:t xml:space="preserve">A folyamat szíve az Automatizált Értékbecslő Rendszer (Automated Valuation Machine, AVM). A rendszer alapja egy globális standardizáció, ahol elméletben egy REX részvény a világ átlagos egy négyzetméternyi lakóingatlan-értékét reprezentálja. Amikor egy tulajdonos regisztrálja az ingatlanát, az AVM adatbányászati és gépi tanulási algoritmusok segítségével megvizsgálja a lokális adatokat (például egy adott kerület indexét), és az ingatlan egyedi jellemzői alapján prémiumot vagy diszkontot állapít meg. Ha egy adott régióban az átlagár négyzetméterenként </w:t>
      </w:r>
      <w:r w:rsidR="0082722C">
        <w:rPr>
          <w:rFonts w:ascii="Times New Roman" w:hAnsi="Times New Roman" w:cs="Times New Roman"/>
          <w:sz w:val="20"/>
          <w:szCs w:val="20"/>
        </w:rPr>
        <w:t>1000</w:t>
      </w:r>
      <w:r w:rsidRPr="004E2E10">
        <w:rPr>
          <w:rFonts w:ascii="Times New Roman" w:hAnsi="Times New Roman" w:cs="Times New Roman"/>
          <w:sz w:val="20"/>
          <w:szCs w:val="20"/>
        </w:rPr>
        <w:t xml:space="preserve"> dollár</w:t>
      </w:r>
      <w:r w:rsidR="0082722C">
        <w:rPr>
          <w:rFonts w:ascii="Times New Roman" w:hAnsi="Times New Roman" w:cs="Times New Roman"/>
          <w:sz w:val="20"/>
          <w:szCs w:val="20"/>
        </w:rPr>
        <w:t xml:space="preserve"> -</w:t>
      </w:r>
      <w:r w:rsidRPr="004E2E10">
        <w:rPr>
          <w:rFonts w:ascii="Times New Roman" w:hAnsi="Times New Roman" w:cs="Times New Roman"/>
          <w:sz w:val="20"/>
          <w:szCs w:val="20"/>
        </w:rPr>
        <w:t xml:space="preserve"> amely </w:t>
      </w:r>
      <w:r w:rsidR="0082722C">
        <w:rPr>
          <w:rFonts w:ascii="Times New Roman" w:hAnsi="Times New Roman" w:cs="Times New Roman"/>
          <w:sz w:val="20"/>
          <w:szCs w:val="20"/>
        </w:rPr>
        <w:t xml:space="preserve">így </w:t>
      </w:r>
      <w:r w:rsidRPr="004E2E10">
        <w:rPr>
          <w:rFonts w:ascii="Times New Roman" w:hAnsi="Times New Roman" w:cs="Times New Roman"/>
          <w:sz w:val="20"/>
          <w:szCs w:val="20"/>
        </w:rPr>
        <w:t>pont egy REX részvény</w:t>
      </w:r>
      <w:r w:rsidR="0082722C">
        <w:rPr>
          <w:rFonts w:ascii="Times New Roman" w:hAnsi="Times New Roman" w:cs="Times New Roman"/>
          <w:sz w:val="20"/>
          <w:szCs w:val="20"/>
        </w:rPr>
        <w:t xml:space="preserve"> árának</w:t>
      </w:r>
      <w:r w:rsidRPr="004E2E10">
        <w:rPr>
          <w:rFonts w:ascii="Times New Roman" w:hAnsi="Times New Roman" w:cs="Times New Roman"/>
          <w:sz w:val="20"/>
          <w:szCs w:val="20"/>
        </w:rPr>
        <w:t xml:space="preserve"> felel meg</w:t>
      </w:r>
      <w:r w:rsidR="0082722C">
        <w:rPr>
          <w:rFonts w:ascii="Times New Roman" w:hAnsi="Times New Roman" w:cs="Times New Roman"/>
          <w:sz w:val="20"/>
          <w:szCs w:val="20"/>
        </w:rPr>
        <w:t xml:space="preserve"> -</w:t>
      </w:r>
      <w:r w:rsidRPr="004E2E10">
        <w:rPr>
          <w:rFonts w:ascii="Times New Roman" w:hAnsi="Times New Roman" w:cs="Times New Roman"/>
          <w:sz w:val="20"/>
          <w:szCs w:val="20"/>
        </w:rPr>
        <w:t xml:space="preserve">, de az adott ingatlan luxus kivitelezésű, a rendszer </w:t>
      </w:r>
      <w:r w:rsidR="0082722C">
        <w:rPr>
          <w:rFonts w:ascii="Times New Roman" w:hAnsi="Times New Roman" w:cs="Times New Roman"/>
          <w:sz w:val="20"/>
          <w:szCs w:val="20"/>
        </w:rPr>
        <w:t>1300</w:t>
      </w:r>
      <w:r w:rsidRPr="004E2E10">
        <w:rPr>
          <w:rFonts w:ascii="Times New Roman" w:hAnsi="Times New Roman" w:cs="Times New Roman"/>
          <w:sz w:val="20"/>
          <w:szCs w:val="20"/>
        </w:rPr>
        <w:t xml:space="preserve"> dollárra értékelheti a négyzetméterét. Ebben az esetben a tulajdonos minden felkínált négyzetméter után 1.3 REX részvényt kap. Ez a diszkontálási és prémiumképzési eljárás biztosítja, hogy a másodlagos piacon forgó REX részvények teljesen homogének maradjanak, függetlenül attól, hogy eredetileg egy budapesti panelből vagy egy londoni luxuslakásból származnak, ami elengedhetetlen a globális likviditási poolok működéséhez.</w:t>
      </w:r>
    </w:p>
    <w:p w14:paraId="53BAEFE3" w14:textId="77777777" w:rsidR="002107D7" w:rsidRPr="004E2E10" w:rsidRDefault="002107D7" w:rsidP="004E2E10">
      <w:pPr>
        <w:jc w:val="both"/>
        <w:rPr>
          <w:rFonts w:ascii="Times New Roman" w:hAnsi="Times New Roman" w:cs="Times New Roman"/>
          <w:sz w:val="20"/>
          <w:szCs w:val="20"/>
        </w:rPr>
      </w:pPr>
    </w:p>
    <w:p w14:paraId="7C1DDB45" w14:textId="4591B846" w:rsidR="002C4387" w:rsidRPr="004E2E10" w:rsidRDefault="002107D7"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t>A kibocsátott részvények mögött minden esetben valós, nettó eszközérték (NAV) alapú fedezet áll, amelyet a REX mint jogi entitás az ingatlan-nyilvántartásban is rögzít. Amikor a tulajdonos vissza kívánja vásárolni a felkínált részesedést, azt a mindenkori piaci (index) áron kell megtennie, függetlenül attól, hogy a REX részvények időközben hányszor cseréltek gazdát a piacon. Ha az ingatlanpiac emelkedett a tartási időszak alatt, a tulajdonosnak a felárral növelt értéket kell kifizetnie, ha viszont a piac esett, olcsóbban vásárolhatja vissza a saját tulajdonrészét. Ez a mechanizmus egy beépített kockázatkezelési eszközt ad a lakosság kezébe az ingatlanpiaci áresésekkel szemben. Ingatlanértékesítés esetén a REX, mint résztulajdonos, automatikusan érvényesíti a tőke- és hozamigényét a vételárból, amelyet a platform a transzparencia jegyében minden esetben jóváhagy, kivéve a nyilvánvalóan fraudulens, mélyen piaci ár alatti tranzakciók kísérletét.</w:t>
      </w:r>
      <w:r w:rsidR="002C4387" w:rsidRPr="004E2E10">
        <w:rPr>
          <w:rFonts w:ascii="Times New Roman" w:hAnsi="Times New Roman" w:cs="Times New Roman"/>
          <w:sz w:val="20"/>
          <w:szCs w:val="20"/>
        </w:rPr>
        <w:br w:type="page"/>
      </w:r>
    </w:p>
    <w:p w14:paraId="2F6F02AC" w14:textId="46531372"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Stresszteszt és forgatókönyv-elemzés </w:t>
      </w:r>
    </w:p>
    <w:p w14:paraId="2A23BF32" w14:textId="69826036"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A REX architektúra stabilitásának alapja a likviditási mélység pontos meghatározása az Állandó Szorzatú Automata Árjegyző (CPMM) lokális pooljaiban. A rendszer egy hierarchikus fa-struktúrát alkalmaz, ahol az aggregált indexek (például az EU REX Index) tőkepiaci súlyozással épülnek fel. A nemzeti komponensek súlyát úgy kapjuk meg, hogy az adott ország átlagos négyzetméterárát megszorozzuk az ország teljes lakóingatlan-állományának méretével, majd ezt a kapott értéket viszonyítjuk a teljes uniós ingatlanvagyonhoz. Ezt a metodikát alkalmazzuk minden vizsgált piac (például Magyarország, Németország, Franciaország) esetében, biztosítva a reális tőkesúlyt a felsőbb szinteken.</w:t>
      </w:r>
    </w:p>
    <w:p w14:paraId="6CA14011" w14:textId="49B1D9D9"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Bár az intézményi tőke ezekbe a magasabb szintű (regionális, globális) indexekbe áramlik, a kereskedési volumen végrehajtása és a tőkefelszabadítás (equity offering) fizikailag a legalsó levélcsomópontokban (leaf nodes) – azaz a specifikus kerületi vagy városi poolokban – történik. A rendszer kritikus technikai követelménye, hogy ezek a lokális poolok szigorú, 1%-os maximális árfolyamcsúszás (slippage) mellett is képesek legyenek elnyelni az 5%, 10% vagy 15%-os egyösszegű tulajdonrész-értékesítéseket.</w:t>
      </w:r>
    </w:p>
    <w:p w14:paraId="51B88133" w14:textId="46FF38B1"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A szükséges poolméret meghatározásához a CPMM fundamentális matematikáját alkalmazzuk. Az árfolyamcsúszás (S) a poolba helyezett részvények (ΔX) és a poolban lévő eredeti részvénykészlet (X) arányából adódik, melyet az S=ΔX/(X+ΔX) egyenlet ír le. Mivel a cél az 1%-os maximális csúszás garantálása (S=0.01), az egyenlet átrendezésével megkapjuk a fundamentális tőkekövetelményt: X=99</w:t>
      </w:r>
      <w:r w:rsidRPr="00550773">
        <w:rPr>
          <w:rFonts w:ascii="Cambria Math" w:hAnsi="Cambria Math" w:cs="Cambria Math"/>
          <w:sz w:val="20"/>
          <w:szCs w:val="20"/>
        </w:rPr>
        <w:t>⋅</w:t>
      </w:r>
      <w:r w:rsidRPr="00550773">
        <w:rPr>
          <w:rFonts w:ascii="Times New Roman" w:hAnsi="Times New Roman" w:cs="Times New Roman"/>
          <w:sz w:val="20"/>
          <w:szCs w:val="20"/>
        </w:rPr>
        <w:t>ΔX. Mivel a CPMM rendszer a tranzakció pillanatában egyensúlyban van, ez a dollárban kifejezett készpénztartalékra (Y) is igaz. A lokális poolnak tehát a felkínált ingatlantőke dollárértékének pontosan 99-szeresével kell rendelkeznie készpénzben.</w:t>
      </w:r>
    </w:p>
    <w:p w14:paraId="1D049AA8" w14:textId="482EB67E"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Vizsgáljuk meg a 99-szeres likviditási szorzó tőkekövetelményeit két eltérő árfekvésű piacon, egységesen 80 négyzetméteres átlagos ingatlanmérettel számolva:</w:t>
      </w:r>
    </w:p>
    <w:p w14:paraId="2DFB39AC" w14:textId="431BD198"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Budapesten 3 000 USD/m² átlagárral számolva a teljes ingatlanérték 240 000 USD. Ha a tulajdonos a tőkéjének 5%-át (12 000 USD) kívánja felszabadítani, az 1%-os csúszás garantálásához a lokális budapesti poolnak 1 188 000 USD készpénztartalékkal kell rendelkeznie. Egy 10%-os részesedés (24 000 USD) felkínálása esetén a likviditási igény 2 376 000 USD, míg egy 15%-os tranzakció (36 000 USD) elnyeléséhez már 3 564 000 USD dedikált készpénzmélység szükséges.</w:t>
      </w:r>
    </w:p>
    <w:p w14:paraId="4C8CB5F7" w14:textId="1D449B8C"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Münchenben, ahol a 10 000 USD/m² átlagár miatt a vizsgált ingatlan összértéke 800 000 USD, a tőkekövetelmények drasztikusan magasabbak. Egy 5%-os tulajdonrész (40 000 USD) piacra dobása azonnal 3 960 000 USD készpénzmélységet követel meg a müncheni pooltól. Egy 10%-os (80 000 USD) tőkefelszabadítás esetén ez az érték 7 920 000 USD, míg a maximális, 15%-os részesedés (120 000 USD) értékesítésekor a helyi levélcsomópontnak 11 880 000 USD készpénztartalékkal kell bírnia az 1%-os slippage limit megtartásához.</w:t>
      </w:r>
    </w:p>
    <w:p w14:paraId="4C5C79A8" w14:textId="4D2D9A39" w:rsidR="002C4387" w:rsidRPr="004E2E10"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Ezek a számítások igazolják, hogy a REX indexek hiába aggregálnak globális tőkét, a protokoll technikai stabilitása és másodlagos piaci funkcionalitása kizárólag azon múlik, hogy a Genezis poolok feltöltésekor a legspecifikusabb lokális csomópontok rendelkeznek-e a mögöttes ingatlanárakhoz igazított, 99-szeres likviditási multiplikátorral.</w:t>
      </w:r>
      <w:r w:rsidR="002107D7" w:rsidRPr="002107D7">
        <w:rPr>
          <w:rFonts w:ascii="Times New Roman" w:hAnsi="Times New Roman" w:cs="Times New Roman"/>
          <w:sz w:val="20"/>
          <w:szCs w:val="20"/>
        </w:rPr>
        <w:t>.</w:t>
      </w:r>
      <w:r w:rsidR="002C4387" w:rsidRPr="004E2E10">
        <w:rPr>
          <w:rFonts w:ascii="Times New Roman" w:hAnsi="Times New Roman" w:cs="Times New Roman"/>
          <w:sz w:val="20"/>
          <w:szCs w:val="20"/>
        </w:rPr>
        <w:br w:type="page"/>
      </w:r>
    </w:p>
    <w:p w14:paraId="48FFB7A8" w14:textId="2071E49F"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Díjstruktúra megtervezése </w:t>
      </w:r>
    </w:p>
    <w:p w14:paraId="1E700299"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dinamikus, volumengenerált díjak jelentős bizalmatlanságot és tervezhetetlenséget szülnek egy olyan környezetben, ahol a lakástulajdonosok a legértékesebb vagyontárgyukat vonják be fedezetként, a befektetők pedig precíziós, lokális kitettséget keresnek. Ennek kiküszöbölésére és a platform egyedülálló szintetikus értékajánlatának monetizálására a REX egy szigorúan fixált, tranzakció-alapú architektúrát alkalmaz, amely tudatosan magasabb belépési és kilépési pontokat határoz meg, cserébe viszont teljes mértékben eliminálja a hagyományos pénzügyi rendszerek leginkább értékromboló elemeit: az éveszköz-arányos (AUM) alapkezelési díjakat, a teljesítményarányos sikerdíjakat és a kamatos kamat elvén felhalmozódó adósságszolgálatot. A REX portfólió tartása a befektetők és a tőkefelszabadító tulajdonosok számára egyaránt költségmentes, a rendszer működését az eszközéletciklushoz kötött rögzített levonások biztosítják.</w:t>
      </w:r>
    </w:p>
    <w:p w14:paraId="4A207356" w14:textId="77777777" w:rsidR="003D3C39" w:rsidRPr="003D3C39" w:rsidRDefault="003D3C39" w:rsidP="003D3C39">
      <w:pPr>
        <w:jc w:val="both"/>
        <w:rPr>
          <w:rFonts w:ascii="Times New Roman" w:hAnsi="Times New Roman" w:cs="Times New Roman"/>
          <w:sz w:val="20"/>
          <w:szCs w:val="20"/>
        </w:rPr>
      </w:pPr>
    </w:p>
    <w:p w14:paraId="59F5763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rendszer díjstruktúrájának első eleme a két százalékos Kibocsátási és Értékbecslési Díj (Origination Fee). Ezt a lakástulajdonos fizeti a tranzakció kezdetekor, amelyet az okosszerződés automatikusan levon a felszabadított tőkeértékből a folyósítás pillanatában. Ez az egyszeri költség integráltan fedezi az Automatizált Értékbecslő Rendszer (AVM) gépi futtatását, az ügyfél-azonosítási és pénzmosás elleni (KYC/AML) ellenőrzéseket, a jogi dokumentáció algoritmikus generálását, valamint a legkritikusabb fizikai lépést: a földhivatali, ingatlan-nyilvántartási bejegyzés adminisztrációját. Bár a két százalékos belépési küszöb nominálisan magasnak tűnhet egy értékpapírpiaci tranzakcióhoz képest, a valóságban ez az a prémium, amelyet az ügyfél az adósságmentes tőkefelszabadítás jogi és technológiai struktúrájáért fizet.</w:t>
      </w:r>
    </w:p>
    <w:p w14:paraId="38C5233A" w14:textId="77777777" w:rsidR="003D3C39" w:rsidRPr="003D3C39" w:rsidRDefault="003D3C39" w:rsidP="003D3C39">
      <w:pPr>
        <w:jc w:val="both"/>
        <w:rPr>
          <w:rFonts w:ascii="Times New Roman" w:hAnsi="Times New Roman" w:cs="Times New Roman"/>
          <w:sz w:val="20"/>
          <w:szCs w:val="20"/>
        </w:rPr>
      </w:pPr>
    </w:p>
    <w:p w14:paraId="7DE53C96" w14:textId="7CE238DA"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 xml:space="preserve">A másodlagos piaci likviditás fenntartását a rendszer egy kombinált, 0.5 százalékos kereskedési díj és az AMM modellből fakadó természetes árfolyamrés (spread) kettőse biztosítja. Ezt a díjat az a befektető fizeti, aki a másodlagos piacon REX részvényt ad el vagy vásárol. Itt érvényesül leginkább a REX hierarchikus fa-struktúrájának architekturális </w:t>
      </w:r>
      <w:r w:rsidR="006D56F2">
        <w:rPr>
          <w:rFonts w:ascii="Times New Roman" w:hAnsi="Times New Roman" w:cs="Times New Roman"/>
          <w:sz w:val="20"/>
          <w:szCs w:val="20"/>
        </w:rPr>
        <w:t>innovációja</w:t>
      </w:r>
      <w:r w:rsidRPr="003D3C39">
        <w:rPr>
          <w:rFonts w:ascii="Times New Roman" w:hAnsi="Times New Roman" w:cs="Times New Roman"/>
          <w:sz w:val="20"/>
          <w:szCs w:val="20"/>
        </w:rPr>
        <w:t xml:space="preserve">. Amikor egy intézményi befektető az aggregált EU REX Indexbe fektet be, a rendszer a tőkesúlyok alapján algoritmikusan szétbontja a megbízást, és a likviditási terhelés a legalsó levélcsomópontokban (leaf nodes) – a német, magyar, lengyel és egyéb lokális poolokban – csapódik le. A levont 0.5 százalékos tranzakciós díj </w:t>
      </w:r>
      <w:r w:rsidR="006D56F2">
        <w:rPr>
          <w:rFonts w:ascii="Times New Roman" w:hAnsi="Times New Roman" w:cs="Times New Roman"/>
          <w:sz w:val="20"/>
          <w:szCs w:val="20"/>
        </w:rPr>
        <w:t xml:space="preserve">egy része </w:t>
      </w:r>
      <w:r w:rsidRPr="003D3C39">
        <w:rPr>
          <w:rFonts w:ascii="Times New Roman" w:hAnsi="Times New Roman" w:cs="Times New Roman"/>
          <w:sz w:val="20"/>
          <w:szCs w:val="20"/>
        </w:rPr>
        <w:t>nem a REX központi vállalatát gazdagítja, hanem azonnal és célzottan visszaforog ezekbe a lokális, mikroszintű Genezis Poolokba. Ez a mechanizmus folyamatosan növeli a lokális piacok készpénz- és token-tartalékait, organikus tőkeellátást biztosítva a leginkább sebezhető végpontokon, miközben a matematikai spread tompítja a magas frekvenciájú, rendszert terhelő arbitrázs okozta károkat.</w:t>
      </w:r>
    </w:p>
    <w:p w14:paraId="5E52427F" w14:textId="77777777" w:rsidR="003D3C39" w:rsidRPr="003D3C39" w:rsidRDefault="003D3C39" w:rsidP="003D3C39">
      <w:pPr>
        <w:jc w:val="both"/>
        <w:rPr>
          <w:rFonts w:ascii="Times New Roman" w:hAnsi="Times New Roman" w:cs="Times New Roman"/>
          <w:sz w:val="20"/>
          <w:szCs w:val="20"/>
        </w:rPr>
      </w:pPr>
    </w:p>
    <w:p w14:paraId="14CDF3A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Az életciklus harmadik, egyben utolsó eleme a két százalékos Zárási Díj (Settlement Fee). Ezt a lakástulajdonos fizeti a tőke visszavásárlásakor, vagy az ingatlan teljes értékesítésekor a tranzakcióból kerül levonásra. Ez a díj realizálja a platform tiszta nyereségét, fedezve a digitális tokenek okosszerződés általi elégetési (burn) folyamatát és a fedezetfelszabadítás fizikai, jogi lezárását. Mivel a modellből hiányzik a folyamatos vagyonkezelési díj, a cég érdeke tökéletesen megegyezik az ügyfélével: a profit csak a sikeres, végleges életciklus-záráskor realizálódik.</w:t>
      </w:r>
    </w:p>
    <w:p w14:paraId="3C092EA0" w14:textId="77777777" w:rsidR="003D3C39" w:rsidRPr="003D3C39" w:rsidRDefault="003D3C39" w:rsidP="003D3C39">
      <w:pPr>
        <w:jc w:val="both"/>
        <w:rPr>
          <w:rFonts w:ascii="Times New Roman" w:hAnsi="Times New Roman" w:cs="Times New Roman"/>
          <w:sz w:val="20"/>
          <w:szCs w:val="20"/>
        </w:rPr>
      </w:pPr>
    </w:p>
    <w:p w14:paraId="474E8B9D" w14:textId="50D6B6E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 xml:space="preserve">A REX árazási ereje és a kétszer két százalékos életciklus-díj, valamint a másodlagos piaci prémium létjogosultsága kizárólag a hagyományos hitel- és tőkepiaci alternatívákkal (HELOC, </w:t>
      </w:r>
      <w:r w:rsidR="006D56F2" w:rsidRPr="003D3C39">
        <w:rPr>
          <w:rFonts w:ascii="Times New Roman" w:hAnsi="Times New Roman" w:cs="Times New Roman"/>
          <w:sz w:val="20"/>
          <w:szCs w:val="20"/>
        </w:rPr>
        <w:t>HEL</w:t>
      </w:r>
      <w:r w:rsidR="006D56F2">
        <w:rPr>
          <w:rFonts w:ascii="Times New Roman" w:hAnsi="Times New Roman" w:cs="Times New Roman"/>
          <w:sz w:val="20"/>
          <w:szCs w:val="20"/>
        </w:rPr>
        <w:t>OAN</w:t>
      </w:r>
      <w:r w:rsidRPr="003D3C39">
        <w:rPr>
          <w:rFonts w:ascii="Times New Roman" w:hAnsi="Times New Roman" w:cs="Times New Roman"/>
          <w:sz w:val="20"/>
          <w:szCs w:val="20"/>
        </w:rPr>
        <w:t>, REIT, ETF) való komparatív elemzésen keresztül érthető meg. A lakossági tőkefelszabadítás piacán az elsődleges versenytársak a lakáscélú hitelkeretek (HELOC) és a fix kamatozású lakáshitelek (HEL</w:t>
      </w:r>
      <w:r w:rsidR="006D56F2">
        <w:rPr>
          <w:rFonts w:ascii="Times New Roman" w:hAnsi="Times New Roman" w:cs="Times New Roman"/>
          <w:sz w:val="20"/>
          <w:szCs w:val="20"/>
        </w:rPr>
        <w:t>OAN</w:t>
      </w:r>
      <w:r w:rsidRPr="003D3C39">
        <w:rPr>
          <w:rFonts w:ascii="Times New Roman" w:hAnsi="Times New Roman" w:cs="Times New Roman"/>
          <w:sz w:val="20"/>
          <w:szCs w:val="20"/>
        </w:rPr>
        <w:t xml:space="preserve">). Ezek az instrumentumok fundamentálisan adósságra épülnek. Amikor egy tulajdonos felvesz egy </w:t>
      </w:r>
      <w:r w:rsidR="006D56F2" w:rsidRPr="003D3C39">
        <w:rPr>
          <w:rFonts w:ascii="Times New Roman" w:hAnsi="Times New Roman" w:cs="Times New Roman"/>
          <w:sz w:val="20"/>
          <w:szCs w:val="20"/>
        </w:rPr>
        <w:t>HEL</w:t>
      </w:r>
      <w:r w:rsidR="006D56F2">
        <w:rPr>
          <w:rFonts w:ascii="Times New Roman" w:hAnsi="Times New Roman" w:cs="Times New Roman"/>
          <w:sz w:val="20"/>
          <w:szCs w:val="20"/>
        </w:rPr>
        <w:t>OAN</w:t>
      </w:r>
      <w:r w:rsidRPr="003D3C39">
        <w:rPr>
          <w:rFonts w:ascii="Times New Roman" w:hAnsi="Times New Roman" w:cs="Times New Roman"/>
          <w:sz w:val="20"/>
          <w:szCs w:val="20"/>
        </w:rPr>
        <w:t xml:space="preserve">-t, jellemzően kettő és öt százalék közötti folyósítási, értékbecslési és közjegyzői zárási költséget (closing costs) fizet ki azonnal. Ezt követően egy olyan fix, jelenlegi környezetben gyakran hét-kilenc százalékos éves kamatlábat kell fizetnie, amely az évek során drasztikusan erodálja a vagyonát, és havi szintű készpénzkiáramlást (cash-flow drain) okoz. A HELOC esetében a változó kamatozás miatt a tulajdonos a jegybanki alapkamat-emelések azonnali hatásának van kitéve. A REX két százalékos nyitó és két százalékos záró díja ezzel szemben egy végleges, rögzített költség. A tulajdonos nem fizet kamatot, nincs havi törlesztőrészlete, és nincs kényszerlikvidációs kockázata a </w:t>
      </w:r>
      <w:r w:rsidRPr="003D3C39">
        <w:rPr>
          <w:rFonts w:ascii="Times New Roman" w:hAnsi="Times New Roman" w:cs="Times New Roman"/>
          <w:sz w:val="20"/>
          <w:szCs w:val="20"/>
        </w:rPr>
        <w:lastRenderedPageBreak/>
        <w:t xml:space="preserve">jövedelemkiesés miatt. A REX prémiumának hozzáadott értéke </w:t>
      </w:r>
      <w:r w:rsidR="006D56F2">
        <w:rPr>
          <w:rFonts w:ascii="Times New Roman" w:hAnsi="Times New Roman" w:cs="Times New Roman"/>
          <w:sz w:val="20"/>
          <w:szCs w:val="20"/>
        </w:rPr>
        <w:t>a rugalmasság</w:t>
      </w:r>
      <w:r w:rsidRPr="003D3C39">
        <w:rPr>
          <w:rFonts w:ascii="Times New Roman" w:hAnsi="Times New Roman" w:cs="Times New Roman"/>
          <w:sz w:val="20"/>
          <w:szCs w:val="20"/>
        </w:rPr>
        <w:t xml:space="preserve"> a készpénzszegény háztartások számára.</w:t>
      </w:r>
    </w:p>
    <w:p w14:paraId="0AB0546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befektetői oldalon a REX közvetlen alternatívái a Real Estate Investment Trust (REIT) alapok és az ingatlanpiaci ETF-ek. A hagyományos, nem tőzsdén forgalmazott zártvégű REIT-ek (mint a globális piacot domináló intézményi alapok) átláthatatlan és rendkívül magas belső díjstruktúrával operálnak. Jellemző az egy-másfél százalékos éves alapkezelési díj, amelyet kiegészít egy tizenkettő-húsz százalék közötti teljesítményarányos sikerdíj a meghatározott hozamküszöb felett. Egy öt éves tartási időszak alatt ezek a folyamatos levonások masszív mértékben felemésztik az eszköz nettó értékét. A REX esetében a nulla százalékos AUM díj garantálja, hogy az inflációkövető ingatlanpiaci hozam teljes egészében a befektetőnél marad.</w:t>
      </w:r>
    </w:p>
    <w:p w14:paraId="20E32861" w14:textId="6527D477" w:rsidR="002C4387" w:rsidRPr="004E2E10" w:rsidRDefault="003D3C39" w:rsidP="003D3C39">
      <w:pPr>
        <w:jc w:val="both"/>
        <w:rPr>
          <w:rFonts w:ascii="Times New Roman" w:hAnsi="Times New Roman" w:cs="Times New Roman"/>
          <w:color w:val="000000"/>
          <w:kern w:val="0"/>
          <w:sz w:val="20"/>
          <w:szCs w:val="20"/>
        </w:rPr>
      </w:pPr>
      <w:r w:rsidRPr="003D3C39">
        <w:rPr>
          <w:rFonts w:ascii="Times New Roman" w:hAnsi="Times New Roman" w:cs="Times New Roman"/>
          <w:sz w:val="20"/>
          <w:szCs w:val="20"/>
        </w:rPr>
        <w:t>A tőzsdén forgalmazott ingatlan ETF-ek (mint például a Vanguard termékei) valóban kínálnak ultra-alacsony, akár 0.10 százalékos éves költséghányadot, azonban az általuk biztosított kitettség minőségében és fókuszában összehasonlíthatatlanok a REX rendszerével. Egy globális ingatlan ETF jellemzően logisztikai központokat, irodaházakat és gigantikus kereskedelmi fejlesztéseket vásárol. Ezek a makroszintű eszközök erős korrelációt mutatnak a szélesebb gazdasági válságokkal és az intézményi bérleti piac összeomlásával, miközben teljesen érzéketlenek a lakossági ingatlanpiac organikus, lokális ármozgásaira. A REX másodlagos piacán alkalmazott 0.5 százalékos kereskedési díj és az AMM spread az az ár, amit az intézményi és lakossági befektetők a példátlan granularitásért és exkluzivitásért fizetnek. A REX az első olyan rendszer, amely lehetővé teszi a piac számára, hogy tisztán, működési és bérlői kockázatok nélkül vásárolja meg egy specifikus kerület, például egy varsói vagy budapesti mikrorégió lakóingatlan-piacának egy négyzetméterre vetített ármozgását. Az illikvid, egyedi lakóingatlan-tőke másodpercek alatt tranzaktálható szintetikus eszközzé alakítása olyan hatalmas pénzügyi innováció, amely technológiai és hozzáférhetőségi monopóliumot biztosít a platformnak, maximálisan indokolva és fenntarthatóvá téve a fixált, prémium díjstruktúrát.</w:t>
      </w:r>
      <w:r w:rsidR="002C4387" w:rsidRPr="004E2E10">
        <w:rPr>
          <w:rFonts w:ascii="Times New Roman" w:hAnsi="Times New Roman" w:cs="Times New Roman"/>
          <w:sz w:val="20"/>
          <w:szCs w:val="20"/>
        </w:rPr>
        <w:br w:type="page"/>
      </w:r>
    </w:p>
    <w:p w14:paraId="78D00117" w14:textId="12B41054"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Piackutatás (PESTEL, SWOT, kereslet) </w:t>
      </w:r>
    </w:p>
    <w:p w14:paraId="4418E7A3" w14:textId="343EC91F" w:rsidR="002107D7" w:rsidRPr="004E2E10" w:rsidRDefault="002107D7" w:rsidP="004E2E10">
      <w:pPr>
        <w:jc w:val="both"/>
        <w:rPr>
          <w:rFonts w:ascii="Times New Roman" w:hAnsi="Times New Roman" w:cs="Times New Roman"/>
          <w:sz w:val="20"/>
          <w:szCs w:val="20"/>
        </w:rPr>
      </w:pPr>
    </w:p>
    <w:p w14:paraId="0F0A1D54"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REX architektúra piaci pozicionálását vizsgálva a politikai és szabályozói környezet jelenti a legnagyobb akadályt, de egyben a legszélesebb védvonalat is. A hagyományos Real Estate ETF-ek, mint a Vanguard VNQI, vagy a nyilvánosan forgalmazott REIT-ek a legszigorúbb tőzsdefelügyeleti keretek között működnek. Ezzel szemben a tokenizált lakossági ingatlantőke egy szabályozói szürkezónában mozog. A politikai nyomás kettős jellegű: egyrészt a kormányzatok a lakhatási válság és a magas kamatkörnyezet miatt támogatják a lakossági teherviselést csökkentő innovációkat, másrészt a hagyományos bankrendszer – amelynek a HELOC és a HELoan termékek masszív kamatbevételeket generálnak – erős lobbitevékenységet folytat az adósságmentes alternatívák ellen. A REX rendszernek politikai és jogi szinten kell bizonyítania, hogy a tokenizált részvények és az AMM poolokban forgó eszközök nem minősülnek engedély nélküli értékpapír-kibocsátásnak, hanem egy új, szabályozott szintetikus eszközosztályt képviselnek, amely transzparens, a nemzeti földhivatali rendszerekkel szinkronizálható jogi és adózási keretrendszerrel rendelkezik.</w:t>
      </w:r>
    </w:p>
    <w:p w14:paraId="1213D877"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jelenlegi makrogazdasági környezet a REX modell legfőbb katalizátora. A magas jegybanki alapkamatok drasztikusan megdrágították a hagyományos hiteltermékeket. Egy rulírozó HELOC vagy egy fix kamatozású HELoan jelenleg olyan magas kamatfelárat tartalmaz, amely a készpénzszegény lakástulajdonosok számára finanszírozhatatlanná teszi a tőkefelszabadítást, és növeli a kényszerlikvidáció kockázatát. A REX ezzel szemben kamat- és adósságmentes likviditást biztosít. Befektetői oldalon a makrogazdasági fókusz a hozamkeresésről a precíziós diverzifikációra tolódott. Míg a masszív REIT és ETF szektor elsősorban kereskedelmi ingatlan kitettséggel rendelkezik, amely erősen korrelál a gazdasági ciklusokkal, a REX a globális lakóingatlan-piac mikroszintű, inflációkövető ármozgásait teszi elérhetővé. Társadalmi szinten egyértelmű az eltolódás a digitális vagyonkezelés felé. Az idősebb generációk kénytelenek felszabadítani az ingatlanukban lévő tőkét anélkül, hogy elhagynák otthonukat, míg a fiatalabb befektetői rétegek a lassú, átláthatatlan zártvégű alapok helyett az azonnali elszámolású, tört részvényes alternatívákat keresik. A REX technológiai fölénye, az okosszerződések és az Automatizált Értékbecslő Rendszer alkalmazása teszi lehetővé, hogy ez a két demográfiai véglet egyetlen, közvetítők nélküli likviditási poolban találkozzon.</w:t>
      </w:r>
    </w:p>
    <w:p w14:paraId="1E640282"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REX rendszer stratégiai versenyelemzése és piaci potenciálja</w:t>
      </w:r>
    </w:p>
    <w:p w14:paraId="7DC0EE52"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platform stratégiai pozícióját vizsgálva a modell legfőbb erőssége az adósságmentes tőkefelszabadítás mechanizmusában rejlik. A hagyományos banki konstrukciókkal ellentétben a REX tisztán tőkealapú kockázatmegosztást alkalmaz, így nem terheli havi törlesztőrészlettel a tulajdonost, megszüntetve a kamatláb-kockázatot. Szintén hatalmas versenyelőny az illikvid eszközök azonnali likviddé tétele. Míg a nagy zártvégű REIT-ek havi vagy negyedéves szinten szigorúan limitálják a visszaváltásokat, a REX az automatizált árjegyzőkön keresztül folyamatos, azonnali elszámolású likviditást garantál. Intézményi szempontból a hiper-granuláris kitettség jelent paradigmaváltást: a rendszer lehetővé teszi, hogy a befektetők ne csak makroszintű portfóliókat vásároljanak, hanem akár egyetlen specifikus kerület lakóingatlan-piacának organikus hozamát is megszerezzék.</w:t>
      </w:r>
    </w:p>
    <w:p w14:paraId="6D83A95C"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rendszer gyengeségei között elsősorban az extrém kezdeti tőkeigényt kell megemlíteni. A garantált likviditáshoz és az elfogadható árfolyamcsúszás fenntartásához a Genezis Poolok masszív előfinanszírozott készpénztartalékot követelnek meg. További kockázatot jelent az AVM modell kitettsége; ha a gépi tanulási algoritmus szisztematikusan téved a lokális indexekhez képest, a kibocsátott részvények mögöttes fedezeti értéke sérülhet. Emellett a koncepció mély technológiai komplexitása komoly edukációs gátat képezhet a lakossági ügyfelek akvizíciója során. Ezen kihívások ellenére a piaci lehetőségek óriásiak. A hagyományos pénzügyi óriások, mint a BlackRock vagy a Fidelity, agresszíven keresik a lakossági alternatív eszközöket, ami a REX technológiai infrastruktúráját elsődleges felvásárlási célponttá teszi. A rendszer képes kannibalizálni a több tízmilliárd dolláros ingatlan-crowdfunding piacot is, amely jelenleg hosszú évekre köti le a befektetők tőkéjét. A legnagyobb fenyegetést egyértelműen a szabályozói szigorítások, a kereskedelmi bankok lobbitevékenysége, valamint egy esetleges globális ingatlanpiaci összeomlás jelenti, amely extrém tőkekivonási pánikot idézhet elő a likviditási poolokban, tesztelve a matematikai modell teherbírását.</w:t>
      </w:r>
    </w:p>
    <w:p w14:paraId="11B32E22" w14:textId="2F029DC8" w:rsidR="00787253" w:rsidRPr="006D56F2" w:rsidRDefault="00787253" w:rsidP="006D56F2">
      <w:pPr>
        <w:jc w:val="both"/>
        <w:rPr>
          <w:rFonts w:ascii="Times New Roman" w:hAnsi="Times New Roman" w:cs="Times New Roman"/>
          <w:color w:val="000000"/>
          <w:kern w:val="0"/>
          <w:sz w:val="20"/>
          <w:szCs w:val="20"/>
        </w:rPr>
      </w:pPr>
    </w:p>
    <w:sectPr w:rsidR="00787253" w:rsidRPr="006D56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996"/>
    <w:multiLevelType w:val="multilevel"/>
    <w:tmpl w:val="7116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1008D"/>
    <w:multiLevelType w:val="multilevel"/>
    <w:tmpl w:val="92601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C5857"/>
    <w:multiLevelType w:val="multilevel"/>
    <w:tmpl w:val="9D0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85E06"/>
    <w:multiLevelType w:val="hybridMultilevel"/>
    <w:tmpl w:val="3E0495E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37B85E13"/>
    <w:multiLevelType w:val="multilevel"/>
    <w:tmpl w:val="839C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319D4"/>
    <w:multiLevelType w:val="hybridMultilevel"/>
    <w:tmpl w:val="1D1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57731B4"/>
    <w:multiLevelType w:val="multilevel"/>
    <w:tmpl w:val="2992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47BD5"/>
    <w:multiLevelType w:val="multilevel"/>
    <w:tmpl w:val="C40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8F2E21"/>
    <w:multiLevelType w:val="hybridMultilevel"/>
    <w:tmpl w:val="AC167C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778A3C2D"/>
    <w:multiLevelType w:val="multilevel"/>
    <w:tmpl w:val="A5AE7F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6651244">
    <w:abstractNumId w:val="5"/>
  </w:num>
  <w:num w:numId="2" w16cid:durableId="372002358">
    <w:abstractNumId w:val="3"/>
  </w:num>
  <w:num w:numId="3" w16cid:durableId="1937057246">
    <w:abstractNumId w:val="8"/>
  </w:num>
  <w:num w:numId="4" w16cid:durableId="1236624971">
    <w:abstractNumId w:val="0"/>
  </w:num>
  <w:num w:numId="5" w16cid:durableId="1539774620">
    <w:abstractNumId w:val="2"/>
  </w:num>
  <w:num w:numId="6" w16cid:durableId="456798183">
    <w:abstractNumId w:val="6"/>
  </w:num>
  <w:num w:numId="7" w16cid:durableId="322663422">
    <w:abstractNumId w:val="7"/>
  </w:num>
  <w:num w:numId="8" w16cid:durableId="1045830084">
    <w:abstractNumId w:val="4"/>
  </w:num>
  <w:num w:numId="9" w16cid:durableId="1356886808">
    <w:abstractNumId w:val="1"/>
  </w:num>
  <w:num w:numId="10" w16cid:durableId="1010647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749"/>
    <w:rsid w:val="000505CA"/>
    <w:rsid w:val="00100B5D"/>
    <w:rsid w:val="00147BB3"/>
    <w:rsid w:val="00151B00"/>
    <w:rsid w:val="00197BE4"/>
    <w:rsid w:val="002107D7"/>
    <w:rsid w:val="00217BC6"/>
    <w:rsid w:val="00222749"/>
    <w:rsid w:val="0024720A"/>
    <w:rsid w:val="002C4387"/>
    <w:rsid w:val="003029E9"/>
    <w:rsid w:val="003D3C39"/>
    <w:rsid w:val="004E2E10"/>
    <w:rsid w:val="0054256A"/>
    <w:rsid w:val="00550773"/>
    <w:rsid w:val="00553CEB"/>
    <w:rsid w:val="005A3CA0"/>
    <w:rsid w:val="005A47C0"/>
    <w:rsid w:val="005B09FF"/>
    <w:rsid w:val="00626DE1"/>
    <w:rsid w:val="006B56C7"/>
    <w:rsid w:val="006D25CD"/>
    <w:rsid w:val="006D56F2"/>
    <w:rsid w:val="006F5314"/>
    <w:rsid w:val="00787253"/>
    <w:rsid w:val="007A7B56"/>
    <w:rsid w:val="0081079B"/>
    <w:rsid w:val="0082722C"/>
    <w:rsid w:val="009A4FBD"/>
    <w:rsid w:val="00CD4705"/>
    <w:rsid w:val="00CE0701"/>
    <w:rsid w:val="00D22C12"/>
    <w:rsid w:val="00EA071C"/>
    <w:rsid w:val="00ED4F2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DD44"/>
  <w15:chartTrackingRefBased/>
  <w15:docId w15:val="{F801CA4C-8935-4B2B-BFC8-FDA4BD9BA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7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7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7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7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7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7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7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7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7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7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7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7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7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7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7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7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7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749"/>
    <w:rPr>
      <w:rFonts w:eastAsiaTheme="majorEastAsia" w:cstheme="majorBidi"/>
      <w:color w:val="272727" w:themeColor="text1" w:themeTint="D8"/>
    </w:rPr>
  </w:style>
  <w:style w:type="paragraph" w:styleId="Title">
    <w:name w:val="Title"/>
    <w:basedOn w:val="Normal"/>
    <w:next w:val="Normal"/>
    <w:link w:val="TitleChar"/>
    <w:uiPriority w:val="10"/>
    <w:qFormat/>
    <w:rsid w:val="002227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7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7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7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749"/>
    <w:pPr>
      <w:spacing w:before="160"/>
      <w:jc w:val="center"/>
    </w:pPr>
    <w:rPr>
      <w:i/>
      <w:iCs/>
      <w:color w:val="404040" w:themeColor="text1" w:themeTint="BF"/>
    </w:rPr>
  </w:style>
  <w:style w:type="character" w:customStyle="1" w:styleId="QuoteChar">
    <w:name w:val="Quote Char"/>
    <w:basedOn w:val="DefaultParagraphFont"/>
    <w:link w:val="Quote"/>
    <w:uiPriority w:val="29"/>
    <w:rsid w:val="00222749"/>
    <w:rPr>
      <w:i/>
      <w:iCs/>
      <w:color w:val="404040" w:themeColor="text1" w:themeTint="BF"/>
    </w:rPr>
  </w:style>
  <w:style w:type="paragraph" w:styleId="ListParagraph">
    <w:name w:val="List Paragraph"/>
    <w:basedOn w:val="Normal"/>
    <w:uiPriority w:val="34"/>
    <w:qFormat/>
    <w:rsid w:val="00222749"/>
    <w:pPr>
      <w:ind w:left="720"/>
      <w:contextualSpacing/>
    </w:pPr>
  </w:style>
  <w:style w:type="character" w:styleId="IntenseEmphasis">
    <w:name w:val="Intense Emphasis"/>
    <w:basedOn w:val="DefaultParagraphFont"/>
    <w:uiPriority w:val="21"/>
    <w:qFormat/>
    <w:rsid w:val="00222749"/>
    <w:rPr>
      <w:i/>
      <w:iCs/>
      <w:color w:val="0F4761" w:themeColor="accent1" w:themeShade="BF"/>
    </w:rPr>
  </w:style>
  <w:style w:type="paragraph" w:styleId="IntenseQuote">
    <w:name w:val="Intense Quote"/>
    <w:basedOn w:val="Normal"/>
    <w:next w:val="Normal"/>
    <w:link w:val="IntenseQuoteChar"/>
    <w:uiPriority w:val="30"/>
    <w:qFormat/>
    <w:rsid w:val="00222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749"/>
    <w:rPr>
      <w:i/>
      <w:iCs/>
      <w:color w:val="0F4761" w:themeColor="accent1" w:themeShade="BF"/>
    </w:rPr>
  </w:style>
  <w:style w:type="character" w:styleId="IntenseReference">
    <w:name w:val="Intense Reference"/>
    <w:basedOn w:val="DefaultParagraphFont"/>
    <w:uiPriority w:val="32"/>
    <w:qFormat/>
    <w:rsid w:val="00222749"/>
    <w:rPr>
      <w:b/>
      <w:bCs/>
      <w:smallCaps/>
      <w:color w:val="0F4761" w:themeColor="accent1" w:themeShade="BF"/>
      <w:spacing w:val="5"/>
    </w:rPr>
  </w:style>
  <w:style w:type="paragraph" w:customStyle="1" w:styleId="Default">
    <w:name w:val="Default"/>
    <w:rsid w:val="00222749"/>
    <w:pPr>
      <w:autoSpaceDE w:val="0"/>
      <w:autoSpaceDN w:val="0"/>
      <w:adjustRightInd w:val="0"/>
      <w:spacing w:after="0" w:line="240" w:lineRule="auto"/>
    </w:pPr>
    <w:rPr>
      <w:rFonts w:ascii="Times New Roman" w:hAnsi="Times New Roman" w:cs="Times New Roman"/>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4214</TotalTime>
  <Pages>10</Pages>
  <Words>4493</Words>
  <Characters>31008</Characters>
  <Application>Microsoft Office Word</Application>
  <DocSecurity>0</DocSecurity>
  <Lines>258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Kibédi Péter András</dc:creator>
  <cp:keywords/>
  <dc:description/>
  <cp:lastModifiedBy>Kibédi Péter András</cp:lastModifiedBy>
  <cp:revision>13</cp:revision>
  <dcterms:created xsi:type="dcterms:W3CDTF">2026-04-09T22:16:00Z</dcterms:created>
  <dcterms:modified xsi:type="dcterms:W3CDTF">2026-04-15T00:59:00Z</dcterms:modified>
</cp:coreProperties>
</file>