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EAEF" w14:textId="77777777" w:rsidR="00FE2C32" w:rsidRDefault="00FE2C32" w:rsidP="00D21549">
      <w:pPr>
        <w:pStyle w:val="Heading2"/>
        <w:jc w:val="both"/>
      </w:pPr>
      <w:r w:rsidRPr="00D21549">
        <w:t>Adatforrások</w:t>
      </w:r>
      <w:r w:rsidRPr="00444AC1">
        <w:t xml:space="preserve"> beszerzése és előkészítése</w:t>
      </w:r>
    </w:p>
    <w:p w14:paraId="55BC7EBA" w14:textId="25FCB8C1" w:rsidR="00394587" w:rsidRDefault="00FE2C32" w:rsidP="00D21549">
      <w:pPr>
        <w:jc w:val="both"/>
      </w:pPr>
      <w:r>
        <w:t xml:space="preserve">A projekt teszteléséhez és szimulációjához szükségünk van egy dummy adathalmazra. Erre a célra a </w:t>
      </w:r>
      <w:hyperlink r:id="rId5" w:history="1">
        <w:r w:rsidRPr="00C7631F">
          <w:rPr>
            <w:rStyle w:val="Hyperlink"/>
          </w:rPr>
          <w:t>www.kaggle.com/datasets</w:t>
        </w:r>
      </w:hyperlink>
      <w:r>
        <w:t xml:space="preserve"> oldalról tudtunk ingyen letölteni egy megfelelő, eredetileg banki tranzakciókat tartalmazó példa adathalmazt. Ez egy CSV file, ami tartalmaz számunkra nem releváns oszlopokat is. A ’Category’ és a ’Merchant Name’ oszlopra a mi projektünkhöz nincs szükség. Továbbá a személyes adatokat szét kell választani a tranzakcióktól. Így két CSV file lesz a vége.</w:t>
      </w:r>
    </w:p>
    <w:p w14:paraId="7E9924B5" w14:textId="56BC4E06" w:rsidR="00FE2C32" w:rsidRDefault="00FE2C32" w:rsidP="00D21549">
      <w:pPr>
        <w:pStyle w:val="ListParagraph"/>
        <w:numPr>
          <w:ilvl w:val="0"/>
          <w:numId w:val="2"/>
        </w:numPr>
        <w:jc w:val="both"/>
      </w:pPr>
      <w:r>
        <w:t>Tran</w:t>
      </w:r>
      <w:r w:rsidR="00956A1C">
        <w:t>s</w:t>
      </w:r>
      <w:r>
        <w:t>actions.csv; tartalmazza: Customer ID, Transaction Amount, Date</w:t>
      </w:r>
    </w:p>
    <w:p w14:paraId="54552755" w14:textId="483124A5" w:rsidR="00FE2C32" w:rsidRDefault="00FE2C32" w:rsidP="00D21549">
      <w:pPr>
        <w:pStyle w:val="ListParagraph"/>
        <w:numPr>
          <w:ilvl w:val="0"/>
          <w:numId w:val="2"/>
        </w:numPr>
        <w:jc w:val="both"/>
      </w:pPr>
      <w:r>
        <w:t xml:space="preserve">Users.csv; tartalmazza: </w:t>
      </w:r>
      <w:r w:rsidR="00956A1C">
        <w:t>Customer ID, Name, Surname, Gender, Birthdate</w:t>
      </w:r>
    </w:p>
    <w:p w14:paraId="1DBACC1C" w14:textId="77777777" w:rsidR="00F22D70" w:rsidRDefault="00F22D70" w:rsidP="00D21549">
      <w:pPr>
        <w:pStyle w:val="Heading2"/>
        <w:jc w:val="both"/>
      </w:pPr>
      <w:r w:rsidRPr="00444AC1">
        <w:t xml:space="preserve">Jogi struktúra </w:t>
      </w:r>
      <w:r>
        <w:t>blockchain vonzatában</w:t>
      </w:r>
    </w:p>
    <w:p w14:paraId="51BEBF2E" w14:textId="16829E5B" w:rsidR="00956A1C" w:rsidRDefault="00F22D70" w:rsidP="00D21549">
      <w:pPr>
        <w:jc w:val="both"/>
      </w:pPr>
      <w:r>
        <w:t>Bár a projektünk fő célja a technológia kialakítása, fontosak a jogi kérdések is, mivel ha legálisan nem lehet üzemeltetni a blockchain alapú platformunkat, akkor nincs értelme kidolgozni. A piaci környezetben egy cég kereteiben lehetne alkalmazni a platformot.</w:t>
      </w:r>
    </w:p>
    <w:p w14:paraId="5CB5A265" w14:textId="4527BC4B" w:rsidR="00F22D70" w:rsidRDefault="00F22D70" w:rsidP="00D21549">
      <w:pPr>
        <w:jc w:val="both"/>
      </w:pPr>
      <w:r>
        <w:t>A következő cégformák kapcsolódnak blockchain technológiákoz:</w:t>
      </w:r>
    </w:p>
    <w:p w14:paraId="6DC00313" w14:textId="5B45E519" w:rsidR="00F22D70" w:rsidRDefault="00F22D70" w:rsidP="00D21549">
      <w:pPr>
        <w:pStyle w:val="ListParagraph"/>
        <w:numPr>
          <w:ilvl w:val="0"/>
          <w:numId w:val="3"/>
        </w:numPr>
        <w:jc w:val="both"/>
      </w:pPr>
      <w:r w:rsidRPr="00F22D70">
        <w:t>Klasszikus cég + blockchain</w:t>
      </w:r>
    </w:p>
    <w:p w14:paraId="084E56AA" w14:textId="3E1D577F" w:rsidR="00F22D70" w:rsidRDefault="00F22D70" w:rsidP="00D21549">
      <w:pPr>
        <w:pStyle w:val="ListParagraph"/>
        <w:numPr>
          <w:ilvl w:val="0"/>
          <w:numId w:val="3"/>
        </w:numPr>
        <w:jc w:val="both"/>
      </w:pPr>
      <w:r w:rsidRPr="00F22D70">
        <w:t>Alapítvány + cég</w:t>
      </w:r>
    </w:p>
    <w:p w14:paraId="0931EBD5" w14:textId="10ECEDD4" w:rsidR="00F22D70" w:rsidRDefault="00F22D70" w:rsidP="00D21549">
      <w:pPr>
        <w:pStyle w:val="ListParagraph"/>
        <w:numPr>
          <w:ilvl w:val="0"/>
          <w:numId w:val="3"/>
        </w:numPr>
        <w:jc w:val="both"/>
      </w:pPr>
      <w:r w:rsidRPr="00F22D70">
        <w:t>DAO (Decentralized Autonomous Organization)</w:t>
      </w:r>
    </w:p>
    <w:p w14:paraId="1FC53607" w14:textId="4954BC5D" w:rsidR="00F22D70" w:rsidRDefault="00F22D70" w:rsidP="00D21549">
      <w:pPr>
        <w:jc w:val="both"/>
      </w:pPr>
      <w:r>
        <w:t xml:space="preserve">A legegyszerűbb és legegyértelműbb, egy klasszikus </w:t>
      </w:r>
      <w:r w:rsidR="00DB7BED">
        <w:t>vállalati struktúra, amelyben egy korlátolt felelősségű társaság üzemelteti a platformot. A társaság köt szerződéseket, kezeli a pénzügyeket, bevételt és kiadást. Továbbá ehhez a céghez kapcsolódhat maga a projekt fejlesztése is, de egy kapcsolt válalkozás is fejlesztheti a technológiát. Így a kockázatok és bizonytalanságok ismertek.</w:t>
      </w:r>
    </w:p>
    <w:p w14:paraId="55A75A2C" w14:textId="55EB93F1" w:rsidR="00DB7BED" w:rsidRDefault="00DB7BED" w:rsidP="00D21549">
      <w:pPr>
        <w:jc w:val="both"/>
      </w:pPr>
      <w:r>
        <w:t>Blockchain szektorban sokszor a technológiát nem egy cégbe helyezik el, hanem egy alapítványba. Így a fejlesztéssel foglalkozó alapítvány semleges, minden működéssel kapcsolatos tevékenységért a cég felel. Ez a felépítés inkább publikus protokolok és közösségi érdekek képviseletére alkalmas, mintsem egy profitorientált vállalkozás működésére. Ennek a modellnek az előnye a funkciók szétválasztása, de számunkra nem releváns, mivel az általunk fejlesztett blockchain technológia profitorientált.</w:t>
      </w:r>
    </w:p>
    <w:p w14:paraId="527F6C4C" w14:textId="07F42980" w:rsidR="00DB7BED" w:rsidRDefault="00DB7BED" w:rsidP="00D21549">
      <w:pPr>
        <w:jc w:val="both"/>
      </w:pPr>
      <w:r>
        <w:t xml:space="preserve">A harmadik forma a legújabb, viszont legbizonytalanabb; </w:t>
      </w:r>
      <w:r w:rsidRPr="00DB7BED">
        <w:t>a decentralizált autonóm szervezet</w:t>
      </w:r>
      <w:r>
        <w:t xml:space="preserve">. </w:t>
      </w:r>
      <w:r w:rsidRPr="00DB7BED">
        <w:t>A DAO olyan szervezeti modell, amelyben a döntéshozatal nem hagyományos vezetői struktúrán keresztül történik, hanem a résztvevők digitális jogosultságok vagy tokenek alapján szavazhatnak a projekt működéséről. A DAO egyik legnagyobb előnye, hogy erősen közösségi szemléletű, és jól illeszkedik a decentralizáció alapelvéhez, azonban jogi szempontból kevésbé egyértelmű, mivel sok esetben önmagában nem rendelkezik önálló jogi személyiséggel</w:t>
      </w:r>
      <w:r>
        <w:t>. Ez jogilag kockázatos</w:t>
      </w:r>
      <w:r w:rsidR="004033DF">
        <w:t>, és a valóságaban DAO-t alkalmazó projektek nem önállóak. Sokszor áll mögötte egy hagyományos jogi entitás.</w:t>
      </w:r>
    </w:p>
    <w:p w14:paraId="503FE18B" w14:textId="161DBDF7" w:rsidR="004033DF" w:rsidRDefault="004033DF" w:rsidP="00D21549">
      <w:pPr>
        <w:jc w:val="both"/>
      </w:pPr>
      <w:r w:rsidRPr="004033DF">
        <w:lastRenderedPageBreak/>
        <w:t xml:space="preserve">A három modell összevetése alapján megállapítható, hogy a klasszikus cégforma a legegyszerűbb és legstabilabb megoldás </w:t>
      </w:r>
      <w:r>
        <w:t>számunkra</w:t>
      </w:r>
      <w:r w:rsidRPr="004033DF">
        <w:t xml:space="preserve">, </w:t>
      </w:r>
      <w:r>
        <w:t>vagy egy cég alatt (projekt fejlesztés + piaci működés), vagy kapcsolt vállalkozásként két cégként. Így minimalizáljuk a jogi bizonytalanságot és a piaci működést gátló akadályokat.</w:t>
      </w:r>
    </w:p>
    <w:p w14:paraId="5BD544A7" w14:textId="6DC28722" w:rsidR="004033DF" w:rsidRDefault="004033DF" w:rsidP="00D21549">
      <w:pPr>
        <w:pStyle w:val="Heading2"/>
        <w:jc w:val="both"/>
      </w:pPr>
      <w:r w:rsidRPr="004033DF">
        <w:t>Piaci és versenytársi jogi elemzés</w:t>
      </w:r>
    </w:p>
    <w:p w14:paraId="5292594A" w14:textId="06182BFD" w:rsidR="004033DF" w:rsidRDefault="004033DF" w:rsidP="00D21549">
      <w:pPr>
        <w:jc w:val="both"/>
      </w:pPr>
      <w:r w:rsidRPr="004033DF">
        <w:t>A Residential Property Exchange (REX) platform koncepciójához hasonló megoldások az elmúlt években elsősorban az Egyesült Államokban jelentek meg, ahol a fractional ownership és a tokenizált ingatlanbefektetés gyorsabb szabályozási alkalmazkodás mellett fejlődhetett. Az amerikai piacon a legismertebb példák közé tartozik a Lofty és a RealT, amelyek lehetővé teszik, hogy a befektetők egy lakóingatlan értékének meghatározott hányadát digitális formában megvásárolják. Ezek a rendszerek jellemzően úgy működnek, hogy az adott ingatlan egy külön jogi társaságba kerül, amelynek tulajdonosi részesedéseit tokenek vagy digitális egységek formájában kínálják a befektetők számára. Ennek eredményeként a felhasználó nem</w:t>
      </w:r>
      <w:r w:rsidR="00435493">
        <w:t xml:space="preserve"> </w:t>
      </w:r>
      <w:r w:rsidR="00435493" w:rsidRPr="00435493">
        <w:t>közvetlenül az ingatlan tulajdonjogát szerzi meg, hanem az ingatlant birtokló társaságban szerez gazdasági érdekeltséget.</w:t>
      </w:r>
    </w:p>
    <w:p w14:paraId="35198736" w14:textId="609839F7" w:rsidR="00435493" w:rsidRDefault="00435493" w:rsidP="00D21549">
      <w:pPr>
        <w:jc w:val="both"/>
      </w:pPr>
      <w:r w:rsidRPr="00435493">
        <w:t>Az európai piacon a hasonló platformok fejlődése lassabb, mivel az ingatlanjog, az értékpapír</w:t>
      </w:r>
      <w:r>
        <w:t xml:space="preserve"> </w:t>
      </w:r>
      <w:r w:rsidRPr="00435493">
        <w:t>szabályozás és a digitális eszközök jogi megítélése országonként eltérő. Az egyik legismertebb európai szereplő a Blocksquare, amely a tokenizált ingatlanbefektetést</w:t>
      </w:r>
      <w:r>
        <w:t xml:space="preserve"> kínál. </w:t>
      </w:r>
    </w:p>
    <w:p w14:paraId="2850A70B" w14:textId="0EE0A859" w:rsidR="00435493" w:rsidRDefault="00435493" w:rsidP="00D21549">
      <w:pPr>
        <w:jc w:val="both"/>
      </w:pPr>
      <w:r w:rsidRPr="00435493">
        <w:t>Az üzleti modellek vizsgálata alapján három fő működési struktúra különíthető el.</w:t>
      </w:r>
    </w:p>
    <w:p w14:paraId="33014845" w14:textId="571A8206" w:rsidR="00435493" w:rsidRDefault="00435493" w:rsidP="00D21549">
      <w:pPr>
        <w:pStyle w:val="ListParagraph"/>
        <w:numPr>
          <w:ilvl w:val="0"/>
          <w:numId w:val="4"/>
        </w:numPr>
        <w:jc w:val="both"/>
      </w:pPr>
      <w:r w:rsidRPr="00435493">
        <w:t>klasszikus tokenizációs modell</w:t>
      </w:r>
      <w:r>
        <w:t xml:space="preserve">: </w:t>
      </w:r>
      <w:r w:rsidRPr="00435493">
        <w:t>az ingatlan értékét digitális tokenekre bont</w:t>
      </w:r>
      <w:r>
        <w:t>ódik</w:t>
      </w:r>
      <w:r w:rsidRPr="00435493">
        <w:t>, és ezek a tokenek képviselik a befektető gazdasági jogait</w:t>
      </w:r>
    </w:p>
    <w:p w14:paraId="6D480422" w14:textId="1356E374" w:rsidR="00435493" w:rsidRDefault="00435493" w:rsidP="00D21549">
      <w:pPr>
        <w:pStyle w:val="ListParagraph"/>
        <w:numPr>
          <w:ilvl w:val="0"/>
          <w:numId w:val="4"/>
        </w:numPr>
        <w:jc w:val="both"/>
      </w:pPr>
      <w:r w:rsidRPr="00435493">
        <w:t>fractional ownership modell</w:t>
      </w:r>
      <w:r>
        <w:t xml:space="preserve">: </w:t>
      </w:r>
      <w:r w:rsidRPr="00435493">
        <w:t>felhasználók részleges tulajdoni részesedést szereznek, jellemzően közvetett jogi formában</w:t>
      </w:r>
    </w:p>
    <w:p w14:paraId="1D6FA18A" w14:textId="49E4E095" w:rsidR="00435493" w:rsidRDefault="00435493" w:rsidP="00D21549">
      <w:pPr>
        <w:pStyle w:val="ListParagraph"/>
        <w:numPr>
          <w:ilvl w:val="0"/>
          <w:numId w:val="4"/>
        </w:numPr>
        <w:jc w:val="both"/>
      </w:pPr>
      <w:r w:rsidRPr="00435493">
        <w:t>REIT</w:t>
      </w:r>
      <w:r>
        <w:t xml:space="preserve"> </w:t>
      </w:r>
      <w:r w:rsidRPr="00435493">
        <w:t>megoldás</w:t>
      </w:r>
      <w:r>
        <w:t>:</w:t>
      </w:r>
      <w:r w:rsidRPr="00435493">
        <w:t xml:space="preserve"> a platform nem egyetlen ingatlant, hanem teljes ingatlanportfóliót kezel, így a befektető közvetetten diverzifikált kitettséget kap</w:t>
      </w:r>
    </w:p>
    <w:p w14:paraId="4D341AD8" w14:textId="2CA580BF" w:rsidR="00435493" w:rsidRDefault="00435493" w:rsidP="00D21549">
      <w:pPr>
        <w:jc w:val="both"/>
      </w:pPr>
      <w:r w:rsidRPr="00435493">
        <w:t>A REX szempontjából a fractional ownership és a tokenizáció kombinációja tűnik a leginkább relevánsnak, mivel ez biztosíthatja az alacsony belépési küszöböt és a gyors tranzakciós lehetőségeket</w:t>
      </w:r>
      <w:r>
        <w:t>.</w:t>
      </w:r>
    </w:p>
    <w:p w14:paraId="5BAE18D9" w14:textId="49FAFFEE" w:rsidR="00435493" w:rsidRDefault="00435493" w:rsidP="00D21549">
      <w:pPr>
        <w:pStyle w:val="Heading2"/>
        <w:jc w:val="both"/>
      </w:pPr>
      <w:r>
        <w:t>Magyar szabályozás vizsgálata (Ingatlan tulajdonjog)</w:t>
      </w:r>
    </w:p>
    <w:p w14:paraId="5665F278" w14:textId="7A8678D0" w:rsidR="00435493" w:rsidRDefault="004659C1" w:rsidP="00D21549">
      <w:pPr>
        <w:jc w:val="both"/>
      </w:pPr>
      <w:r w:rsidRPr="004659C1">
        <w:t xml:space="preserve">A magyar polgári jog lehetővé teszi, hogy egy ingatlan több természetes vagy jogi személy tulajdonában álljon egyidejűleg. Ezt a jogintézményt a magyar jog közös tulajdonként szabályozza, amelyet a 2013. évi V. </w:t>
      </w:r>
      <w:r w:rsidR="00234A34">
        <w:t xml:space="preserve">(ptk.) </w:t>
      </w:r>
      <w:r w:rsidRPr="004659C1">
        <w:t>törvény határoz meg. Közös tulajdon esetén minden tulajdonostárs rendelkezik az ingatlan egy meghatározott tulajdoni hányadával, amelyet rendszerint tört formában fejeznek ki</w:t>
      </w:r>
      <w:r>
        <w:t>.</w:t>
      </w:r>
      <w:r w:rsidRPr="004659C1">
        <w:t xml:space="preserve"> A tulajdoni hányad nem feltétlenül jelent fizikailag elkülönített ingatlanrészt, hanem az egész ingatlanra kiterjedő arányos jogot testesít meg.</w:t>
      </w:r>
    </w:p>
    <w:p w14:paraId="55DD82F3" w14:textId="09BA9489" w:rsidR="004659C1" w:rsidRDefault="004659C1" w:rsidP="00D21549">
      <w:pPr>
        <w:jc w:val="both"/>
      </w:pPr>
      <w:r w:rsidRPr="004659C1">
        <w:lastRenderedPageBreak/>
        <w:t xml:space="preserve">A közös tulajdon egyik lényeges sajátossága, hogy a tulajdonostárs saját tulajdoni hányadával önállóan rendelkezhet. Ez alapján a tulajdonos eladhatja, elajándékozhatja vagy megterhelheti a saját tulajdoni részét anélkül, hogy az egész ingatlan feletti tulajdonjog megszűnne. </w:t>
      </w:r>
      <w:r>
        <w:t>A</w:t>
      </w:r>
      <w:r w:rsidRPr="004659C1">
        <w:t xml:space="preserve"> többi tulajdonostársat bizonyos esetekben elővásárlási jog illeti meg. Ez azt jelenti, hogy ha az egyik tulajdonostárs értékesíteni kívánja a saját részét, a többi tulajdonostárs elsőbbséget élvezhet a vásárlás során azonos feltételek mellett. </w:t>
      </w:r>
      <w:r>
        <w:t>Emiatt klasszikus ingatlan-nyílvántartási rendszerek nem működhetnek a projektünk kereteiben. Továbbá nagy számű befektetés mellett nehéz lenne vezetni, és adminisztratív overheadet jelentene (pl. egy ingatlannak 1/1000 tulajdonjogát beírni nem ideális).</w:t>
      </w:r>
    </w:p>
    <w:p w14:paraId="7F44251A" w14:textId="464620EA" w:rsidR="00635DAA" w:rsidRDefault="004659C1" w:rsidP="00D21549">
      <w:pPr>
        <w:jc w:val="both"/>
      </w:pPr>
      <w:r>
        <w:t>Közös tulajdon helyett köztes jogi struktúrát ideális alkalmazni. Ilyen egy projekttársaság vagy speciális célú társaság (SPV). Az ingatlanok befektetésre bocsájtott része</w:t>
      </w:r>
      <w:r w:rsidR="00635DAA">
        <w:t>hez</w:t>
      </w:r>
      <w:r>
        <w:t xml:space="preserve"> a társaság</w:t>
      </w:r>
      <w:r w:rsidR="00635DAA">
        <w:t xml:space="preserve"> gazdasági jogokat kap</w:t>
      </w:r>
      <w:r>
        <w:t xml:space="preserve">, </w:t>
      </w:r>
      <w:r w:rsidR="00635DAA">
        <w:t>a platformon keresztül befektetők nem tulajdonjogot kapnak, hanem szerződés alapján részesedét reprezentáló tokent.</w:t>
      </w:r>
    </w:p>
    <w:p w14:paraId="48F391CF" w14:textId="6239938A" w:rsidR="00635DAA" w:rsidRDefault="00635DAA" w:rsidP="00D21549">
      <w:pPr>
        <w:jc w:val="both"/>
      </w:pPr>
      <w:r w:rsidRPr="00635DAA">
        <w:t xml:space="preserve">A magyar jog jelenlegi formájában a tokenizált ingatlantulajdon fogalmát külön nem szabályozza. </w:t>
      </w:r>
      <w:r>
        <w:t>A</w:t>
      </w:r>
      <w:r w:rsidRPr="00635DAA">
        <w:t xml:space="preserve"> blockchain alapú digitális tulajdoni egységek jelenleg önmagukban nem helyettesítik az ingatlan-nyilvántartásban szereplő tulajdonjogot. A magyar jog szerint az ingatlan tulajdonjogának átruházásához minden esetben írásbeli szerződés, ügyvédi ellenjegyzés és földhivatali bejegyzés szükséges. Ennek következtében a projektben alkalmazott digitális tokenek a jelenlegi szabályozási környezetben inkább gazdasági jogokat testesíthetnek meg, mintsem közvetlen tulajdonjogot.</w:t>
      </w:r>
    </w:p>
    <w:p w14:paraId="3BD31FFF" w14:textId="613A478A" w:rsidR="00635DAA" w:rsidRDefault="00635DAA" w:rsidP="00D21549">
      <w:pPr>
        <w:jc w:val="both"/>
      </w:pPr>
      <w:r w:rsidRPr="00635DAA">
        <w:t xml:space="preserve">A platform magyarországi működésének vizsgálata során megállapítható, hogy az ingatlanonként külön létrehozott speciális célú társaság </w:t>
      </w:r>
      <w:r>
        <w:t>(</w:t>
      </w:r>
      <w:r w:rsidRPr="00635DAA">
        <w:t>SPV modell</w:t>
      </w:r>
      <w:r>
        <w:t>)</w:t>
      </w:r>
      <w:r w:rsidRPr="00635DAA">
        <w:t xml:space="preserve"> jogilag jól elkülöníthető struktúrát biztosítana, </w:t>
      </w:r>
      <w:r>
        <w:t xml:space="preserve">de </w:t>
      </w:r>
      <w:r w:rsidRPr="00635DAA">
        <w:t>a gyakorlatban jelentős költségeket eredményezne. Minden egyes ingatlanhoz külön gazdasági társaság alapítása ügyvédi díjjal, cégbejegyzési költséggel és folyamatos könyvelési kötelezettséggel járna, amely nagyobb ingatlanszám esetén aránytalanul megnövelné a platform működési költségét.</w:t>
      </w:r>
    </w:p>
    <w:p w14:paraId="4E50FAAE" w14:textId="0B872766" w:rsidR="00635DAA" w:rsidRDefault="00635DAA" w:rsidP="00D21549">
      <w:pPr>
        <w:jc w:val="both"/>
      </w:pPr>
      <w:r w:rsidRPr="00635DAA">
        <w:t>A projekt számára ezért alkalmasabb lehet olyan konstrukció kialakítása, amelyben az eredeti tulajdonos megtartja az ingatlan teljes tulajdonjogát, és kizárólag az ingatlanhoz kapcsolódó gazdasági jogok egy részét engedi át a platform befektetőinek. Ebben a modellben a tulajdonos változatlanul szerepelne az ingatlan-nyilvántartásban, tehát a földhivatali tulajdoni lapon nem jelenne meg több tulajdonos. A befektetők nem közvetlen tulajdoni hányadot szereznének, hanem szerződéses alapon részesednének az ingatlan jövőbeni bevételeiből vagy értéknövekedéséből.</w:t>
      </w:r>
    </w:p>
    <w:p w14:paraId="77459144" w14:textId="15F7FE2C" w:rsidR="00635DAA" w:rsidRDefault="00635DAA" w:rsidP="00D21549">
      <w:pPr>
        <w:jc w:val="both"/>
      </w:pPr>
      <w:r>
        <w:t xml:space="preserve">Ez a megoldás a magyar polgári jog keretein belül bevételmegosztási vagy követelés-átruházási szerződés formájában valósulhatna meg. A befektető jogilag nem tulajdonosként jelenne meg, hanem olyan szerződéses jogosultként, aki meghatározott pénzügyi követelést szerez az ingatlan jövőbeni pénzáramlásaiból. </w:t>
      </w:r>
      <w:r w:rsidRPr="00635DAA">
        <w:t xml:space="preserve">A blockchain technológia ebben a konstrukcióban nem </w:t>
      </w:r>
      <w:r w:rsidRPr="00635DAA">
        <w:lastRenderedPageBreak/>
        <w:t>közvetlen ingatlanjogi funkciót látna el, hanem a szerződéses jogosultságok átlátható és visszakövethető rögzítését biztosítaná.</w:t>
      </w:r>
    </w:p>
    <w:p w14:paraId="275C8395" w14:textId="6641DE17" w:rsidR="00635DAA" w:rsidRDefault="00635DAA" w:rsidP="00D21549">
      <w:pPr>
        <w:jc w:val="both"/>
      </w:pPr>
      <w:r>
        <w:t xml:space="preserve">Ezzel a megoldással elkerüljük a jogi költségeket, és a földhivatali adminisztrációt. A változások csak belső rendszeren vannak nyilván tartva, amit szerződések biztosítanak. Viszont a szerződéses modell kockázatot is hordoz. </w:t>
      </w:r>
      <w:r w:rsidR="00E85A0E">
        <w:t>M</w:t>
      </w:r>
      <w:r w:rsidR="00E85A0E" w:rsidRPr="00E85A0E">
        <w:t>ivel a befektetők nem válnak közvetlen ingatlantulajdonossá, jogaik kizárólag a platform és az eredeti tulajdonos közötti szerződés érvényességétől függenek. Ezért fontos a megfelelő jogi biztosítékok beépítése, például közjegyzői okirat, zálogjogi biztosíték vagy letéti konstrukció alkalmazása.</w:t>
      </w:r>
    </w:p>
    <w:p w14:paraId="7A4E42BB" w14:textId="77777777" w:rsidR="00234A34" w:rsidRDefault="00234A34" w:rsidP="00D21549">
      <w:pPr>
        <w:pStyle w:val="Heading2"/>
        <w:jc w:val="both"/>
      </w:pPr>
      <w:r w:rsidRPr="00444AC1">
        <w:t>Adózási modell kidolgozása</w:t>
      </w:r>
    </w:p>
    <w:p w14:paraId="4213220E" w14:textId="116DE65C" w:rsidR="000B17C5" w:rsidRDefault="000B17C5" w:rsidP="00D21549">
      <w:pPr>
        <w:jc w:val="both"/>
      </w:pPr>
      <w:r w:rsidRPr="000B17C5">
        <w:t>A platform magyarországi működtetése során az adózási struktúrát három elkülönített szereplő szerint célszerű vizsgálni</w:t>
      </w:r>
      <w:r>
        <w:t xml:space="preserve">: Ingatlant feltöltő tulajdonos, befektető, platformot üzemeltető társaság. </w:t>
      </w:r>
      <w:r w:rsidRPr="000B17C5">
        <w:t>A platform sajátossága, hogy az ingatlanok teljes tulajdonjoga helyett azok részleges gazdasági értéke kerül kereskedhetővé, ezért az adózási kezelés során a hagyományos ingatlanértékesítés és a pénzügyi eszközökből származó jövedelem szabályainak kombinációj</w:t>
      </w:r>
      <w:r>
        <w:t>a érvényes.</w:t>
      </w:r>
    </w:p>
    <w:p w14:paraId="521C5F62" w14:textId="36E61231" w:rsidR="000B17C5" w:rsidRDefault="000B17C5" w:rsidP="00D21549">
      <w:pPr>
        <w:jc w:val="both"/>
      </w:pPr>
      <w:r>
        <w:t>A</w:t>
      </w:r>
      <w:r w:rsidRPr="000B17C5">
        <w:t>z ingatlant a platformra feltöltő magánszemély esetében a részleges értékesítésből származó bevétel a személyi jövedelemadóról szóló magyar szabályozás alapján ingatlan átruházásból származó jövedelemként értelmezhető.</w:t>
      </w:r>
      <w:r>
        <w:t xml:space="preserve"> </w:t>
      </w:r>
      <w:r w:rsidRPr="000B17C5">
        <w:t>Amennyiben a tulajdonos az ingatlan egy részének gazdasági jogát értékesíti, az ebből származó nyereség után 15 százalék személyi jövedelemadó fizetési kötelezettség merülhet fel.</w:t>
      </w:r>
      <w:r>
        <w:t xml:space="preserve"> A jelenlegi jogszabály alapján évente csökken az ingatlan eladásból származó adókötelesség, 5 év után ebből származó jövedelem adómentes. </w:t>
      </w:r>
    </w:p>
    <w:p w14:paraId="53310573" w14:textId="431E3765" w:rsidR="000B17C5" w:rsidRDefault="000B17C5" w:rsidP="00D21549">
      <w:pPr>
        <w:jc w:val="both"/>
      </w:pPr>
      <w:r w:rsidRPr="000B17C5">
        <w:t>A befektető oldalán a platformon keresztül megszerzett hozam</w:t>
      </w:r>
      <w:r>
        <w:t xml:space="preserve"> </w:t>
      </w:r>
      <w:r w:rsidRPr="000B17C5">
        <w:t>az árfolyamnyereségből származó nyereség, amikor a befektető a megszerzett digitális részesedést magasabb áron értékesíti.</w:t>
      </w:r>
      <w:r>
        <w:t xml:space="preserve"> </w:t>
      </w:r>
      <w:r w:rsidRPr="000B17C5">
        <w:t>Ez a nyereség Magyarországon ellenőrzött tőkepiaci ügylet hiányában egyéb árfolyamnyereségként adóz</w:t>
      </w:r>
      <w:r>
        <w:t>ik, azaz 15 százalékos személyi jövedelemadó alá esik.</w:t>
      </w:r>
    </w:p>
    <w:p w14:paraId="239DE9E3" w14:textId="70DA94BD" w:rsidR="000B17C5" w:rsidRDefault="000B17C5" w:rsidP="00D21549">
      <w:pPr>
        <w:jc w:val="both"/>
      </w:pPr>
      <w:r w:rsidRPr="000B17C5">
        <w:t>A platformot működtető vállalkozás szempontjából a bevétel elsősorban tranzakciós díjakból, listázási díjakból és szolgáltatási jutalékokból származ</w:t>
      </w:r>
      <w:r>
        <w:t xml:space="preserve">ik. Magyarországon üzemelő társaságoknak 9 százalék társasági adót kell fizetni minden nyereség után. Továbbá székhely alapján maximum 2 százalékos </w:t>
      </w:r>
      <w:r w:rsidR="00A46444">
        <w:t xml:space="preserve">helyi iparűzési adó is fizetendő az önkormányzatnak. Mivel a társaság szolgáltatást üzemeltet, így a nem ÁFÁ-s adózást kell választani. </w:t>
      </w:r>
    </w:p>
    <w:p w14:paraId="2F94CC26" w14:textId="54CF056C" w:rsidR="00A46444" w:rsidRDefault="00A46444" w:rsidP="00D21549">
      <w:pPr>
        <w:jc w:val="both"/>
      </w:pPr>
      <w:r>
        <w:t>Példa az adózásra</w:t>
      </w:r>
      <w:r w:rsidR="003764A3">
        <w:t>: e</w:t>
      </w:r>
      <w:r>
        <w:t>gy 20 Millió forint értékű 10%-os értékesítése esetén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365"/>
        <w:gridCol w:w="1298"/>
      </w:tblGrid>
      <w:tr w:rsidR="00A46444" w:rsidRPr="00A46444" w14:paraId="6D13973A" w14:textId="77777777" w:rsidTr="003764A3">
        <w:trPr>
          <w:jc w:val="center"/>
        </w:trPr>
        <w:tc>
          <w:tcPr>
            <w:tcW w:w="0" w:type="auto"/>
            <w:hideMark/>
          </w:tcPr>
          <w:p w14:paraId="78674B4B" w14:textId="77777777" w:rsidR="00A46444" w:rsidRPr="00A46444" w:rsidRDefault="00A46444" w:rsidP="00A46444">
            <w:pPr>
              <w:spacing w:after="160" w:line="278" w:lineRule="auto"/>
              <w:jc w:val="center"/>
              <w:rPr>
                <w:b/>
                <w:bCs/>
              </w:rPr>
            </w:pPr>
            <w:r w:rsidRPr="00A46444">
              <w:rPr>
                <w:b/>
                <w:bCs/>
              </w:rPr>
              <w:t>Számítás megnevezése</w:t>
            </w:r>
          </w:p>
        </w:tc>
        <w:tc>
          <w:tcPr>
            <w:tcW w:w="0" w:type="auto"/>
            <w:hideMark/>
          </w:tcPr>
          <w:p w14:paraId="2DC07166" w14:textId="77777777" w:rsidR="00A46444" w:rsidRPr="00A46444" w:rsidRDefault="00A46444" w:rsidP="00A46444">
            <w:pPr>
              <w:spacing w:after="160" w:line="278" w:lineRule="auto"/>
              <w:jc w:val="center"/>
              <w:rPr>
                <w:b/>
                <w:bCs/>
              </w:rPr>
            </w:pPr>
            <w:r w:rsidRPr="00A46444">
              <w:rPr>
                <w:b/>
                <w:bCs/>
              </w:rPr>
              <w:t>Képlet</w:t>
            </w:r>
          </w:p>
        </w:tc>
        <w:tc>
          <w:tcPr>
            <w:tcW w:w="0" w:type="auto"/>
            <w:hideMark/>
          </w:tcPr>
          <w:p w14:paraId="4ACB1C90" w14:textId="77777777" w:rsidR="00A46444" w:rsidRPr="00A46444" w:rsidRDefault="00A46444" w:rsidP="00A46444">
            <w:pPr>
              <w:spacing w:after="160" w:line="278" w:lineRule="auto"/>
              <w:jc w:val="center"/>
              <w:rPr>
                <w:b/>
                <w:bCs/>
              </w:rPr>
            </w:pPr>
            <w:r w:rsidRPr="00A46444">
              <w:rPr>
                <w:b/>
                <w:bCs/>
              </w:rPr>
              <w:t>Összeg (Ft)</w:t>
            </w:r>
          </w:p>
        </w:tc>
      </w:tr>
      <w:tr w:rsidR="00A46444" w:rsidRPr="00A46444" w14:paraId="66F62DB3" w14:textId="77777777" w:rsidTr="003764A3">
        <w:trPr>
          <w:jc w:val="center"/>
        </w:trPr>
        <w:tc>
          <w:tcPr>
            <w:tcW w:w="0" w:type="auto"/>
            <w:hideMark/>
          </w:tcPr>
          <w:p w14:paraId="6C663ED5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Ingatlan piaci értéke</w:t>
            </w:r>
          </w:p>
        </w:tc>
        <w:tc>
          <w:tcPr>
            <w:tcW w:w="0" w:type="auto"/>
            <w:hideMark/>
          </w:tcPr>
          <w:p w14:paraId="29855E54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–</w:t>
            </w:r>
          </w:p>
        </w:tc>
        <w:tc>
          <w:tcPr>
            <w:tcW w:w="0" w:type="auto"/>
            <w:hideMark/>
          </w:tcPr>
          <w:p w14:paraId="7C80742F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20 000 000</w:t>
            </w:r>
          </w:p>
        </w:tc>
      </w:tr>
      <w:tr w:rsidR="00A46444" w:rsidRPr="00A46444" w14:paraId="401E0F70" w14:textId="77777777" w:rsidTr="003764A3">
        <w:trPr>
          <w:jc w:val="center"/>
        </w:trPr>
        <w:tc>
          <w:tcPr>
            <w:tcW w:w="0" w:type="auto"/>
            <w:hideMark/>
          </w:tcPr>
          <w:p w14:paraId="0B3F26A9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Értékesített részesedés</w:t>
            </w:r>
          </w:p>
        </w:tc>
        <w:tc>
          <w:tcPr>
            <w:tcW w:w="0" w:type="auto"/>
            <w:hideMark/>
          </w:tcPr>
          <w:p w14:paraId="10BADF83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20 000 000 × 10%</w:t>
            </w:r>
          </w:p>
        </w:tc>
        <w:tc>
          <w:tcPr>
            <w:tcW w:w="0" w:type="auto"/>
            <w:hideMark/>
          </w:tcPr>
          <w:p w14:paraId="6C1D6E51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2 000 000</w:t>
            </w:r>
          </w:p>
        </w:tc>
      </w:tr>
      <w:tr w:rsidR="00A46444" w:rsidRPr="00A46444" w14:paraId="30C73726" w14:textId="77777777" w:rsidTr="003764A3">
        <w:trPr>
          <w:jc w:val="center"/>
        </w:trPr>
        <w:tc>
          <w:tcPr>
            <w:tcW w:w="0" w:type="auto"/>
            <w:hideMark/>
          </w:tcPr>
          <w:p w14:paraId="151C2807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lastRenderedPageBreak/>
              <w:t>Bekerülési érték 10%-a</w:t>
            </w:r>
          </w:p>
        </w:tc>
        <w:tc>
          <w:tcPr>
            <w:tcW w:w="0" w:type="auto"/>
            <w:hideMark/>
          </w:tcPr>
          <w:p w14:paraId="7438520E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14 000 000 × 10%</w:t>
            </w:r>
          </w:p>
        </w:tc>
        <w:tc>
          <w:tcPr>
            <w:tcW w:w="0" w:type="auto"/>
            <w:hideMark/>
          </w:tcPr>
          <w:p w14:paraId="2FB0E829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1 400 000</w:t>
            </w:r>
          </w:p>
        </w:tc>
      </w:tr>
      <w:tr w:rsidR="00A46444" w:rsidRPr="00A46444" w14:paraId="5A7C2483" w14:textId="77777777" w:rsidTr="003764A3">
        <w:trPr>
          <w:jc w:val="center"/>
        </w:trPr>
        <w:tc>
          <w:tcPr>
            <w:tcW w:w="0" w:type="auto"/>
            <w:hideMark/>
          </w:tcPr>
          <w:p w14:paraId="1A91D93A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Adóköteles nyereség</w:t>
            </w:r>
          </w:p>
        </w:tc>
        <w:tc>
          <w:tcPr>
            <w:tcW w:w="0" w:type="auto"/>
            <w:hideMark/>
          </w:tcPr>
          <w:p w14:paraId="68475318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2 000 000 − 1 400 000</w:t>
            </w:r>
          </w:p>
        </w:tc>
        <w:tc>
          <w:tcPr>
            <w:tcW w:w="0" w:type="auto"/>
            <w:hideMark/>
          </w:tcPr>
          <w:p w14:paraId="134BB56F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600 000</w:t>
            </w:r>
          </w:p>
        </w:tc>
      </w:tr>
      <w:tr w:rsidR="00A46444" w:rsidRPr="00A46444" w14:paraId="106B70AC" w14:textId="77777777" w:rsidTr="003764A3">
        <w:trPr>
          <w:jc w:val="center"/>
        </w:trPr>
        <w:tc>
          <w:tcPr>
            <w:tcW w:w="0" w:type="auto"/>
            <w:hideMark/>
          </w:tcPr>
          <w:p w14:paraId="56607ED2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SZJA (15%)</w:t>
            </w:r>
          </w:p>
        </w:tc>
        <w:tc>
          <w:tcPr>
            <w:tcW w:w="0" w:type="auto"/>
            <w:hideMark/>
          </w:tcPr>
          <w:p w14:paraId="4EEE2AB6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600 000 × 15%</w:t>
            </w:r>
          </w:p>
        </w:tc>
        <w:tc>
          <w:tcPr>
            <w:tcW w:w="0" w:type="auto"/>
            <w:hideMark/>
          </w:tcPr>
          <w:p w14:paraId="21E95B97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90 000</w:t>
            </w:r>
          </w:p>
        </w:tc>
      </w:tr>
      <w:tr w:rsidR="00A46444" w:rsidRPr="00A46444" w14:paraId="5D9F9BC8" w14:textId="77777777" w:rsidTr="003764A3">
        <w:trPr>
          <w:jc w:val="center"/>
        </w:trPr>
        <w:tc>
          <w:tcPr>
            <w:tcW w:w="0" w:type="auto"/>
            <w:hideMark/>
          </w:tcPr>
          <w:p w14:paraId="74DBEC26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Nettó bevétel</w:t>
            </w:r>
          </w:p>
        </w:tc>
        <w:tc>
          <w:tcPr>
            <w:tcW w:w="0" w:type="auto"/>
            <w:hideMark/>
          </w:tcPr>
          <w:p w14:paraId="33FF585B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2 000 000 − 90 000</w:t>
            </w:r>
          </w:p>
        </w:tc>
        <w:tc>
          <w:tcPr>
            <w:tcW w:w="0" w:type="auto"/>
            <w:hideMark/>
          </w:tcPr>
          <w:p w14:paraId="65ED59EC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1 910 000</w:t>
            </w:r>
          </w:p>
        </w:tc>
      </w:tr>
    </w:tbl>
    <w:p w14:paraId="7F95ACC1" w14:textId="2DA5E323" w:rsidR="00A46444" w:rsidRDefault="00A46444" w:rsidP="00A46444">
      <w:pPr>
        <w:jc w:val="center"/>
      </w:pPr>
      <w:r>
        <w:t>Tulajdonos szempontjából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365"/>
        <w:gridCol w:w="1176"/>
      </w:tblGrid>
      <w:tr w:rsidR="00A46444" w:rsidRPr="00A46444" w14:paraId="39D8D3BF" w14:textId="77777777" w:rsidTr="003764A3">
        <w:trPr>
          <w:jc w:val="center"/>
        </w:trPr>
        <w:tc>
          <w:tcPr>
            <w:tcW w:w="0" w:type="auto"/>
            <w:hideMark/>
          </w:tcPr>
          <w:p w14:paraId="6C4935AF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Eladási ár 1 év után</w:t>
            </w:r>
          </w:p>
        </w:tc>
        <w:tc>
          <w:tcPr>
            <w:tcW w:w="0" w:type="auto"/>
            <w:hideMark/>
          </w:tcPr>
          <w:p w14:paraId="4F9D5CE1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–</w:t>
            </w:r>
          </w:p>
        </w:tc>
        <w:tc>
          <w:tcPr>
            <w:tcW w:w="0" w:type="auto"/>
            <w:hideMark/>
          </w:tcPr>
          <w:p w14:paraId="63010990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2 300 000</w:t>
            </w:r>
          </w:p>
        </w:tc>
      </w:tr>
      <w:tr w:rsidR="00A46444" w:rsidRPr="00A46444" w14:paraId="3FD0246A" w14:textId="77777777" w:rsidTr="003764A3">
        <w:trPr>
          <w:jc w:val="center"/>
        </w:trPr>
        <w:tc>
          <w:tcPr>
            <w:tcW w:w="0" w:type="auto"/>
            <w:hideMark/>
          </w:tcPr>
          <w:p w14:paraId="0BFBEFF0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Árfolyamnyereség</w:t>
            </w:r>
          </w:p>
        </w:tc>
        <w:tc>
          <w:tcPr>
            <w:tcW w:w="0" w:type="auto"/>
            <w:hideMark/>
          </w:tcPr>
          <w:p w14:paraId="5B307B90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2 300 000 − 2 000 000</w:t>
            </w:r>
          </w:p>
        </w:tc>
        <w:tc>
          <w:tcPr>
            <w:tcW w:w="0" w:type="auto"/>
            <w:hideMark/>
          </w:tcPr>
          <w:p w14:paraId="6E01380C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300 000</w:t>
            </w:r>
          </w:p>
        </w:tc>
      </w:tr>
      <w:tr w:rsidR="00A46444" w:rsidRPr="00A46444" w14:paraId="2B9BE006" w14:textId="77777777" w:rsidTr="003764A3">
        <w:trPr>
          <w:jc w:val="center"/>
        </w:trPr>
        <w:tc>
          <w:tcPr>
            <w:tcW w:w="0" w:type="auto"/>
            <w:hideMark/>
          </w:tcPr>
          <w:p w14:paraId="56259E06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SZJA (15%)</w:t>
            </w:r>
          </w:p>
        </w:tc>
        <w:tc>
          <w:tcPr>
            <w:tcW w:w="0" w:type="auto"/>
            <w:hideMark/>
          </w:tcPr>
          <w:p w14:paraId="7C2C3BE5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300 000 × 15%</w:t>
            </w:r>
          </w:p>
        </w:tc>
        <w:tc>
          <w:tcPr>
            <w:tcW w:w="0" w:type="auto"/>
            <w:hideMark/>
          </w:tcPr>
          <w:p w14:paraId="4802B9BA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45 000</w:t>
            </w:r>
          </w:p>
        </w:tc>
      </w:tr>
      <w:tr w:rsidR="00A46444" w:rsidRPr="00A46444" w14:paraId="27789A40" w14:textId="77777777" w:rsidTr="003764A3">
        <w:trPr>
          <w:jc w:val="center"/>
        </w:trPr>
        <w:tc>
          <w:tcPr>
            <w:tcW w:w="0" w:type="auto"/>
            <w:hideMark/>
          </w:tcPr>
          <w:p w14:paraId="6ACDD74E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Nettó árfolyamnyereség</w:t>
            </w:r>
          </w:p>
        </w:tc>
        <w:tc>
          <w:tcPr>
            <w:tcW w:w="0" w:type="auto"/>
            <w:hideMark/>
          </w:tcPr>
          <w:p w14:paraId="75C9C4B8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300 000 − 45 000</w:t>
            </w:r>
          </w:p>
        </w:tc>
        <w:tc>
          <w:tcPr>
            <w:tcW w:w="0" w:type="auto"/>
            <w:hideMark/>
          </w:tcPr>
          <w:p w14:paraId="588CAA92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255 000</w:t>
            </w:r>
          </w:p>
        </w:tc>
      </w:tr>
    </w:tbl>
    <w:p w14:paraId="2425AA50" w14:textId="2DF69149" w:rsidR="00A46444" w:rsidRDefault="00A46444" w:rsidP="00A46444">
      <w:pPr>
        <w:jc w:val="center"/>
      </w:pPr>
      <w:r>
        <w:t>Befektető szempontjából 30%-os hozam esetén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1698"/>
        <w:gridCol w:w="879"/>
      </w:tblGrid>
      <w:tr w:rsidR="00A46444" w:rsidRPr="00A46444" w14:paraId="5D2A6632" w14:textId="77777777" w:rsidTr="003764A3">
        <w:trPr>
          <w:jc w:val="center"/>
        </w:trPr>
        <w:tc>
          <w:tcPr>
            <w:tcW w:w="0" w:type="auto"/>
            <w:hideMark/>
          </w:tcPr>
          <w:p w14:paraId="55C1A75C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Tranzakciós díj (2%)</w:t>
            </w:r>
          </w:p>
        </w:tc>
        <w:tc>
          <w:tcPr>
            <w:tcW w:w="0" w:type="auto"/>
            <w:hideMark/>
          </w:tcPr>
          <w:p w14:paraId="013E4BB8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2 000 000 × 2%</w:t>
            </w:r>
          </w:p>
        </w:tc>
        <w:tc>
          <w:tcPr>
            <w:tcW w:w="0" w:type="auto"/>
            <w:hideMark/>
          </w:tcPr>
          <w:p w14:paraId="4DEB7669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40 000</w:t>
            </w:r>
          </w:p>
        </w:tc>
      </w:tr>
      <w:tr w:rsidR="00A46444" w:rsidRPr="00A46444" w14:paraId="08BF05FA" w14:textId="77777777" w:rsidTr="003764A3">
        <w:trPr>
          <w:jc w:val="center"/>
        </w:trPr>
        <w:tc>
          <w:tcPr>
            <w:tcW w:w="0" w:type="auto"/>
            <w:hideMark/>
          </w:tcPr>
          <w:p w14:paraId="07EA5A11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Társasági adó (9%)</w:t>
            </w:r>
          </w:p>
        </w:tc>
        <w:tc>
          <w:tcPr>
            <w:tcW w:w="0" w:type="auto"/>
            <w:hideMark/>
          </w:tcPr>
          <w:p w14:paraId="448E037C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40 000 × 9%</w:t>
            </w:r>
          </w:p>
        </w:tc>
        <w:tc>
          <w:tcPr>
            <w:tcW w:w="0" w:type="auto"/>
            <w:hideMark/>
          </w:tcPr>
          <w:p w14:paraId="17288690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3 600</w:t>
            </w:r>
          </w:p>
        </w:tc>
      </w:tr>
      <w:tr w:rsidR="00A46444" w:rsidRPr="00A46444" w14:paraId="223A4CCE" w14:textId="77777777" w:rsidTr="003764A3">
        <w:trPr>
          <w:jc w:val="center"/>
        </w:trPr>
        <w:tc>
          <w:tcPr>
            <w:tcW w:w="0" w:type="auto"/>
            <w:hideMark/>
          </w:tcPr>
          <w:p w14:paraId="0E5902DD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Nettó platformbevétel</w:t>
            </w:r>
          </w:p>
        </w:tc>
        <w:tc>
          <w:tcPr>
            <w:tcW w:w="0" w:type="auto"/>
            <w:hideMark/>
          </w:tcPr>
          <w:p w14:paraId="07CF8459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40 000 − 3 600</w:t>
            </w:r>
          </w:p>
        </w:tc>
        <w:tc>
          <w:tcPr>
            <w:tcW w:w="0" w:type="auto"/>
            <w:hideMark/>
          </w:tcPr>
          <w:p w14:paraId="3F14F651" w14:textId="77777777" w:rsidR="00A46444" w:rsidRPr="00A46444" w:rsidRDefault="00A46444" w:rsidP="00A46444">
            <w:pPr>
              <w:spacing w:after="160" w:line="278" w:lineRule="auto"/>
              <w:jc w:val="center"/>
            </w:pPr>
            <w:r w:rsidRPr="00A46444">
              <w:t>36 400</w:t>
            </w:r>
          </w:p>
        </w:tc>
      </w:tr>
    </w:tbl>
    <w:p w14:paraId="2721B17F" w14:textId="111E1A8A" w:rsidR="00A46444" w:rsidRDefault="00A46444" w:rsidP="00A46444">
      <w:pPr>
        <w:jc w:val="center"/>
      </w:pPr>
      <w:r>
        <w:t>Platform szempontjából, 2 százaléknyi tranzakciós díj esetén</w:t>
      </w:r>
    </w:p>
    <w:p w14:paraId="115D2558" w14:textId="77777777" w:rsidR="00A46444" w:rsidRDefault="00A46444" w:rsidP="00D21549">
      <w:pPr>
        <w:jc w:val="both"/>
      </w:pPr>
    </w:p>
    <w:p w14:paraId="69BB329D" w14:textId="18144465" w:rsidR="000B17C5" w:rsidRDefault="003764A3" w:rsidP="003764A3">
      <w:pPr>
        <w:pStyle w:val="Heading2"/>
      </w:pPr>
      <w:r w:rsidRPr="003764A3">
        <w:t>Compliance rendszer kialakítása</w:t>
      </w:r>
    </w:p>
    <w:p w14:paraId="6F38008F" w14:textId="230F5ED7" w:rsidR="003764A3" w:rsidRDefault="003764A3" w:rsidP="003764A3">
      <w:pPr>
        <w:jc w:val="both"/>
      </w:pPr>
      <w:r w:rsidRPr="003764A3">
        <w:t>A REX platform működésének egyik legfontosabb jogi eleme a megfelelő compliance rendszer kialakítása, mivel a platform egyszerre kezel ingatlanhoz kapcsolódó gazdasági jogokat, befektetői tranzakciókat és digitális nyilvántartási megoldásokat.</w:t>
      </w:r>
      <w:r>
        <w:t xml:space="preserve"> F</w:t>
      </w:r>
      <w:r w:rsidRPr="003764A3">
        <w:t>ontos a pénzmosás megelőzés</w:t>
      </w:r>
      <w:r>
        <w:t>e</w:t>
      </w:r>
      <w:r w:rsidRPr="003764A3">
        <w:t>, az ügyfélazonosítás és a befektetővédelmi előírások vonatkozó szabályok alkalmazása</w:t>
      </w:r>
      <w:r>
        <w:t>.</w:t>
      </w:r>
    </w:p>
    <w:p w14:paraId="2A84C7FF" w14:textId="19906219" w:rsidR="003764A3" w:rsidRDefault="003764A3" w:rsidP="003764A3">
      <w:pPr>
        <w:jc w:val="both"/>
      </w:pPr>
      <w:r w:rsidRPr="003764A3">
        <w:t>A rendszer első eleme az ügyfélazonosítási folyamat, a Know Your Customer (KYC) eljárás. A platformra regisztráló minden felhasználó</w:t>
      </w:r>
      <w:r>
        <w:t xml:space="preserve"> </w:t>
      </w:r>
      <w:r w:rsidRPr="003764A3">
        <w:t>köteles lenne hiteles személyazonosító dokumentumot feltölteni, például személyi igazolványt vagy útlevelet</w:t>
      </w:r>
      <w:r>
        <w:t xml:space="preserve"> és </w:t>
      </w:r>
      <w:r w:rsidRPr="003764A3">
        <w:t>lakcímigazolást benyújtani. A digitális onboarding során a rendszer automatikus arcfelismeréssel és dokumentum</w:t>
      </w:r>
      <w:r>
        <w:t xml:space="preserve"> </w:t>
      </w:r>
      <w:r w:rsidRPr="003764A3">
        <w:t xml:space="preserve">ellenőrzéssel </w:t>
      </w:r>
      <w:r>
        <w:t>vizsgálja</w:t>
      </w:r>
      <w:r w:rsidRPr="003764A3">
        <w:t xml:space="preserve">, hogy a regisztráló személy valóban megegyezik-e a benyújtott okmány tulajdonosával. Ez különösen fontos a visszaélések, az identitáslopás és a fiktív számlák létrehozásának megelőzése érdekében. A felhasználók csak sikeres azonosítást követően </w:t>
      </w:r>
      <w:r>
        <w:t>férhetnek</w:t>
      </w:r>
      <w:r w:rsidRPr="003764A3">
        <w:t xml:space="preserve"> hozzá a kereskedési funkciókhoz.</w:t>
      </w:r>
    </w:p>
    <w:p w14:paraId="2DE62BC6" w14:textId="14572C5A" w:rsidR="003764A3" w:rsidRDefault="003764A3" w:rsidP="003764A3">
      <w:pPr>
        <w:jc w:val="both"/>
      </w:pPr>
      <w:r w:rsidRPr="003764A3">
        <w:t xml:space="preserve">A compliance rendszer második pillére az Anti-Money Laundering (AML) ellenőrzés. A platformnak </w:t>
      </w:r>
      <w:r>
        <w:t>képesnek kell lennie</w:t>
      </w:r>
      <w:r w:rsidRPr="003764A3">
        <w:t xml:space="preserve">, hogy felismerje a szokatlan tranzakciós </w:t>
      </w:r>
      <w:r>
        <w:t>mintákat</w:t>
      </w:r>
      <w:r w:rsidRPr="003764A3">
        <w:t xml:space="preserve">, például a rövid időn belüli nagy összegű befizetéseket, a gyakori tulajdonoscserét vagy az egymással </w:t>
      </w:r>
      <w:r w:rsidRPr="003764A3">
        <w:lastRenderedPageBreak/>
        <w:t>összefüggő mesterséges tranzakciókat. A rendszer minden pénzmozgást automatikusan értékelne kockázati szintek alapján, és a magasabb kockázatú tranzakciókat manuális felülvizsgálatra továbbítaná.</w:t>
      </w:r>
      <w:r>
        <w:t xml:space="preserve"> Ezeket a gyanús tranzakciókat kivizsgálás után engedélyeznénk vagy elutasítanánk. </w:t>
      </w:r>
    </w:p>
    <w:p w14:paraId="5FC1477E" w14:textId="7FA4014E" w:rsidR="003764A3" w:rsidRDefault="003764A3" w:rsidP="003764A3">
      <w:pPr>
        <w:jc w:val="both"/>
      </w:pPr>
      <w:r w:rsidRPr="003764A3">
        <w:t xml:space="preserve">A harmadik elem a befektetői alkalmassági vizsgálat. Mivel a tokenizált befektetés összetett pénzügyi terméknek minősülhet, a platformnak meg kell győződnie arról, hogy a felhasználók értik a kockázatokat. Ennek érdekében a rendszer a regisztráció során rövid megfelelőségi kérdőívet </w:t>
      </w:r>
      <w:r>
        <w:t>alkalmaz</w:t>
      </w:r>
      <w:r w:rsidRPr="003764A3">
        <w:t xml:space="preserve">, amely vizsgálja a befektető pénzügyi tapasztalatát, kockázatvállalási hajlandóságát és a befektetés célját. </w:t>
      </w:r>
      <w:r>
        <w:t>Ez Magyarországon egy standardizált folyamat, ami jogilag elő van írva. (például megtalálható bármelyik bank vagy az államkincstárnál a befektetési résznél a regisztráció során).</w:t>
      </w:r>
    </w:p>
    <w:p w14:paraId="7F50DDE5" w14:textId="2920613D" w:rsidR="003764A3" w:rsidRPr="003764A3" w:rsidRDefault="003764A3" w:rsidP="003764A3">
      <w:pPr>
        <w:jc w:val="both"/>
      </w:pPr>
      <w:r w:rsidRPr="003764A3">
        <w:t>A compliance rendszer negyedik része az adatvédelem és a nyilvántartáskezelés. A platform a személyes adatokat a GDPR előírásainak megfelelően kezeli, elkülönítve a személyazonosító adatokat a pénzügyi tranzakciós adatoktól. A blockchain alapú nyilvántartás kizárólag a tulajdonosi változásokat és tranzakciós eseményeket rögzít</w:t>
      </w:r>
      <w:r>
        <w:t>i</w:t>
      </w:r>
      <w:r w:rsidRPr="003764A3">
        <w:t>, a személyes adatokat titkosított hagyományos adatbázis tárol</w:t>
      </w:r>
      <w:r>
        <w:t>ja</w:t>
      </w:r>
      <w:r w:rsidRPr="003764A3">
        <w:t>. Ez lehetővé teszi a transzparenciát anélkül, hogy a felhasználók érzékeny adatai nyilvánossá válnának.</w:t>
      </w:r>
      <w:r>
        <w:t xml:space="preserve"> Ez a megoldás már a prototípus során is feljött mint kérdés, és implementálva lett.</w:t>
      </w:r>
    </w:p>
    <w:sectPr w:rsidR="003764A3" w:rsidRPr="00376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79F4"/>
    <w:multiLevelType w:val="hybridMultilevel"/>
    <w:tmpl w:val="B9C447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C01B2"/>
    <w:multiLevelType w:val="hybridMultilevel"/>
    <w:tmpl w:val="94F60D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240F6"/>
    <w:multiLevelType w:val="hybridMultilevel"/>
    <w:tmpl w:val="D9AE86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F2362"/>
    <w:multiLevelType w:val="hybridMultilevel"/>
    <w:tmpl w:val="37EA5E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21968">
    <w:abstractNumId w:val="1"/>
  </w:num>
  <w:num w:numId="2" w16cid:durableId="509028053">
    <w:abstractNumId w:val="3"/>
  </w:num>
  <w:num w:numId="3" w16cid:durableId="775834672">
    <w:abstractNumId w:val="0"/>
  </w:num>
  <w:num w:numId="4" w16cid:durableId="247857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17"/>
    <w:rsid w:val="000B17C5"/>
    <w:rsid w:val="00234A34"/>
    <w:rsid w:val="003764A3"/>
    <w:rsid w:val="00394587"/>
    <w:rsid w:val="004033DF"/>
    <w:rsid w:val="00435493"/>
    <w:rsid w:val="004659C1"/>
    <w:rsid w:val="00560017"/>
    <w:rsid w:val="00635DAA"/>
    <w:rsid w:val="006C720C"/>
    <w:rsid w:val="00762538"/>
    <w:rsid w:val="007B3F5C"/>
    <w:rsid w:val="00956A1C"/>
    <w:rsid w:val="00A46444"/>
    <w:rsid w:val="00A50149"/>
    <w:rsid w:val="00B23C73"/>
    <w:rsid w:val="00D21549"/>
    <w:rsid w:val="00D90058"/>
    <w:rsid w:val="00DB7BED"/>
    <w:rsid w:val="00E546E3"/>
    <w:rsid w:val="00E85A0E"/>
    <w:rsid w:val="00F22D70"/>
    <w:rsid w:val="00F61283"/>
    <w:rsid w:val="00FE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8B917"/>
  <w15:chartTrackingRefBased/>
  <w15:docId w15:val="{AAEAD287-72C6-46EF-B312-E4942792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C3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6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1840</Words>
  <Characters>12701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</dc:creator>
  <cp:keywords/>
  <dc:description/>
  <cp:lastModifiedBy>Bence</cp:lastModifiedBy>
  <cp:revision>7</cp:revision>
  <dcterms:created xsi:type="dcterms:W3CDTF">2026-04-22T20:25:00Z</dcterms:created>
  <dcterms:modified xsi:type="dcterms:W3CDTF">2026-04-23T21:39:00Z</dcterms:modified>
</cp:coreProperties>
</file>