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5D9AE" w14:textId="77777777" w:rsidR="00222749" w:rsidRPr="004E2E10" w:rsidRDefault="00222749" w:rsidP="004E2E10">
      <w:pPr>
        <w:jc w:val="both"/>
        <w:rPr>
          <w:rFonts w:ascii="Times New Roman" w:hAnsi="Times New Roman" w:cs="Times New Roman"/>
          <w:sz w:val="20"/>
          <w:szCs w:val="20"/>
        </w:rPr>
      </w:pPr>
    </w:p>
    <w:p w14:paraId="2C78C3B3" w14:textId="4D0B3828" w:rsidR="003029E9" w:rsidRPr="004E2E10" w:rsidRDefault="00222749" w:rsidP="004E2E10">
      <w:pPr>
        <w:pStyle w:val="Default"/>
        <w:numPr>
          <w:ilvl w:val="0"/>
          <w:numId w:val="2"/>
        </w:numPr>
        <w:ind w:left="0" w:firstLine="0"/>
        <w:jc w:val="both"/>
        <w:rPr>
          <w:sz w:val="20"/>
          <w:szCs w:val="20"/>
        </w:rPr>
      </w:pPr>
      <w:r w:rsidRPr="004E2E10">
        <w:rPr>
          <w:sz w:val="20"/>
          <w:szCs w:val="20"/>
        </w:rPr>
        <w:t xml:space="preserve">PHP Frontend dashboard fejlesztése </w:t>
      </w:r>
    </w:p>
    <w:p w14:paraId="26EF3669" w14:textId="77777777" w:rsidR="003029E9" w:rsidRPr="004E2E10" w:rsidRDefault="003029E9" w:rsidP="004E2E10">
      <w:pPr>
        <w:jc w:val="both"/>
        <w:rPr>
          <w:rFonts w:ascii="Times New Roman" w:hAnsi="Times New Roman" w:cs="Times New Roman"/>
          <w:sz w:val="20"/>
          <w:szCs w:val="20"/>
        </w:rPr>
      </w:pPr>
    </w:p>
    <w:p w14:paraId="3E9BA346" w14:textId="4F29F4AD" w:rsidR="003029E9" w:rsidRPr="003029E9" w:rsidRDefault="003029E9" w:rsidP="004E2E10">
      <w:pPr>
        <w:jc w:val="both"/>
        <w:rPr>
          <w:rFonts w:ascii="Times New Roman" w:hAnsi="Times New Roman" w:cs="Times New Roman"/>
          <w:sz w:val="20"/>
          <w:szCs w:val="20"/>
        </w:rPr>
      </w:pPr>
      <w:r w:rsidRPr="003029E9">
        <w:rPr>
          <w:rFonts w:ascii="Times New Roman" w:hAnsi="Times New Roman" w:cs="Times New Roman"/>
          <w:sz w:val="20"/>
          <w:szCs w:val="20"/>
        </w:rPr>
        <w:t>A Központi Kereskedési Terminál (REX_UI_Broker) a platform vizuális központja. Ez egy sötét témájú, üveghatású dizájnnal (glassmorphism) ellátott felület. A felhasználókat elsőként egy forgatható, 3D-s földgömb fogadja, amely vizuálisan jeleníti meg a világ aktív ingatlanpiacait. Ezen a terminálon lehetőség van kontinensek, országok és városok szintjén böngészni a piacokat, miközben az aktuális, összesített ingatlanár-indexek és a 24 órás árváltozások is láthatók. Ha a felhasználó kiválaszt egy adott piacot (például egy kerületet), interaktív grafikonokon (vonal- vagy gyertyadiagram) elemezheti az árak történelmi mozgását. Innen érhető el a Portfólió nézet is, ahol a saját befektetések, a szabad készpénz, valamint a likvid (szabadon kereskedhető) és a lekötött eszközök aránya követhető nyomon. Egy haladó nézet (Heatmap) pedig egy színkódolt, ár alapján súlyozott hőtérképen mutatja be a globális piaci trendeket. Szintén innen nyílik meg a kereskedési panel, ahol a tényleges vételi, eladási vagy lekötési (vault) szimulációk történnek.</w:t>
      </w:r>
    </w:p>
    <w:p w14:paraId="73D38427" w14:textId="5207968F" w:rsidR="003029E9" w:rsidRPr="003029E9" w:rsidRDefault="003029E9" w:rsidP="004E2E10">
      <w:pPr>
        <w:jc w:val="both"/>
        <w:rPr>
          <w:rFonts w:ascii="Times New Roman" w:hAnsi="Times New Roman" w:cs="Times New Roman"/>
          <w:sz w:val="20"/>
          <w:szCs w:val="20"/>
        </w:rPr>
      </w:pPr>
      <w:r w:rsidRPr="003029E9">
        <w:rPr>
          <w:rFonts w:ascii="Times New Roman" w:hAnsi="Times New Roman" w:cs="Times New Roman"/>
          <w:sz w:val="20"/>
          <w:szCs w:val="20"/>
        </w:rPr>
        <w:t>Ha valaki nem befektetni, hanem a saját ingatlanját szeretné bevinni a rendszerbe, az Ingatlan-Digitalizációs Űrlappal (REX_UI_Questionnaire) találkozik. Ez a felület eltér a tőzsdei termináltól: egy elegáns, "pergamen" hatású dizájnt kapott, hogy egy komoly jogi dokumentum kitöltésének érzetét keltse. Ez egy többlépcsős kérdőív, folyamatjelző sávval. A felhasználónak hét különböző szakaszban kell adatokat megadnia: kezdve a jogi nyilatkozatok elfogadásával, majd a személyes és lokációs adatok megadásával. Ezt követik a konkrét ingatlanadatok (például méret, szobák száma, tető állapota, fűtés típusa), a pénzügyi mutatók (van-e hitel a házon, mennyi az adó), és a kockázati tényezők (például klímakockázati zóna vagy függőben lévő perek). A folyamat végén a felhasználó feltölti a tulajdont igazoló dokumentumokat (pl. tulajdoni lap), és megadja, hogy az ingatlan értékének hány százalékát kívánja digitalizálni. Az űrlap valós időben jelzi, ha egy kötelező mező kimaradt, vagy ha egy válasz (például a haszonélvezeti jog) további adatokat tesz szükségessé.</w:t>
      </w:r>
    </w:p>
    <w:p w14:paraId="1481B033" w14:textId="7F51A2CF" w:rsidR="003029E9" w:rsidRPr="003029E9" w:rsidRDefault="003029E9" w:rsidP="004E2E10">
      <w:pPr>
        <w:jc w:val="both"/>
        <w:rPr>
          <w:rFonts w:ascii="Times New Roman" w:hAnsi="Times New Roman" w:cs="Times New Roman"/>
          <w:sz w:val="20"/>
          <w:szCs w:val="20"/>
        </w:rPr>
      </w:pPr>
      <w:r w:rsidRPr="003029E9">
        <w:rPr>
          <w:rFonts w:ascii="Times New Roman" w:hAnsi="Times New Roman" w:cs="Times New Roman"/>
          <w:sz w:val="20"/>
          <w:szCs w:val="20"/>
        </w:rPr>
        <w:t>A platform működésének megértését segíti a Piaci Likviditás Szimulátor (REX_UI_AMM). Ez a vizuális dashboard bemutatja, hogyan alakulnak az árak a színfalak mögött. A felhasználó itt láthatja a piaci "medence" (pool) állapotát: grafikus százaléksávok mutatják az elérhető ingatlanrészvények és a mögöttük álló készpénz arányát. Ez egy interaktív tesztkörnyezet, ahol a felhasználó szimulált vételi és eladási parancsokat adhat meg (akár dollárban, akár részvényszámban). Egy dinamikus pontdiagram (a "kötési görbe") valós időben, vizuálisan jeleníti meg, ahogy a tranzakció hatására a piaci egyensúly és az árfolyam elmozdul. A felületen egy tranzakciós napló is fut, amely rögzíti ezeket a lépéseket, és pontosan levezeti, hogy a tranzakció mérete hogyan befolyásolta a végrehajtási árat.</w:t>
      </w:r>
    </w:p>
    <w:p w14:paraId="4E515AE2" w14:textId="44BFCB84" w:rsidR="003029E9" w:rsidRPr="003029E9" w:rsidRDefault="003029E9" w:rsidP="004E2E10">
      <w:pPr>
        <w:jc w:val="both"/>
        <w:rPr>
          <w:rFonts w:ascii="Times New Roman" w:hAnsi="Times New Roman" w:cs="Times New Roman"/>
          <w:sz w:val="20"/>
          <w:szCs w:val="20"/>
        </w:rPr>
      </w:pPr>
      <w:r w:rsidRPr="003029E9">
        <w:rPr>
          <w:rFonts w:ascii="Times New Roman" w:hAnsi="Times New Roman" w:cs="Times New Roman"/>
          <w:sz w:val="20"/>
          <w:szCs w:val="20"/>
        </w:rPr>
        <w:t>Végül, a színfalak mögötti működtetéshez készült az Adminisztrációs Vezérlőpult (REX_UI_master_control). Ez a dashboard a rendszergazdák munkaállomása, egy letisztult, adatközpontú felület. Legfőbb vizuális elemei az élő statisztikai jelvények, amelyek folyamatosan mutatják a rendszerben lévő felhasználók, a regisztrált publikus ingatlanok és a titkosított privát dokumentumok pontos számát. A felület lényege a beviteli mezőkben és a vezérlőgombokban rejlik: az adminisztrátorok itt tudnak tömeges adatgenerálást indítani. Megadhatják például, hogy a rendszer generáljon azonnal több száz fiktív felhasználót és hozzájuk tartozó ingatlant, hogy a tőzsdei terminál grafikonjai és térképei adatokkal töltődjenek fel. A felület a folyamat végén egyértelmű, színkódolt üzenetekkel tájékoztat a művelet sikerességéről vagy esetleges hibáiról.</w:t>
      </w:r>
    </w:p>
    <w:p w14:paraId="19513CA6" w14:textId="77777777" w:rsidR="000505CA" w:rsidRPr="000505CA" w:rsidRDefault="000505CA" w:rsidP="004E2E10">
      <w:pPr>
        <w:jc w:val="both"/>
        <w:rPr>
          <w:rFonts w:ascii="Times New Roman" w:hAnsi="Times New Roman" w:cs="Times New Roman"/>
          <w:sz w:val="20"/>
          <w:szCs w:val="20"/>
        </w:rPr>
      </w:pPr>
      <w:r w:rsidRPr="000505CA">
        <w:rPr>
          <w:rFonts w:ascii="Times New Roman" w:hAnsi="Times New Roman" w:cs="Times New Roman"/>
          <w:sz w:val="20"/>
          <w:szCs w:val="20"/>
        </w:rPr>
        <w:t xml:space="preserve">A teljes platform szilárd, láthatatlan gerincét az Adatbázis Kezelő Modul (REX_DB_handler) biztosítja. Ez a kód felelős a strukturált adattároló felépítéséért és szigorú védelméért. A tervezésnél a maximális adatbiztonság és a jogi megfelelőség volt a fő szempont, ezért az információkat szigorúan szegmentált táblákba rendezi. A központi felhasználói tábla kezeli a befektetői és tulajdonosi profilokat, beleértve a jogosultságokat és a hivatalos ügyfél-átvilágítási (KYC) státuszokat. A legfontosabb architekturális döntés az ingatlanadatok fizikai kettéválasztása: a publikus piaci tábla kizárólag a tőzsdei terminál számára szükséges, a befektetési döntéseket támogató fizikai és pénzügyi mutatókat (például várható hozam, tető kora, tartozások) tárolja. Ezzel szemben a szigorúan bizalmas, szenzitív jogi dokumentumok, pontos utcacímek és tulajdoni lapok egy dedikált, a nyilvánosság elől elzárt kompliance táblába kerülnek. A modul tartalmaz továbbá egy automatizált biztonsági takarító (cleanup) funkciót </w:t>
      </w:r>
      <w:r w:rsidRPr="000505CA">
        <w:rPr>
          <w:rFonts w:ascii="Times New Roman" w:hAnsi="Times New Roman" w:cs="Times New Roman"/>
          <w:sz w:val="20"/>
          <w:szCs w:val="20"/>
        </w:rPr>
        <w:lastRenderedPageBreak/>
        <w:t>is, amely azonnal töröl minden olyan táblát a rendszerből, amely nem szerepel a hivatalosan engedélyezett fehérlistán, így akadályozva meg az illetéktelen adatszerkezet-módosításokat.</w:t>
      </w:r>
    </w:p>
    <w:p w14:paraId="5C907B0E" w14:textId="77777777" w:rsidR="000505CA" w:rsidRPr="000505CA" w:rsidRDefault="000505CA" w:rsidP="004E2E10">
      <w:pPr>
        <w:jc w:val="both"/>
        <w:rPr>
          <w:rFonts w:ascii="Times New Roman" w:hAnsi="Times New Roman" w:cs="Times New Roman"/>
          <w:sz w:val="20"/>
          <w:szCs w:val="20"/>
        </w:rPr>
      </w:pPr>
      <w:r w:rsidRPr="000505CA">
        <w:rPr>
          <w:rFonts w:ascii="Times New Roman" w:hAnsi="Times New Roman" w:cs="Times New Roman"/>
          <w:sz w:val="20"/>
          <w:szCs w:val="20"/>
        </w:rPr>
        <w:t>A pénzügyi tranzakciók hitelességéért és a platform transzparenciájáért a Privát Blokklánc Motor (REX_Blockchain) felel. A platform nem támaszkodik drága és külső hálózatokra, hanem egy saját fejlesztésű, Proof-of-Work (PoW) elven működő belső főkönyvet futtat, amely a MySQL adatbázis blockchain_ledger táblájában tárolja a blokkokat. Ez az algoritmus felelős azért, hogy az ingatlanok kezdeti tokenizációját, valamint az azt követő másodlagos piaci műveleteket (vétel, eladás, shortolás, trezor-zárolás) kriptográfiailag védett, megmásíthatatlan blokkokba csomagolja és JSON formátumban az adatbázisba mentse. A motor intelligens adatkészítő logikája képes a meglévő valós felhasználói és ingatlanadatokat felhasználva komplex, összefüggő szimulációs tranzakciókat generálni, amelyeket egy 100 millió dolláros likviditást biztosító "Genesis" blokktól indítva fűz láncba. A rendszer leginnovatívabb biztonsági eleme a beépített lánc-validátor: ez a funkció képes bármikor végigpásztázni az adatbázisba mentett tranzakciókat, és újra lefuttatni a matematikai ellenőrzéseket. Ha bárki – akár szándékosan, akár véletlenül – utólag módosítana egy adatot (például egy tranzakciós összeget a relációs adatbázisban), az SHA-256 hash-lánc azonnal megtörik, a rendszer pedig riaszt, és érvénytelennek minősíti a manipulált főkönyvet.</w:t>
      </w:r>
    </w:p>
    <w:p w14:paraId="163255CB" w14:textId="77777777" w:rsidR="003029E9" w:rsidRPr="004E2E10" w:rsidRDefault="003029E9" w:rsidP="004E2E10">
      <w:pPr>
        <w:jc w:val="both"/>
        <w:rPr>
          <w:rFonts w:ascii="Times New Roman" w:hAnsi="Times New Roman" w:cs="Times New Roman"/>
          <w:sz w:val="20"/>
          <w:szCs w:val="20"/>
        </w:rPr>
      </w:pPr>
    </w:p>
    <w:p w14:paraId="60E85B80" w14:textId="4D047042" w:rsidR="00222749" w:rsidRPr="004E2E10" w:rsidRDefault="003029E9" w:rsidP="004E2E10">
      <w:pPr>
        <w:jc w:val="both"/>
        <w:rPr>
          <w:rFonts w:ascii="Times New Roman" w:hAnsi="Times New Roman" w:cs="Times New Roman"/>
          <w:color w:val="000000"/>
          <w:kern w:val="0"/>
          <w:sz w:val="20"/>
          <w:szCs w:val="20"/>
        </w:rPr>
      </w:pPr>
      <w:r w:rsidRPr="004E2E10">
        <w:rPr>
          <w:rFonts w:ascii="Times New Roman" w:hAnsi="Times New Roman" w:cs="Times New Roman"/>
          <w:sz w:val="20"/>
          <w:szCs w:val="20"/>
        </w:rPr>
        <w:br w:type="page"/>
      </w:r>
    </w:p>
    <w:p w14:paraId="292A81FF" w14:textId="261C508D" w:rsidR="0024720A" w:rsidRPr="004E2E10" w:rsidRDefault="00222749" w:rsidP="004E2E10">
      <w:pPr>
        <w:pStyle w:val="Default"/>
        <w:numPr>
          <w:ilvl w:val="0"/>
          <w:numId w:val="2"/>
        </w:numPr>
        <w:ind w:left="0" w:firstLine="0"/>
        <w:jc w:val="both"/>
        <w:rPr>
          <w:sz w:val="20"/>
          <w:szCs w:val="20"/>
        </w:rPr>
      </w:pPr>
      <w:r w:rsidRPr="004E2E10">
        <w:rPr>
          <w:sz w:val="20"/>
          <w:szCs w:val="20"/>
        </w:rPr>
        <w:lastRenderedPageBreak/>
        <w:t xml:space="preserve">Backend &amp; adatbázis tervezése és fejlesztése </w:t>
      </w:r>
    </w:p>
    <w:p w14:paraId="39F1F9DE" w14:textId="77777777" w:rsidR="0024720A" w:rsidRPr="004E2E10" w:rsidRDefault="0024720A" w:rsidP="004E2E10">
      <w:pPr>
        <w:jc w:val="both"/>
        <w:rPr>
          <w:rFonts w:ascii="Times New Roman" w:hAnsi="Times New Roman" w:cs="Times New Roman"/>
          <w:sz w:val="20"/>
          <w:szCs w:val="20"/>
        </w:rPr>
      </w:pPr>
    </w:p>
    <w:p w14:paraId="4C565871" w14:textId="77777777" w:rsidR="005A47C0" w:rsidRPr="005A47C0" w:rsidRDefault="005A47C0" w:rsidP="004E2E10">
      <w:pPr>
        <w:jc w:val="both"/>
        <w:rPr>
          <w:rFonts w:ascii="Times New Roman" w:hAnsi="Times New Roman" w:cs="Times New Roman"/>
          <w:sz w:val="20"/>
          <w:szCs w:val="20"/>
        </w:rPr>
      </w:pPr>
      <w:r w:rsidRPr="005A47C0">
        <w:rPr>
          <w:rFonts w:ascii="Times New Roman" w:hAnsi="Times New Roman" w:cs="Times New Roman"/>
          <w:sz w:val="20"/>
          <w:szCs w:val="20"/>
        </w:rPr>
        <w:t>A REX (Real Estate Tokenization) platform backend és adatbázis architektúrájának elsődleges célja egy olyan hibrid rendszer létrehozása, amely zökkenőmentesen ötvözi a hagyományos relációs adatbázisok sebességét és könnyű skálázhatóságát a blokklánc technológia transzparenciájával és manipulálhatatlanságával. A fejlesztés fókuszában a maximális biztonság, a szigorú jogosultságkezelés és a másodlagos piaci tranzakciók hiteles rögzítése áll, mindez egy zárt, saját felügyelet alatt tartott ökoszisztémában.</w:t>
      </w:r>
    </w:p>
    <w:p w14:paraId="278BB5A7" w14:textId="77777777" w:rsidR="005A47C0" w:rsidRPr="005A47C0" w:rsidRDefault="005A47C0" w:rsidP="004E2E10">
      <w:pPr>
        <w:jc w:val="both"/>
        <w:rPr>
          <w:rFonts w:ascii="Times New Roman" w:hAnsi="Times New Roman" w:cs="Times New Roman"/>
          <w:sz w:val="20"/>
          <w:szCs w:val="20"/>
        </w:rPr>
      </w:pPr>
      <w:r w:rsidRPr="005A47C0">
        <w:rPr>
          <w:rFonts w:ascii="Times New Roman" w:hAnsi="Times New Roman" w:cs="Times New Roman"/>
          <w:sz w:val="20"/>
          <w:szCs w:val="20"/>
        </w:rPr>
        <w:t>Relációs Adatbázis Architektúra A rendszer alapját egy szigorúan szegmentált, normalizált MySQL adatbázis képezi, amelynek tervezésekor az adatvédelmi és pénzügyi szabályozásoknak (GDPR, KYC, AML) való megfelelés volt az irányadó. Az adatokat logikai és fizikai szinten is elkülönítettük. A központosított identitáskezelésért a felhasználói modul felel, amely differenciálja a befektetői, tulajdonosi és adminisztrátori szerepköröket, miközben beépített támogatást nyújt a felhasználó-azonosítási folyamatok nyomon követésére és az érzékeny belépési vagy adóügyi adatok védelmére.</w:t>
      </w:r>
    </w:p>
    <w:p w14:paraId="35C48FE6" w14:textId="77777777" w:rsidR="005A47C0" w:rsidRPr="005A47C0" w:rsidRDefault="005A47C0" w:rsidP="004E2E10">
      <w:pPr>
        <w:jc w:val="both"/>
        <w:rPr>
          <w:rFonts w:ascii="Times New Roman" w:hAnsi="Times New Roman" w:cs="Times New Roman"/>
          <w:sz w:val="20"/>
          <w:szCs w:val="20"/>
        </w:rPr>
      </w:pPr>
      <w:r w:rsidRPr="005A47C0">
        <w:rPr>
          <w:rFonts w:ascii="Times New Roman" w:hAnsi="Times New Roman" w:cs="Times New Roman"/>
          <w:sz w:val="20"/>
          <w:szCs w:val="20"/>
        </w:rPr>
        <w:t>Az ingatlanokhoz kapcsolódó adatköröket a maximális biztonság érdekében két teljesen különálló modulra bontottuk. A publikus piaci adatok táblája szolgálja ki a platform keresési és listázási funkcióit, így ez kizárólag a befektetési döntéshez szükséges, nem szenzitív információkat tartalmazza, mint például a lokáció, a várható hozam, a tartozások vagy az ingatlan fizikai paraméterei. Egy beépített állapotgép vezérli az ingatlanok életciklusát az audittól egészen az aktív piacra kerülésig. Ezzel szemben a privát kompliance modul egy szigorúan bizalmas, elzárt tároló, amely a pontos utcacímeket, tulajdoni lapokat és egyéb jogi dokumentumokat védi. Ez a strukturális szétválasztás garantálja, hogy egy publikus adatlekérdező végpont még szoftveres hiba esetén sem szivárogtathat ki személyes azonosításra alkalmas, érzékeny adatokat.</w:t>
      </w:r>
    </w:p>
    <w:p w14:paraId="50D1484A" w14:textId="77777777" w:rsidR="005A47C0" w:rsidRPr="005A47C0" w:rsidRDefault="005A47C0" w:rsidP="004E2E10">
      <w:pPr>
        <w:jc w:val="both"/>
        <w:rPr>
          <w:rFonts w:ascii="Times New Roman" w:hAnsi="Times New Roman" w:cs="Times New Roman"/>
          <w:sz w:val="20"/>
          <w:szCs w:val="20"/>
        </w:rPr>
      </w:pPr>
      <w:r w:rsidRPr="005A47C0">
        <w:rPr>
          <w:rFonts w:ascii="Times New Roman" w:hAnsi="Times New Roman" w:cs="Times New Roman"/>
          <w:sz w:val="20"/>
          <w:szCs w:val="20"/>
        </w:rPr>
        <w:t>A Privát Blokklánc Főkönyv A projekt legnagyobb technikai innovációja a relációs adatbázisba ágyazott, egyedi Proof-of-Work (PoW) elven működő blokklánc. A platform tudatosan nem támaszkodik külső, nyilvános hálózatokra, hanem saját rendszerén belül hitelesíti a tranzakciókat. Ebben a láncolatban minden egyes blokk a saját tartalmának, a tranzakciós adatoknak, egy időbélyegnek, egy számítási nonce értéknek, valamint az előző blokk hash-ének az egyesítéséből generál egy feltörhetetlen SHA-256 lenyomatot. A folyamat egy nulladik, úgynevezett Genesis blokkal indul, amely automatikusan létrehozza a platform likviditási alapját, beállítva a kezdeti token- és tőkekészleteket.</w:t>
      </w:r>
    </w:p>
    <w:p w14:paraId="07CF21A4" w14:textId="77777777" w:rsidR="005A47C0" w:rsidRPr="005A47C0" w:rsidRDefault="005A47C0" w:rsidP="004E2E10">
      <w:pPr>
        <w:jc w:val="both"/>
        <w:rPr>
          <w:rFonts w:ascii="Times New Roman" w:hAnsi="Times New Roman" w:cs="Times New Roman"/>
          <w:sz w:val="20"/>
          <w:szCs w:val="20"/>
        </w:rPr>
      </w:pPr>
      <w:r w:rsidRPr="005A47C0">
        <w:rPr>
          <w:rFonts w:ascii="Times New Roman" w:hAnsi="Times New Roman" w:cs="Times New Roman"/>
          <w:sz w:val="20"/>
          <w:szCs w:val="20"/>
        </w:rPr>
        <w:t>A rendszer legfőbb ereje a beépített auditálhatóságban rejlik. Az architektúra képes visszamenőleg ellenőrizni a teljes lánc integritását a kezdetektől a legutolsó tranzakcióig. Ha bármilyen belső vagy külső beavatkozás történik – például ha valaki utólag manuálisan módosít egy tranzakciós összeget az adatbázisban –, a kriptográfiai lánc azonnal megtörik. A rendszer ezt az ellenőrző algoritmusok futtatásával azonnal detektálja, és a manipulált láncszemet érvénytelennek minősíti.</w:t>
      </w:r>
    </w:p>
    <w:p w14:paraId="304A537E" w14:textId="50FEBF27" w:rsidR="005A47C0" w:rsidRPr="005A47C0" w:rsidRDefault="005A47C0" w:rsidP="004E2E10">
      <w:pPr>
        <w:jc w:val="both"/>
        <w:rPr>
          <w:rFonts w:ascii="Times New Roman" w:hAnsi="Times New Roman" w:cs="Times New Roman"/>
          <w:sz w:val="20"/>
          <w:szCs w:val="20"/>
        </w:rPr>
      </w:pPr>
      <w:r w:rsidRPr="005A47C0">
        <w:rPr>
          <w:rFonts w:ascii="Times New Roman" w:hAnsi="Times New Roman" w:cs="Times New Roman"/>
          <w:sz w:val="20"/>
          <w:szCs w:val="20"/>
        </w:rPr>
        <w:t>Tranzakciós Rendszer és Üzleti Logika</w:t>
      </w:r>
      <w:r w:rsidR="00B0308E">
        <w:rPr>
          <w:rFonts w:ascii="Times New Roman" w:hAnsi="Times New Roman" w:cs="Times New Roman"/>
          <w:sz w:val="20"/>
          <w:szCs w:val="20"/>
        </w:rPr>
        <w:t>:</w:t>
      </w:r>
      <w:r w:rsidRPr="005A47C0">
        <w:rPr>
          <w:rFonts w:ascii="Times New Roman" w:hAnsi="Times New Roman" w:cs="Times New Roman"/>
          <w:sz w:val="20"/>
          <w:szCs w:val="20"/>
        </w:rPr>
        <w:t xml:space="preserve"> A backend üzleti logikája natívan támogatja a komplex ingatlanpiaci és haladó tőzsdei műveleteket, amelyeket strukturált JSON formátumban, csomagokba foglalva rögzít a főkönyvben. Ez a rendszer kezeli a teljes tokenizációs folyamatot, amely során az új ingatlanok részesedés alapú bevezetése történik a piacra egyedi azonosítók generálásával. Emellett teljeskörűen kiszolgálja az alapvető másodlagos piaci kereskedést, a vételi és eladási tranzakciókat, sőt, a haladó piaci mozgásokat is, mint amilyen a short pozíciók felvétele fedezetszámítással. Az ökoszisztéma stabilitását a beépített zárolási mechanizmus növeli, amely lehetővé teszi a felhasználóknak, hogy tokenjeiket meghatározott időtartamokra kössék le a platform trezorjában.</w:t>
      </w:r>
    </w:p>
    <w:p w14:paraId="2E71C41E" w14:textId="0BE0FAB6" w:rsidR="005A47C0" w:rsidRPr="005A47C0" w:rsidRDefault="005A47C0" w:rsidP="004E2E10">
      <w:pPr>
        <w:jc w:val="both"/>
        <w:rPr>
          <w:rFonts w:ascii="Times New Roman" w:hAnsi="Times New Roman" w:cs="Times New Roman"/>
          <w:sz w:val="20"/>
          <w:szCs w:val="20"/>
        </w:rPr>
      </w:pPr>
      <w:r w:rsidRPr="005A47C0">
        <w:rPr>
          <w:rFonts w:ascii="Times New Roman" w:hAnsi="Times New Roman" w:cs="Times New Roman"/>
          <w:sz w:val="20"/>
          <w:szCs w:val="20"/>
        </w:rPr>
        <w:t>Technológiai Érték és Üzleti Előny</w:t>
      </w:r>
      <w:r w:rsidR="00B0308E">
        <w:rPr>
          <w:rFonts w:ascii="Times New Roman" w:hAnsi="Times New Roman" w:cs="Times New Roman"/>
          <w:sz w:val="20"/>
          <w:szCs w:val="20"/>
        </w:rPr>
        <w:t>:</w:t>
      </w:r>
      <w:r w:rsidRPr="005A47C0">
        <w:rPr>
          <w:rFonts w:ascii="Times New Roman" w:hAnsi="Times New Roman" w:cs="Times New Roman"/>
          <w:sz w:val="20"/>
          <w:szCs w:val="20"/>
        </w:rPr>
        <w:t xml:space="preserve"> Ez az architektúra tökéletes egyensúlyt teremt a teljesítmény, a költséghatékonyság és a maximális bizalom között. A modern felhasználói élményt és a másodperctört része alatti adatlekérdezéseket a villámgyors MySQL relációs modell biztosítja. Ugyanakkor a pénzügyi elszámolásokat és a tulajdonjog-váltásokat a beépített blokklánc technológia teszi megkérdőjelezhetetlenné. A megoldás banki szintű transzparenciát nyújt a befektetőknek anélkül, hogy a platformnak kiszámíthatatlan és drága tranzakciós díjakat kellene fizetnie egy harmadik fél által üzemeltetett hálózaton. Ezzel a fejlesztéssel a REX teljes és független kontrollt gyakorol a saját technológiai infrastruktúrája felett.</w:t>
      </w:r>
    </w:p>
    <w:p w14:paraId="274AFC61" w14:textId="02C0CFD6" w:rsidR="0024720A" w:rsidRPr="004E2E10" w:rsidRDefault="0024720A" w:rsidP="004E2E10">
      <w:pPr>
        <w:jc w:val="both"/>
        <w:rPr>
          <w:rFonts w:ascii="Times New Roman" w:hAnsi="Times New Roman" w:cs="Times New Roman"/>
          <w:color w:val="000000"/>
          <w:kern w:val="0"/>
          <w:sz w:val="20"/>
          <w:szCs w:val="20"/>
        </w:rPr>
      </w:pPr>
      <w:r w:rsidRPr="004E2E10">
        <w:rPr>
          <w:rFonts w:ascii="Times New Roman" w:hAnsi="Times New Roman" w:cs="Times New Roman"/>
          <w:sz w:val="20"/>
          <w:szCs w:val="20"/>
        </w:rPr>
        <w:br w:type="page"/>
      </w:r>
    </w:p>
    <w:p w14:paraId="3E5BBB4D" w14:textId="3C097FD1" w:rsidR="00222749" w:rsidRPr="004E2E10" w:rsidRDefault="00222749" w:rsidP="004E2E10">
      <w:pPr>
        <w:pStyle w:val="Default"/>
        <w:numPr>
          <w:ilvl w:val="0"/>
          <w:numId w:val="2"/>
        </w:numPr>
        <w:ind w:left="0" w:firstLine="0"/>
        <w:jc w:val="both"/>
        <w:rPr>
          <w:sz w:val="20"/>
          <w:szCs w:val="20"/>
        </w:rPr>
      </w:pPr>
      <w:r w:rsidRPr="004E2E10">
        <w:rPr>
          <w:sz w:val="20"/>
          <w:szCs w:val="20"/>
        </w:rPr>
        <w:lastRenderedPageBreak/>
        <w:t>Integráció és end-to-end tesztelés</w:t>
      </w:r>
    </w:p>
    <w:p w14:paraId="09E48F79" w14:textId="77777777" w:rsidR="0024720A" w:rsidRPr="004E2E10" w:rsidRDefault="0024720A" w:rsidP="004E2E10">
      <w:pPr>
        <w:jc w:val="both"/>
        <w:rPr>
          <w:rFonts w:ascii="Times New Roman" w:hAnsi="Times New Roman" w:cs="Times New Roman"/>
          <w:sz w:val="20"/>
          <w:szCs w:val="20"/>
        </w:rPr>
      </w:pPr>
    </w:p>
    <w:p w14:paraId="3B370BB0" w14:textId="72AA32C5" w:rsidR="00B0308E" w:rsidRPr="00B0308E" w:rsidRDefault="00B0308E" w:rsidP="00B0308E">
      <w:pPr>
        <w:jc w:val="both"/>
        <w:rPr>
          <w:rFonts w:ascii="Times New Roman" w:hAnsi="Times New Roman" w:cs="Times New Roman"/>
          <w:b/>
          <w:bCs/>
          <w:sz w:val="20"/>
          <w:szCs w:val="20"/>
        </w:rPr>
      </w:pPr>
      <w:r w:rsidRPr="00B0308E">
        <w:rPr>
          <w:rFonts w:ascii="Times New Roman" w:hAnsi="Times New Roman" w:cs="Times New Roman"/>
          <w:b/>
          <w:bCs/>
          <w:sz w:val="20"/>
          <w:szCs w:val="20"/>
        </w:rPr>
        <w:t xml:space="preserve">1. Szakasz: </w:t>
      </w:r>
      <w:r>
        <w:rPr>
          <w:rFonts w:ascii="Times New Roman" w:hAnsi="Times New Roman" w:cs="Times New Roman"/>
          <w:b/>
          <w:bCs/>
          <w:sz w:val="20"/>
          <w:szCs w:val="20"/>
        </w:rPr>
        <w:t>Onboarding</w:t>
      </w:r>
      <w:r w:rsidRPr="00B0308E">
        <w:rPr>
          <w:rFonts w:ascii="Times New Roman" w:hAnsi="Times New Roman" w:cs="Times New Roman"/>
          <w:b/>
          <w:bCs/>
          <w:sz w:val="20"/>
          <w:szCs w:val="20"/>
        </w:rPr>
        <w:t>, Hitelesítés és a Piacra Lépés Előkészítése</w:t>
      </w:r>
    </w:p>
    <w:p w14:paraId="49C83DDF" w14:textId="77777777" w:rsidR="00B0308E" w:rsidRPr="00B0308E" w:rsidRDefault="00B0308E" w:rsidP="00B0308E">
      <w:pPr>
        <w:jc w:val="both"/>
        <w:rPr>
          <w:rFonts w:ascii="Times New Roman" w:hAnsi="Times New Roman" w:cs="Times New Roman"/>
          <w:sz w:val="20"/>
          <w:szCs w:val="20"/>
        </w:rPr>
      </w:pPr>
      <w:r w:rsidRPr="00B0308E">
        <w:rPr>
          <w:rFonts w:ascii="Times New Roman" w:hAnsi="Times New Roman" w:cs="Times New Roman"/>
          <w:sz w:val="20"/>
          <w:szCs w:val="20"/>
        </w:rPr>
        <w:t>Minden felhasználói interakció – függetlenül attól, hogy a felhasználó tőkét kíván felszabadítani vagy befektetni szeretne – a regisztrációval és a személyazonosság ellenőrzésével (KYC/AML) kezdődik. Az új ügyfél adatai bekerülnek a központi MySQL adatbázis felhasználói táblájába, kezdetben függőben lévő (pending) státusszal. Ebben a fázisban a rendszer még csak "read-only" hozzáférést biztosít: a látogató megtekintheti a platform sötét témájú, üveghatású (glassmorphism) Központi Kereskedési Terminálját, böngészheti a 3D-s földgömbön a tokenizált piacokat, de tranzakciót nem indíthat. Amint a külső hitelesítő szolgáltató jóváhagyja a dokumentumokat, a fiók teljes körű jogosultságot kap. Ez a lépés azért kritikus a pénzügyi modell szempontjából, mert a privát blokklánc csak ellenőrzött entitások számára teszi lehetővé a tranzakciók hitelesítését, kizárva a szintetikus piacon a rosszindulatú, fedezet nélküli manipulációt.</w:t>
      </w:r>
    </w:p>
    <w:p w14:paraId="21FA732C" w14:textId="11FEBBE5" w:rsidR="00B0308E" w:rsidRPr="00B0308E" w:rsidRDefault="00B0308E" w:rsidP="00B0308E">
      <w:pPr>
        <w:jc w:val="both"/>
        <w:rPr>
          <w:rFonts w:ascii="Times New Roman" w:hAnsi="Times New Roman" w:cs="Times New Roman"/>
          <w:b/>
          <w:bCs/>
          <w:sz w:val="20"/>
          <w:szCs w:val="20"/>
        </w:rPr>
      </w:pPr>
      <w:r>
        <w:rPr>
          <w:rFonts w:ascii="Times New Roman" w:hAnsi="Times New Roman" w:cs="Times New Roman"/>
          <w:b/>
          <w:bCs/>
          <w:sz w:val="20"/>
          <w:szCs w:val="20"/>
        </w:rPr>
        <w:t>2</w:t>
      </w:r>
      <w:r w:rsidRPr="00B0308E">
        <w:rPr>
          <w:rFonts w:ascii="Times New Roman" w:hAnsi="Times New Roman" w:cs="Times New Roman"/>
          <w:b/>
          <w:bCs/>
          <w:sz w:val="20"/>
          <w:szCs w:val="20"/>
        </w:rPr>
        <w:t>. Szakasz: Az Ingatlantulajdonos Útja – Adatbevitel és Szegmentáció</w:t>
      </w:r>
    </w:p>
    <w:p w14:paraId="20212CB0" w14:textId="77777777" w:rsidR="00B0308E" w:rsidRPr="00B0308E" w:rsidRDefault="00B0308E" w:rsidP="00B0308E">
      <w:pPr>
        <w:jc w:val="both"/>
        <w:rPr>
          <w:rFonts w:ascii="Times New Roman" w:hAnsi="Times New Roman" w:cs="Times New Roman"/>
          <w:sz w:val="20"/>
          <w:szCs w:val="20"/>
        </w:rPr>
      </w:pPr>
      <w:r w:rsidRPr="00B0308E">
        <w:rPr>
          <w:rFonts w:ascii="Times New Roman" w:hAnsi="Times New Roman" w:cs="Times New Roman"/>
          <w:sz w:val="20"/>
          <w:szCs w:val="20"/>
        </w:rPr>
        <w:t>Amennyiben a hitelesített felhasználó tulajdonosként egy ingatlan részleges tulajdonjogát (jellemzően 10-25%-át) kívánja piacra dobni, az elegáns, "pergamen" hatású Ingatlan-Digitalizációs Űrlapon kell végighaladnia. A folyamat pénzügyi és jogi szempontból is differenciált. Bizonyos adatok megadása – mint a személyes azonosítók, a hivatalos tulajdoni lapok és a jogi nyilatkozatok – szigorúan kötelező, míg más, az ingatlan minőségére és felszereltségére vonatkozó adatok megadása opcionális, de a későbbi árazás szempontjából erősen ajánlott.</w:t>
      </w:r>
    </w:p>
    <w:p w14:paraId="33BC1D47" w14:textId="77777777" w:rsidR="00B0308E" w:rsidRPr="00B0308E" w:rsidRDefault="00B0308E" w:rsidP="00B0308E">
      <w:pPr>
        <w:jc w:val="both"/>
        <w:rPr>
          <w:rFonts w:ascii="Times New Roman" w:hAnsi="Times New Roman" w:cs="Times New Roman"/>
          <w:sz w:val="20"/>
          <w:szCs w:val="20"/>
        </w:rPr>
      </w:pPr>
      <w:r w:rsidRPr="00B0308E">
        <w:rPr>
          <w:rFonts w:ascii="Times New Roman" w:hAnsi="Times New Roman" w:cs="Times New Roman"/>
          <w:sz w:val="20"/>
          <w:szCs w:val="20"/>
        </w:rPr>
        <w:t>A rendszer már a bevitel pillanatában fizikailag és logikailag is kettéválasztja az adathalmazt. A publikus felületeken (a kereskedési terminálon) csak a magas szintű, aggregált információk jelennek meg: a lokáció (például az adott kerület vagy irányítószám), az ingatlan mérete és az alapvető fizikai paraméterek. A személyes adatok, a pontos utcacím és a jogi dokumentáció viszont egy szigorúan elzárt, titkosított kompliance adatbázisba kerülnek. Ez a diszkréció elengedhetetlen feltétele annak, hogy a lakástulajdonosok hajlandóak legyenek a platformot használni, hiszen senki sem szeretné a saját otthonának pontos címét és tulajdonosi viszonyait egy nyilvános tőzsdei felületen látni.</w:t>
      </w:r>
    </w:p>
    <w:p w14:paraId="52BBEF41" w14:textId="77777777" w:rsidR="00B0308E" w:rsidRPr="00B0308E" w:rsidRDefault="00B0308E" w:rsidP="00B0308E">
      <w:pPr>
        <w:jc w:val="both"/>
        <w:rPr>
          <w:rFonts w:ascii="Times New Roman" w:hAnsi="Times New Roman" w:cs="Times New Roman"/>
          <w:b/>
          <w:bCs/>
          <w:sz w:val="20"/>
          <w:szCs w:val="20"/>
        </w:rPr>
      </w:pPr>
      <w:r w:rsidRPr="00B0308E">
        <w:rPr>
          <w:rFonts w:ascii="Times New Roman" w:hAnsi="Times New Roman" w:cs="Times New Roman"/>
          <w:b/>
          <w:bCs/>
          <w:sz w:val="20"/>
          <w:szCs w:val="20"/>
        </w:rPr>
        <w:t>3. Szakasz: Az AVM és a Tokenizáció Pénzügyi Mechanikája</w:t>
      </w:r>
    </w:p>
    <w:p w14:paraId="0ED66EE0" w14:textId="77777777" w:rsidR="00B0308E" w:rsidRPr="00B0308E" w:rsidRDefault="00B0308E" w:rsidP="00B0308E">
      <w:pPr>
        <w:jc w:val="both"/>
        <w:rPr>
          <w:rFonts w:ascii="Times New Roman" w:hAnsi="Times New Roman" w:cs="Times New Roman"/>
          <w:sz w:val="20"/>
          <w:szCs w:val="20"/>
        </w:rPr>
      </w:pPr>
      <w:r w:rsidRPr="00B0308E">
        <w:rPr>
          <w:rFonts w:ascii="Times New Roman" w:hAnsi="Times New Roman" w:cs="Times New Roman"/>
          <w:sz w:val="20"/>
          <w:szCs w:val="20"/>
        </w:rPr>
        <w:t>Miután a tulajdonos beküldte az adatokat, a folyamat legkritikusabb pénzügyi motorja, az Automatizált Értékbecslő Rendszer (AVM) veszi át az irányítást. Az AVM feladata nem pusztán egy elméleti árfolyam megállapítása, hanem az egyedi, illikvid ingatlaneszköz transzformálása egy globálisan standardizált, homogén index-részvénnyé. Az algoritmus első lépésként az ingatlant a legkisebb elérhető regionális index-kosárhoz (például egy adott budapesti kerülethez) rendeli hozzá.</w:t>
      </w:r>
    </w:p>
    <w:p w14:paraId="53684E2E" w14:textId="77777777" w:rsidR="00B0308E" w:rsidRPr="00B0308E" w:rsidRDefault="00B0308E" w:rsidP="00B0308E">
      <w:pPr>
        <w:jc w:val="both"/>
        <w:rPr>
          <w:rFonts w:ascii="Times New Roman" w:hAnsi="Times New Roman" w:cs="Times New Roman"/>
          <w:sz w:val="20"/>
          <w:szCs w:val="20"/>
        </w:rPr>
      </w:pPr>
      <w:r w:rsidRPr="00B0308E">
        <w:rPr>
          <w:rFonts w:ascii="Times New Roman" w:hAnsi="Times New Roman" w:cs="Times New Roman"/>
          <w:sz w:val="20"/>
          <w:szCs w:val="20"/>
        </w:rPr>
        <w:t>A rendszer alapelve, hogy elméletben egy REX részvény a helyi piac egy átlagos négyzetméterének értékét reprezentálja. Az árazási és kockázatkezelési modell azonban egy tudatos, kétlépcsős diszkontálási mechanizmust alkalmaz. Első körben az AVM a külső adatbázisok, a globális ingatlanpiaci API-k és a jogilag elérhető források (például műholdképek, tulajdoni dokumentumok) alapján egy minőségi prémiumot vagy diszkontot állapít meg az index átlagárához képest. (Bár ezen adatforrások pontos aggregációs logikája ezen dokumentum hatókörén kívül esik a piaci adatszolgáltatók idioszinkratikus jellege miatt, az elv matematikai pontossággal működik).</w:t>
      </w:r>
    </w:p>
    <w:p w14:paraId="638C2D80" w14:textId="77777777" w:rsidR="00B0308E" w:rsidRPr="00B0308E" w:rsidRDefault="00B0308E" w:rsidP="00B0308E">
      <w:pPr>
        <w:jc w:val="both"/>
        <w:rPr>
          <w:rFonts w:ascii="Times New Roman" w:hAnsi="Times New Roman" w:cs="Times New Roman"/>
          <w:sz w:val="20"/>
          <w:szCs w:val="20"/>
        </w:rPr>
      </w:pPr>
      <w:r w:rsidRPr="00B0308E">
        <w:rPr>
          <w:rFonts w:ascii="Times New Roman" w:hAnsi="Times New Roman" w:cs="Times New Roman"/>
          <w:sz w:val="20"/>
          <w:szCs w:val="20"/>
        </w:rPr>
        <w:t>Második körben a rendszer – a befektetők tőkéjének védelme és a morális kockázat (moral hazard) kompenzálása érdekében – szándékosan, alapértelmezett módon alulértékeli az eszközt. Vegyünk egy konkrét példát: a tulajdonos egy teljesen átlagos, 100 négyzetméteres budapesti lakás 10%-os tulajdonrészét (ami 10 négyzetméternek felel meg) kívánja digitalizálni. Tegyük fel, hogy az adott kerületi REX index árfolyama szerint 1 négyzetméter (tehát 1 REX részvény) értéke 1000 dollár. Elméletben a tulajdonosnak 10 részvényt kellene kapnia. A minőségi vizsgálat után (mivel a lakás átlagos) az árfolyam maradna 1000 dollár, azonban a rendszer a kockázati diszkont alkalmazásával az értéket leviszi például 900 dollár/négyzetméter árra. Ennek eredményeként a tulajdonos a 10 részvény helyett csupán 9 részvényt kap kézhez a kibocsátáskor. (Ha a lakás luxus kivitelű lett volna, a minőségi prémium miatt felmehetett volna az ár 1200 dollárra, amit a kockázati diszkont 1080 dollárra húzott volna vissza, ha pedig felújítandó, az alapdiszkontot követte volna a kockázati diszkont).</w:t>
      </w:r>
    </w:p>
    <w:p w14:paraId="13BA6BD5" w14:textId="77777777" w:rsidR="00B0308E" w:rsidRPr="00B0308E" w:rsidRDefault="00B0308E" w:rsidP="00B0308E">
      <w:pPr>
        <w:jc w:val="both"/>
        <w:rPr>
          <w:rFonts w:ascii="Times New Roman" w:hAnsi="Times New Roman" w:cs="Times New Roman"/>
          <w:sz w:val="20"/>
          <w:szCs w:val="20"/>
        </w:rPr>
      </w:pPr>
      <w:r w:rsidRPr="00B0308E">
        <w:rPr>
          <w:rFonts w:ascii="Times New Roman" w:hAnsi="Times New Roman" w:cs="Times New Roman"/>
          <w:sz w:val="20"/>
          <w:szCs w:val="20"/>
        </w:rPr>
        <w:lastRenderedPageBreak/>
        <w:t>Ez az alulértékelés elsőre hátrányosnak tűnhet a tulajdonos számára, valójában azonban a rendszer zsenialitását adja: a tulajdonos semmit sem veszít. Ha elégedetlen a kapott részvénymennyiséggel, bármikor visszavásárolhatja a saját tőkéjét a piacon (erről bővebben az 5. szakaszban). A diszkont egyetlen hatása, hogy az adott pillanatban némileg kevesebb azonnali tőkét (fundingot) tud bevonni, cserébe a piac és a befektetők egy rendkívül stabil, fedezettel túlbiztosított eszközt kapnak. Miután a rendszer legenerálta (mintelte) a részvényeket, a 10%-os fizikai tulajdonrész jogilag a REX entitás kezelésébe kerül, a tulajdonos számláján pedig megjelenik a 9 darab lokális index-részvény.</w:t>
      </w:r>
    </w:p>
    <w:p w14:paraId="71C7862B" w14:textId="77777777" w:rsidR="00B0308E" w:rsidRPr="00B0308E" w:rsidRDefault="00B0308E" w:rsidP="00B0308E">
      <w:pPr>
        <w:jc w:val="both"/>
        <w:rPr>
          <w:rFonts w:ascii="Times New Roman" w:hAnsi="Times New Roman" w:cs="Times New Roman"/>
          <w:b/>
          <w:bCs/>
          <w:sz w:val="20"/>
          <w:szCs w:val="20"/>
        </w:rPr>
      </w:pPr>
      <w:r w:rsidRPr="00B0308E">
        <w:rPr>
          <w:rFonts w:ascii="Times New Roman" w:hAnsi="Times New Roman" w:cs="Times New Roman"/>
          <w:b/>
          <w:bCs/>
          <w:sz w:val="20"/>
          <w:szCs w:val="20"/>
        </w:rPr>
        <w:t>4. Szakasz: Piacra Lépés, Likviditás és Arbitrázs</w:t>
      </w:r>
    </w:p>
    <w:p w14:paraId="0E731DE1" w14:textId="77777777" w:rsidR="00B0308E" w:rsidRPr="00B0308E" w:rsidRDefault="00B0308E" w:rsidP="00B0308E">
      <w:pPr>
        <w:jc w:val="both"/>
        <w:rPr>
          <w:rFonts w:ascii="Times New Roman" w:hAnsi="Times New Roman" w:cs="Times New Roman"/>
          <w:sz w:val="20"/>
          <w:szCs w:val="20"/>
        </w:rPr>
      </w:pPr>
      <w:r w:rsidRPr="00B0308E">
        <w:rPr>
          <w:rFonts w:ascii="Times New Roman" w:hAnsi="Times New Roman" w:cs="Times New Roman"/>
          <w:sz w:val="20"/>
          <w:szCs w:val="20"/>
        </w:rPr>
        <w:t>A kibocsátást követően a tulajdonos kezébe kerül a döntés. A kapott 9 darab részvényt azonnal eladhatja a másodlagos piacon piaci (market) vagy limitáras megbízással, azonnali készpénzhez jutva. Dönthet úgy is, hogy megtartja azokat: ezzel a lépéssel azonnal diverzifikálta a kockázatát, hiszen egyetlen, specifikus fizikai eszközhöz kötött kitettségét lecserélte az egész kerület átlagos ingatlanpiaci teljesítményét lekövető indexre. Sőt, a platform teljes átjárhatóságot biztosít, így a kapott részvényeket eladva a felszabadult tőkéből bevásárolhat egy teljesen más ország vagy város indexébe is.</w:t>
      </w:r>
    </w:p>
    <w:p w14:paraId="714DF6C2" w14:textId="77777777" w:rsidR="00B0308E" w:rsidRPr="00B0308E" w:rsidRDefault="00B0308E" w:rsidP="00B0308E">
      <w:pPr>
        <w:jc w:val="both"/>
        <w:rPr>
          <w:rFonts w:ascii="Times New Roman" w:hAnsi="Times New Roman" w:cs="Times New Roman"/>
          <w:sz w:val="20"/>
          <w:szCs w:val="20"/>
        </w:rPr>
      </w:pPr>
      <w:r w:rsidRPr="00B0308E">
        <w:rPr>
          <w:rFonts w:ascii="Times New Roman" w:hAnsi="Times New Roman" w:cs="Times New Roman"/>
          <w:sz w:val="20"/>
          <w:szCs w:val="20"/>
        </w:rPr>
        <w:t>Ezen a ponton lép be a tranzakció másik oldala: a lakossági és intézményi befektetők, valamint az arbitrázs-kereskedők. Ahogy a stressztesztelési modellek is mutatják, minél kisebb egy lokális likviditási pool, annál nehezebben nyeli el az egyösszegű, nagyobb volumenű eladásokat. Amikor a tulajdonos piacra dobja a frissen generált részvényeit, az Automata Árjegyző (AMM) görbéjén eladási nyomás keletkezik, amely lefelé hajtaná a spot árat (árfolyamcsúszás). Azonban a frissen kibocsátott részvények mögött valós, diszkontált ingatlanfedezet áll, így az 1 részvény fundamentális értéke pontosan ugyanannyi, mint a tranzakció előtt.</w:t>
      </w:r>
    </w:p>
    <w:p w14:paraId="57006F41" w14:textId="77777777" w:rsidR="00B0308E" w:rsidRPr="00B0308E" w:rsidRDefault="00B0308E" w:rsidP="00B0308E">
      <w:pPr>
        <w:jc w:val="both"/>
        <w:rPr>
          <w:rFonts w:ascii="Times New Roman" w:hAnsi="Times New Roman" w:cs="Times New Roman"/>
          <w:sz w:val="20"/>
          <w:szCs w:val="20"/>
        </w:rPr>
      </w:pPr>
      <w:r w:rsidRPr="00B0308E">
        <w:rPr>
          <w:rFonts w:ascii="Times New Roman" w:hAnsi="Times New Roman" w:cs="Times New Roman"/>
          <w:sz w:val="20"/>
          <w:szCs w:val="20"/>
        </w:rPr>
        <w:t>Ezt az inkonzisztenciát használják ki az arbitrázs-kereskedők, akiket a platform kimondottan ösztönöz a részvételre. A kibocsátás ténye és a megbízási adatok transzparensen követhetők a felhasználói felületen, dedikált API-kon keresztül az algoritmikus traderek számára, és visszamenőleg a privát blokklánc főkönyvében is. Az arbitrázsőrök azonnal belépnek a piacra, felvásárolják a nyomás miatt marginálisan olcsóbbá váló részvényeket, ezzel masszív ellenirányú (vételi) likviditást biztosítva. Ez a mechanizmus garantálja, hogy a tulajdonos a tőkefelszabadítás pillanatában minimális slippage mellett tudja készpénzre váltani az eszközeit, miközben a piac pillanatok alatt visszaáll a fundamentális egyensúlyi árszintre.</w:t>
      </w:r>
    </w:p>
    <w:p w14:paraId="46B8F757" w14:textId="77777777" w:rsidR="00B0308E" w:rsidRPr="00B0308E" w:rsidRDefault="00B0308E" w:rsidP="00B0308E">
      <w:pPr>
        <w:jc w:val="both"/>
        <w:rPr>
          <w:rFonts w:ascii="Times New Roman" w:hAnsi="Times New Roman" w:cs="Times New Roman"/>
          <w:b/>
          <w:bCs/>
          <w:sz w:val="20"/>
          <w:szCs w:val="20"/>
        </w:rPr>
      </w:pPr>
      <w:r w:rsidRPr="00B0308E">
        <w:rPr>
          <w:rFonts w:ascii="Times New Roman" w:hAnsi="Times New Roman" w:cs="Times New Roman"/>
          <w:b/>
          <w:bCs/>
          <w:sz w:val="20"/>
          <w:szCs w:val="20"/>
        </w:rPr>
        <w:t>5. Szakasz: Visszavásárlási Mechanizmus és Gazdasági Ösztönzők</w:t>
      </w:r>
    </w:p>
    <w:p w14:paraId="40F59F92" w14:textId="77777777" w:rsidR="00B0308E" w:rsidRPr="00B0308E" w:rsidRDefault="00B0308E" w:rsidP="00B0308E">
      <w:pPr>
        <w:jc w:val="both"/>
        <w:rPr>
          <w:rFonts w:ascii="Times New Roman" w:hAnsi="Times New Roman" w:cs="Times New Roman"/>
          <w:sz w:val="20"/>
          <w:szCs w:val="20"/>
        </w:rPr>
      </w:pPr>
      <w:r w:rsidRPr="00B0308E">
        <w:rPr>
          <w:rFonts w:ascii="Times New Roman" w:hAnsi="Times New Roman" w:cs="Times New Roman"/>
          <w:sz w:val="20"/>
          <w:szCs w:val="20"/>
        </w:rPr>
        <w:t>A REX platform életciklusának záró és egyben leginkább értékteremtő szakasza a tőke visszavásárlása. Amennyiben a tulajdonos bármelyik jövőbeli időpontban úgy dönt, hogy szeretné visszaszerezni a teljes, 100%-os tulajdonjogát az ingatlan felett, a folyamat rendkívül egyszerű és transzparens: pontosan annyi darab részvényt kell visszavásárolnia a mindenkori piaci (index) áron, amennyit a tokenizáció pillanatában a rendszer generált számára.</w:t>
      </w:r>
    </w:p>
    <w:p w14:paraId="29F76B26" w14:textId="77777777" w:rsidR="00B0308E" w:rsidRPr="00B0308E" w:rsidRDefault="00B0308E" w:rsidP="00B0308E">
      <w:pPr>
        <w:jc w:val="both"/>
        <w:rPr>
          <w:rFonts w:ascii="Times New Roman" w:hAnsi="Times New Roman" w:cs="Times New Roman"/>
          <w:sz w:val="20"/>
          <w:szCs w:val="20"/>
        </w:rPr>
      </w:pPr>
      <w:r w:rsidRPr="00B0308E">
        <w:rPr>
          <w:rFonts w:ascii="Times New Roman" w:hAnsi="Times New Roman" w:cs="Times New Roman"/>
          <w:sz w:val="20"/>
          <w:szCs w:val="20"/>
        </w:rPr>
        <w:t>A korábbi példánál maradva: a tulajdonosnak nem a 10%-os elméleti részvényértéket (10 részvényt) kell kifizetnie, hanem kizárólag azt a 9 darab részvényt, amelyet a diszkontálás után megkapott. Amint megvásárolta és visszajuttatta ezt a 9 részvényt a REX rendszerébe (amelyeket a smart contract azonnal eléget, kivonva azokat a forgalomból), a platform jogilag felszabadítja a fedezetet, és a tulajdonos visszakapja a tehermentes ingatlanát.</w:t>
      </w:r>
    </w:p>
    <w:p w14:paraId="5AF934E4" w14:textId="242A7541" w:rsidR="005A47C0" w:rsidRPr="004E2E10" w:rsidRDefault="00B0308E" w:rsidP="00B0308E">
      <w:pPr>
        <w:jc w:val="both"/>
        <w:rPr>
          <w:rFonts w:ascii="Times New Roman" w:hAnsi="Times New Roman" w:cs="Times New Roman"/>
          <w:sz w:val="20"/>
          <w:szCs w:val="20"/>
        </w:rPr>
      </w:pPr>
      <w:r w:rsidRPr="00B0308E">
        <w:rPr>
          <w:rFonts w:ascii="Times New Roman" w:hAnsi="Times New Roman" w:cs="Times New Roman"/>
          <w:sz w:val="20"/>
          <w:szCs w:val="20"/>
        </w:rPr>
        <w:t>Ez a struktúra többszörös előnnyel jár. Egyrészt a REX központi entitása számára az egész folyamat készpénz-semleges (cash-less), hiszen nem a cég hitelez, csupán a technológiai keretrendszert és a piacteret biztosítja. Másrészt hihetetlenül erős gazdasági ösztönzőt (incentivációt) hoz létre a tulajdonos számára a vagyonmegóvásra és az értéknövelő beruházásokra. Ha a tulajdonos eladja a 9 részvényt, és az abból származó tőkét az ingatlan felújítására fordítja, a háza valós, fizikai értéke jelentősen megnőhet (például elméleti 12 részvény értékűre). Amikor azonban vissza akarja szerezni a tulajdonjogot, a platform felé továbbra is csak a kibocsátott 9 darab részvényt kell szolgáltatnia. A felújításból származó értéktöbblet – a valós ingatlanpiaci és a tokenizált index árfolyama közötti különbözet – teljes egészében és adósságmentesen a tulajdonosnál marad. A REX modellje tehát nem csupán egy likviditási eszköz, hanem egy olyan tőkeáttétel nélküli vagyonépítő ökoszisztéma, amely egyszerre védi a makropiac stabilitását és jutalmazza a mikroszintű, tulajdonosi felelősségvállalást</w:t>
      </w:r>
      <w:r>
        <w:rPr>
          <w:rFonts w:ascii="Times New Roman" w:hAnsi="Times New Roman" w:cs="Times New Roman"/>
          <w:sz w:val="20"/>
          <w:szCs w:val="20"/>
        </w:rPr>
        <w:t>.</w:t>
      </w:r>
    </w:p>
    <w:p w14:paraId="378C6D19" w14:textId="7913247A" w:rsidR="002C4387" w:rsidRPr="004E2E10" w:rsidRDefault="00222749" w:rsidP="004E2E10">
      <w:pPr>
        <w:pStyle w:val="Default"/>
        <w:numPr>
          <w:ilvl w:val="0"/>
          <w:numId w:val="2"/>
        </w:numPr>
        <w:ind w:left="0" w:firstLine="0"/>
        <w:jc w:val="both"/>
        <w:rPr>
          <w:sz w:val="20"/>
          <w:szCs w:val="20"/>
        </w:rPr>
      </w:pPr>
      <w:r w:rsidRPr="004E2E10">
        <w:rPr>
          <w:sz w:val="20"/>
          <w:szCs w:val="20"/>
        </w:rPr>
        <w:lastRenderedPageBreak/>
        <w:t xml:space="preserve">Árképzési mechanizmus kiválasztása (AMM vs. Order Book) </w:t>
      </w:r>
    </w:p>
    <w:p w14:paraId="015DCF30" w14:textId="77777777" w:rsidR="002C4387" w:rsidRPr="004E2E10" w:rsidRDefault="002C4387" w:rsidP="004E2E10">
      <w:pPr>
        <w:jc w:val="both"/>
        <w:rPr>
          <w:rFonts w:ascii="Times New Roman" w:hAnsi="Times New Roman" w:cs="Times New Roman"/>
          <w:sz w:val="20"/>
          <w:szCs w:val="20"/>
        </w:rPr>
      </w:pPr>
    </w:p>
    <w:p w14:paraId="0D5A7E0C" w14:textId="3FA0D02F" w:rsidR="002107D7" w:rsidRPr="002107D7" w:rsidRDefault="002107D7" w:rsidP="004E2E10">
      <w:pPr>
        <w:jc w:val="both"/>
        <w:rPr>
          <w:rFonts w:ascii="Times New Roman" w:hAnsi="Times New Roman" w:cs="Times New Roman"/>
          <w:sz w:val="20"/>
          <w:szCs w:val="20"/>
        </w:rPr>
      </w:pPr>
      <w:r w:rsidRPr="002107D7">
        <w:rPr>
          <w:rFonts w:ascii="Times New Roman" w:hAnsi="Times New Roman" w:cs="Times New Roman"/>
          <w:sz w:val="20"/>
          <w:szCs w:val="20"/>
        </w:rPr>
        <w:t xml:space="preserve">A modern pénzügyi piacokon a likviditás biztosításának és az árfelfedezésnek két </w:t>
      </w:r>
      <w:r w:rsidR="006D25CD" w:rsidRPr="004E2E10">
        <w:rPr>
          <w:rFonts w:ascii="Times New Roman" w:hAnsi="Times New Roman" w:cs="Times New Roman"/>
          <w:sz w:val="20"/>
          <w:szCs w:val="20"/>
        </w:rPr>
        <w:t xml:space="preserve">számunkra releváns </w:t>
      </w:r>
      <w:r w:rsidRPr="002107D7">
        <w:rPr>
          <w:rFonts w:ascii="Times New Roman" w:hAnsi="Times New Roman" w:cs="Times New Roman"/>
          <w:sz w:val="20"/>
          <w:szCs w:val="20"/>
        </w:rPr>
        <w:t xml:space="preserve">domináns paradigmája létezik: a hagyományos, ajánlati könyvre épülő modell (Central Limit Order Book, CLOB) és az okosszerződések által vezérelt Automata Árjegyző (Automated Market Maker, AMM). Egy olyan szintetikus, fragmentált és lassú forgási sebességű eszközosztály esetében, mint a tört tulajdonú lakóingatlan-részvény, az árképzési mechanizmus kiválasztása nem csupán technológiai, hanem fundamentális életképességi kérdés. A CLOB modell a magas frekvenciájú, homogén piacokon tökéletesen működik, mivel ott a vevők és eladók folyamatosan jelen vannak, és az árfolyam a limitáras megbízások dinamikus újraárazásával súrlódásmentesen alkalmazkodik az információkhoz. Az ingatlanpiacon azonban ez a modell fatális likviditási hiányosságokat okoz. Ha egy ügyfél a felkínált lakástőkéje </w:t>
      </w:r>
      <w:r w:rsidR="006F5314">
        <w:rPr>
          <w:rFonts w:ascii="Times New Roman" w:hAnsi="Times New Roman" w:cs="Times New Roman"/>
          <w:sz w:val="20"/>
          <w:szCs w:val="20"/>
        </w:rPr>
        <w:t>25%-át</w:t>
      </w:r>
      <w:r w:rsidRPr="002107D7">
        <w:rPr>
          <w:rFonts w:ascii="Times New Roman" w:hAnsi="Times New Roman" w:cs="Times New Roman"/>
          <w:sz w:val="20"/>
          <w:szCs w:val="20"/>
        </w:rPr>
        <w:t xml:space="preserve"> azonnal pénzzé kívánja tenni, a CLOB rendszerben meg kell várnia, amíg a könyv túloldalán megjelenik egy vagy több megfelelő méretű és árszintű vételi ajánlat. Ha a piac </w:t>
      </w:r>
      <w:r w:rsidR="006F5314">
        <w:rPr>
          <w:rFonts w:ascii="Times New Roman" w:hAnsi="Times New Roman" w:cs="Times New Roman"/>
          <w:sz w:val="20"/>
          <w:szCs w:val="20"/>
        </w:rPr>
        <w:t>nem elég mély,</w:t>
      </w:r>
      <w:r w:rsidRPr="002107D7">
        <w:rPr>
          <w:rFonts w:ascii="Times New Roman" w:hAnsi="Times New Roman" w:cs="Times New Roman"/>
          <w:sz w:val="20"/>
          <w:szCs w:val="20"/>
        </w:rPr>
        <w:t xml:space="preserve"> az eszköz lényegében eladhatatlanná válik, vagy a piaci áras (market order) végrehajtás drasztikus, kontrollálatlan árzuhanást idéz elő, ami a REX alapvető értékajánlatát – a megbízható tőkefelszabadítást – semmisíti meg.</w:t>
      </w:r>
    </w:p>
    <w:p w14:paraId="63A23A85" w14:textId="0B0349D7" w:rsidR="002107D7" w:rsidRPr="002107D7" w:rsidRDefault="002107D7" w:rsidP="004E2E10">
      <w:pPr>
        <w:jc w:val="both"/>
        <w:rPr>
          <w:rFonts w:ascii="Times New Roman" w:hAnsi="Times New Roman" w:cs="Times New Roman"/>
          <w:sz w:val="20"/>
          <w:szCs w:val="20"/>
        </w:rPr>
      </w:pPr>
      <w:r w:rsidRPr="002107D7">
        <w:rPr>
          <w:rFonts w:ascii="Times New Roman" w:hAnsi="Times New Roman" w:cs="Times New Roman"/>
          <w:sz w:val="20"/>
          <w:szCs w:val="20"/>
        </w:rPr>
        <w:t xml:space="preserve">Ezzel szemben a REX architektúrája egy Állandó Szorzatú Automata Árjegyző (Constant Product Market Maker, CPMM) modellt implementál, amely dedikált, emberi beavatkozás nélküli likviditást garantál. Ez a decentralizált pénzügyekből adaptált modell előre finanszírozott tartalékokra (poolokra) épül, ahol az ingatlanrészvények (X) és a likvid készpénz (Y) egyensúlyát egy </w:t>
      </w:r>
      <w:r w:rsidR="006F5314">
        <w:rPr>
          <w:rFonts w:ascii="Times New Roman" w:hAnsi="Times New Roman" w:cs="Times New Roman"/>
          <w:sz w:val="20"/>
          <w:szCs w:val="20"/>
        </w:rPr>
        <w:t>matematikai konstans (K=X*Y) szabályozza</w:t>
      </w:r>
      <w:r w:rsidRPr="002107D7">
        <w:rPr>
          <w:rFonts w:ascii="Times New Roman" w:hAnsi="Times New Roman" w:cs="Times New Roman"/>
          <w:sz w:val="20"/>
          <w:szCs w:val="20"/>
        </w:rPr>
        <w:t>. A rendszer alapköve, hogy a két eszközmennyiség szorzata a kereskedés során – a dinamikus díjak felhalmozódását megelőzően – állandó kell, hogy maradjon, amit az egyenlet ír le. Ebben a rendszerben nincs szükség a könyv túloldalán várakozó partnerre, a felhasználó magával a matematikai görbével köt üzletet. Egyetlen REX részvény azonnali (spot) árát a végrehajtás előtt a protokoll a tartalékok egyszerű hányadosaként határozza meg</w:t>
      </w:r>
      <w:r w:rsidR="006F5314">
        <w:rPr>
          <w:rFonts w:ascii="Times New Roman" w:hAnsi="Times New Roman" w:cs="Times New Roman"/>
          <w:sz w:val="20"/>
          <w:szCs w:val="20"/>
        </w:rPr>
        <w:t xml:space="preserve"> (P=Y/X)</w:t>
      </w:r>
      <w:r w:rsidRPr="002107D7">
        <w:rPr>
          <w:rFonts w:ascii="Times New Roman" w:hAnsi="Times New Roman" w:cs="Times New Roman"/>
          <w:sz w:val="20"/>
          <w:szCs w:val="20"/>
        </w:rPr>
        <w:t>.</w:t>
      </w:r>
    </w:p>
    <w:p w14:paraId="61ABE7F1" w14:textId="446CF569" w:rsidR="002107D7" w:rsidRPr="002107D7" w:rsidRDefault="002107D7" w:rsidP="004E2E10">
      <w:pPr>
        <w:jc w:val="both"/>
        <w:rPr>
          <w:rFonts w:ascii="Times New Roman" w:hAnsi="Times New Roman" w:cs="Times New Roman"/>
          <w:sz w:val="20"/>
          <w:szCs w:val="20"/>
        </w:rPr>
      </w:pPr>
      <w:r w:rsidRPr="002107D7">
        <w:rPr>
          <w:rFonts w:ascii="Times New Roman" w:hAnsi="Times New Roman" w:cs="Times New Roman"/>
          <w:sz w:val="20"/>
          <w:szCs w:val="20"/>
        </w:rPr>
        <w:t xml:space="preserve">Amikor egy lakástulajdonos értékesíti a REX részvényeit, tulajdonképpen </w:t>
      </w:r>
      <w:r w:rsidR="006F5314">
        <w:rPr>
          <w:rFonts w:ascii="Times New Roman" w:hAnsi="Times New Roman" w:cs="Times New Roman"/>
          <w:sz w:val="20"/>
          <w:szCs w:val="20"/>
        </w:rPr>
        <w:t xml:space="preserve">addot mennyiségű </w:t>
      </w:r>
      <w:r w:rsidRPr="002107D7">
        <w:rPr>
          <w:rFonts w:ascii="Times New Roman" w:hAnsi="Times New Roman" w:cs="Times New Roman"/>
          <w:sz w:val="20"/>
          <w:szCs w:val="20"/>
        </w:rPr>
        <w:t>részvényt juttat a poolba</w:t>
      </w:r>
      <w:r w:rsidR="006F5314">
        <w:rPr>
          <w:rFonts w:ascii="Times New Roman" w:hAnsi="Times New Roman" w:cs="Times New Roman"/>
          <w:sz w:val="20"/>
          <w:szCs w:val="20"/>
        </w:rPr>
        <w:t xml:space="preserve"> (X1 &gt; X0)</w:t>
      </w:r>
      <w:r w:rsidRPr="002107D7">
        <w:rPr>
          <w:rFonts w:ascii="Times New Roman" w:hAnsi="Times New Roman" w:cs="Times New Roman"/>
          <w:sz w:val="20"/>
          <w:szCs w:val="20"/>
        </w:rPr>
        <w:t xml:space="preserve">, hogy onnan </w:t>
      </w:r>
      <w:r w:rsidR="006F5314">
        <w:rPr>
          <w:rFonts w:ascii="Times New Roman" w:hAnsi="Times New Roman" w:cs="Times New Roman"/>
          <w:sz w:val="20"/>
          <w:szCs w:val="20"/>
        </w:rPr>
        <w:t xml:space="preserve">adott </w:t>
      </w:r>
      <w:r w:rsidRPr="002107D7">
        <w:rPr>
          <w:rFonts w:ascii="Times New Roman" w:hAnsi="Times New Roman" w:cs="Times New Roman"/>
          <w:sz w:val="20"/>
          <w:szCs w:val="20"/>
        </w:rPr>
        <w:t>mennyiségű készpénzt vonjon ki</w:t>
      </w:r>
      <w:r w:rsidR="006F5314">
        <w:rPr>
          <w:rFonts w:ascii="Times New Roman" w:hAnsi="Times New Roman" w:cs="Times New Roman"/>
          <w:sz w:val="20"/>
          <w:szCs w:val="20"/>
        </w:rPr>
        <w:t xml:space="preserve"> (Y1 &lt; Y0)</w:t>
      </w:r>
      <w:r w:rsidRPr="002107D7">
        <w:rPr>
          <w:rFonts w:ascii="Times New Roman" w:hAnsi="Times New Roman" w:cs="Times New Roman"/>
          <w:sz w:val="20"/>
          <w:szCs w:val="20"/>
        </w:rPr>
        <w:t>. Az okosszerződés csak úgy engedélyezi a tranzakciót, ha az új egyenlegek szorzata továbbra is kiadja a</w:t>
      </w:r>
      <w:r w:rsidR="006F5314">
        <w:rPr>
          <w:rFonts w:ascii="Times New Roman" w:hAnsi="Times New Roman" w:cs="Times New Roman"/>
          <w:sz w:val="20"/>
          <w:szCs w:val="20"/>
        </w:rPr>
        <w:t>z</w:t>
      </w:r>
      <w:r w:rsidRPr="002107D7">
        <w:rPr>
          <w:rFonts w:ascii="Times New Roman" w:hAnsi="Times New Roman" w:cs="Times New Roman"/>
          <w:sz w:val="20"/>
          <w:szCs w:val="20"/>
        </w:rPr>
        <w:t xml:space="preserve"> állandót</w:t>
      </w:r>
      <w:r w:rsidR="006F5314">
        <w:rPr>
          <w:rFonts w:ascii="Times New Roman" w:hAnsi="Times New Roman" w:cs="Times New Roman"/>
          <w:sz w:val="20"/>
          <w:szCs w:val="20"/>
        </w:rPr>
        <w:t xml:space="preserve"> (K = X1 * Y1 = X0 * Y0)</w:t>
      </w:r>
      <w:r w:rsidRPr="002107D7">
        <w:rPr>
          <w:rFonts w:ascii="Times New Roman" w:hAnsi="Times New Roman" w:cs="Times New Roman"/>
          <w:sz w:val="20"/>
          <w:szCs w:val="20"/>
        </w:rPr>
        <w:t>. Ebből algebrai úton levezethető a pontosan kinyerhető készpénzösszeg, amelyet a képlet határoz meg. Ez a mechanizmus az úgynevezett ártehetetlenség (price inertia) elvén működik: a spot ár csak és kizárólag a tartalékok fizikai elmozdulásával tud frissülni. Ahogy a részvénykínálat nő és a készpénzbázis csökken a poolban, az árfolyam a végrehajtás során marginálisan, de folyamatosan csökken. A teljes megbízásra vetített átlagos végrehajtási ár</w:t>
      </w:r>
      <w:r w:rsidR="006F5314">
        <w:rPr>
          <w:rFonts w:ascii="Times New Roman" w:hAnsi="Times New Roman" w:cs="Times New Roman"/>
          <w:sz w:val="20"/>
          <w:szCs w:val="20"/>
        </w:rPr>
        <w:t xml:space="preserve"> a részvényszám változásának és a készpénzmozgás változásának hányadosa (Pavg = (Y1 - Y0) / X1 - X0))</w:t>
      </w:r>
      <w:r w:rsidRPr="002107D7">
        <w:rPr>
          <w:rFonts w:ascii="Times New Roman" w:hAnsi="Times New Roman" w:cs="Times New Roman"/>
          <w:sz w:val="20"/>
          <w:szCs w:val="20"/>
        </w:rPr>
        <w:t xml:space="preserve">. Bár az AMM modell hátránya, hogy az egyensúlyi árak külső piacokhoz való igazítása </w:t>
      </w:r>
      <w:r w:rsidR="006F5314">
        <w:rPr>
          <w:rFonts w:ascii="Times New Roman" w:hAnsi="Times New Roman" w:cs="Times New Roman"/>
          <w:sz w:val="20"/>
          <w:szCs w:val="20"/>
        </w:rPr>
        <w:t>a</w:t>
      </w:r>
      <w:r w:rsidR="0082722C">
        <w:rPr>
          <w:rFonts w:ascii="Times New Roman" w:hAnsi="Times New Roman" w:cs="Times New Roman"/>
          <w:sz w:val="20"/>
          <w:szCs w:val="20"/>
        </w:rPr>
        <w:t>ktív</w:t>
      </w:r>
      <w:r w:rsidR="006F5314">
        <w:rPr>
          <w:rFonts w:ascii="Times New Roman" w:hAnsi="Times New Roman" w:cs="Times New Roman"/>
          <w:sz w:val="20"/>
          <w:szCs w:val="20"/>
        </w:rPr>
        <w:t xml:space="preserve"> kereskedői jelenlétet</w:t>
      </w:r>
      <w:r w:rsidR="0082722C">
        <w:rPr>
          <w:rFonts w:ascii="Times New Roman" w:hAnsi="Times New Roman" w:cs="Times New Roman"/>
          <w:sz w:val="20"/>
          <w:szCs w:val="20"/>
        </w:rPr>
        <w:t>et</w:t>
      </w:r>
      <w:r w:rsidR="006F5314">
        <w:rPr>
          <w:rFonts w:ascii="Times New Roman" w:hAnsi="Times New Roman" w:cs="Times New Roman"/>
          <w:sz w:val="20"/>
          <w:szCs w:val="20"/>
        </w:rPr>
        <w:t xml:space="preserve"> </w:t>
      </w:r>
      <w:r w:rsidR="0082722C">
        <w:rPr>
          <w:rFonts w:ascii="Times New Roman" w:hAnsi="Times New Roman" w:cs="Times New Roman"/>
          <w:sz w:val="20"/>
          <w:szCs w:val="20"/>
        </w:rPr>
        <w:t>(</w:t>
      </w:r>
      <w:r w:rsidRPr="002107D7">
        <w:rPr>
          <w:rFonts w:ascii="Times New Roman" w:hAnsi="Times New Roman" w:cs="Times New Roman"/>
          <w:sz w:val="20"/>
          <w:szCs w:val="20"/>
        </w:rPr>
        <w:t>arbitrázst</w:t>
      </w:r>
      <w:r w:rsidR="0082722C">
        <w:rPr>
          <w:rFonts w:ascii="Times New Roman" w:hAnsi="Times New Roman" w:cs="Times New Roman"/>
          <w:sz w:val="20"/>
          <w:szCs w:val="20"/>
        </w:rPr>
        <w:t>)</w:t>
      </w:r>
      <w:r w:rsidRPr="002107D7">
        <w:rPr>
          <w:rFonts w:ascii="Times New Roman" w:hAnsi="Times New Roman" w:cs="Times New Roman"/>
          <w:sz w:val="20"/>
          <w:szCs w:val="20"/>
        </w:rPr>
        <w:t xml:space="preserve"> és tőkekivonást igényel, a garantált, azonnali, éjjel-nappal elérhető likviditás és a determinisztikus végrehajtás messze felülmúlja a CLOB modell inkonzisztenciáit a lakossági ingatlantőke piacán.</w:t>
      </w:r>
    </w:p>
    <w:p w14:paraId="6E6B54E1" w14:textId="26A41F9F" w:rsidR="002C4387" w:rsidRPr="004E2E10" w:rsidRDefault="002C4387" w:rsidP="004E2E10">
      <w:pPr>
        <w:jc w:val="both"/>
        <w:rPr>
          <w:rFonts w:ascii="Times New Roman" w:hAnsi="Times New Roman" w:cs="Times New Roman"/>
          <w:color w:val="000000"/>
          <w:kern w:val="0"/>
          <w:sz w:val="20"/>
          <w:szCs w:val="20"/>
        </w:rPr>
      </w:pPr>
      <w:r w:rsidRPr="004E2E10">
        <w:rPr>
          <w:rFonts w:ascii="Times New Roman" w:hAnsi="Times New Roman" w:cs="Times New Roman"/>
          <w:sz w:val="20"/>
          <w:szCs w:val="20"/>
        </w:rPr>
        <w:br w:type="page"/>
      </w:r>
    </w:p>
    <w:p w14:paraId="26BE997D" w14:textId="77777777" w:rsidR="00222749" w:rsidRPr="004E2E10" w:rsidRDefault="00222749" w:rsidP="004E2E10">
      <w:pPr>
        <w:pStyle w:val="Default"/>
        <w:jc w:val="both"/>
        <w:rPr>
          <w:sz w:val="20"/>
          <w:szCs w:val="20"/>
        </w:rPr>
      </w:pPr>
    </w:p>
    <w:p w14:paraId="737E9357" w14:textId="4F921B54" w:rsidR="00222749" w:rsidRPr="004E2E10" w:rsidRDefault="00222749" w:rsidP="004E2E10">
      <w:pPr>
        <w:pStyle w:val="Default"/>
        <w:numPr>
          <w:ilvl w:val="0"/>
          <w:numId w:val="2"/>
        </w:numPr>
        <w:ind w:left="0" w:firstLine="0"/>
        <w:jc w:val="both"/>
        <w:rPr>
          <w:sz w:val="20"/>
          <w:szCs w:val="20"/>
        </w:rPr>
      </w:pPr>
      <w:r w:rsidRPr="004E2E10">
        <w:rPr>
          <w:sz w:val="20"/>
          <w:szCs w:val="20"/>
        </w:rPr>
        <w:t xml:space="preserve">Cash-flow modell felépítése </w:t>
      </w:r>
    </w:p>
    <w:p w14:paraId="20E4B81D" w14:textId="77777777" w:rsidR="00075292" w:rsidRDefault="00075292" w:rsidP="004E2E10">
      <w:pPr>
        <w:jc w:val="both"/>
        <w:rPr>
          <w:rFonts w:ascii="Times New Roman" w:hAnsi="Times New Roman" w:cs="Times New Roman"/>
          <w:sz w:val="20"/>
          <w:szCs w:val="20"/>
        </w:rPr>
      </w:pPr>
    </w:p>
    <w:p w14:paraId="456C5AF7" w14:textId="4682BEF6" w:rsidR="002107D7" w:rsidRPr="004E2E10" w:rsidRDefault="002107D7" w:rsidP="004E2E10">
      <w:pPr>
        <w:jc w:val="both"/>
        <w:rPr>
          <w:rFonts w:ascii="Times New Roman" w:hAnsi="Times New Roman" w:cs="Times New Roman"/>
          <w:sz w:val="20"/>
          <w:szCs w:val="20"/>
        </w:rPr>
      </w:pPr>
      <w:r w:rsidRPr="004E2E10">
        <w:rPr>
          <w:rFonts w:ascii="Times New Roman" w:hAnsi="Times New Roman" w:cs="Times New Roman"/>
          <w:sz w:val="20"/>
          <w:szCs w:val="20"/>
        </w:rPr>
        <w:t xml:space="preserve"> REX ökoszisztéma készpénzáramlási és tőkeallokációs modellje egy radikálisan új megközelítést alkalmaz a lakossági ingatlanpiacon, teljesen elszakadva a hitelalapú (debt-based) konstrukcióktól. A hagyományos lakáshitel-kiváltások vagy szabad felhasználású jelzáloghitelek (HELOC) esetében a tulajdonos készpénzhez jut, cserébe azonban hosszú távú, kamatkockázattal terhelt, folyamatos havi törlesztési kötelezettséget vállal, amely rontja a rendelkezésre álló havi jövedelmét. A REX ezzel szemben tisztán saját tőke (equity) alapú megoldást kínál: a tulajdonos nem hitelt vesz fel, hanem az ingatlanában lévő holt tőke egy részét – jellemzően tíz és huszonöt százalék közötti sávban – tokenizált részvények formájában értékesíti a másodlagos piacon. Ez a felső korlát kritikus fontosságú a morális kockázat (moral hazard) elkerülése végett, hiszen ha a tulajdonos túlságosan nagy hányadot adna el, megszűnne az érdekeltsége az ingatlan állagának megóvásában.</w:t>
      </w:r>
    </w:p>
    <w:p w14:paraId="0B47920F" w14:textId="480E6397" w:rsidR="002107D7" w:rsidRPr="004E2E10" w:rsidRDefault="002107D7" w:rsidP="004E2E10">
      <w:pPr>
        <w:jc w:val="both"/>
        <w:rPr>
          <w:rFonts w:ascii="Times New Roman" w:hAnsi="Times New Roman" w:cs="Times New Roman"/>
          <w:sz w:val="20"/>
          <w:szCs w:val="20"/>
        </w:rPr>
      </w:pPr>
      <w:r w:rsidRPr="004E2E10">
        <w:rPr>
          <w:rFonts w:ascii="Times New Roman" w:hAnsi="Times New Roman" w:cs="Times New Roman"/>
          <w:sz w:val="20"/>
          <w:szCs w:val="20"/>
        </w:rPr>
        <w:t>A rendszer alapja egy globális standardizáció, ahol elméletben egy REX részvény a világ átlagos egy négyzetméternyi lakóingatlan-értékét reprezentálja. Amikor egy tulajdonos regisztrálja az ingatlanát, az AVM adatbányászati és gépi tanulási algoritmusok segítségével megvizsgálja a lokális adatokat (például egy adott kerület indexét), és az ingatlan egyedi jellemzői alapján prémiumot vagy diszkontot állapít meg.</w:t>
      </w:r>
    </w:p>
    <w:p w14:paraId="7C1DDB45" w14:textId="4591B846" w:rsidR="002C4387" w:rsidRPr="004E2E10" w:rsidRDefault="002107D7" w:rsidP="004E2E10">
      <w:pPr>
        <w:jc w:val="both"/>
        <w:rPr>
          <w:rFonts w:ascii="Times New Roman" w:hAnsi="Times New Roman" w:cs="Times New Roman"/>
          <w:color w:val="000000"/>
          <w:kern w:val="0"/>
          <w:sz w:val="20"/>
          <w:szCs w:val="20"/>
        </w:rPr>
      </w:pPr>
      <w:r w:rsidRPr="004E2E10">
        <w:rPr>
          <w:rFonts w:ascii="Times New Roman" w:hAnsi="Times New Roman" w:cs="Times New Roman"/>
          <w:sz w:val="20"/>
          <w:szCs w:val="20"/>
        </w:rPr>
        <w:t>A kibocsátott részvények mögött minden esetben valós, nettó eszközérték (NAV) alapú fedezet áll, amelyet a REX mint jogi entitás az ingatlan-nyilvántartásban is rögzít. Amikor a tulajdonos vissza kívánja vásárolni a felkínált részesedést, azt a mindenkori piaci (index) áron kell megtennie, függetlenül attól, hogy a REX részvények időközben hányszor cseréltek gazdát a piacon. Ha az ingatlanpiac emelkedett a tartási időszak alatt, a tulajdonosnak a felárral növelt értéket kell kifizetnie, ha viszont a piac esett, olcsóbban vásárolhatja vissza a saját tulajdonrészét. Ez a mechanizmus egy beépített kockázatkezelési eszközt ad a lakosság kezébe az ingatlanpiaci áresésekkel szemben. Ingatlanértékesítés esetén a REX, mint résztulajdonos, automatikusan érvényesíti a tőke- és hozamigényét a vételárból, amelyet a platform a transzparencia jegyében minden esetben jóváhagy, kivéve a nyilvánvalóan fraudulens, mélyen piaci ár alatti tranzakciók kísérletét.</w:t>
      </w:r>
      <w:r w:rsidR="002C4387" w:rsidRPr="004E2E10">
        <w:rPr>
          <w:rFonts w:ascii="Times New Roman" w:hAnsi="Times New Roman" w:cs="Times New Roman"/>
          <w:sz w:val="20"/>
          <w:szCs w:val="20"/>
        </w:rPr>
        <w:br w:type="page"/>
      </w:r>
    </w:p>
    <w:p w14:paraId="2F6F02AC" w14:textId="46531372" w:rsidR="00222749" w:rsidRDefault="00222749" w:rsidP="004E2E10">
      <w:pPr>
        <w:pStyle w:val="Default"/>
        <w:numPr>
          <w:ilvl w:val="0"/>
          <w:numId w:val="2"/>
        </w:numPr>
        <w:ind w:left="0" w:firstLine="0"/>
        <w:jc w:val="both"/>
        <w:rPr>
          <w:sz w:val="20"/>
          <w:szCs w:val="20"/>
        </w:rPr>
      </w:pPr>
      <w:r w:rsidRPr="004E2E10">
        <w:rPr>
          <w:sz w:val="20"/>
          <w:szCs w:val="20"/>
        </w:rPr>
        <w:lastRenderedPageBreak/>
        <w:t xml:space="preserve">Stresszteszt és forgatókönyv-elemzés </w:t>
      </w:r>
    </w:p>
    <w:p w14:paraId="71F41BEB" w14:textId="77777777" w:rsidR="00075292" w:rsidRPr="004E2E10" w:rsidRDefault="00075292" w:rsidP="00075292">
      <w:pPr>
        <w:pStyle w:val="Default"/>
        <w:jc w:val="both"/>
        <w:rPr>
          <w:sz w:val="20"/>
          <w:szCs w:val="20"/>
        </w:rPr>
      </w:pPr>
    </w:p>
    <w:p w14:paraId="2A23BF32" w14:textId="69826036" w:rsidR="00550773" w:rsidRPr="00550773" w:rsidRDefault="00550773" w:rsidP="00550773">
      <w:pPr>
        <w:jc w:val="both"/>
        <w:rPr>
          <w:rFonts w:ascii="Times New Roman" w:hAnsi="Times New Roman" w:cs="Times New Roman"/>
          <w:sz w:val="20"/>
          <w:szCs w:val="20"/>
        </w:rPr>
      </w:pPr>
      <w:r w:rsidRPr="00550773">
        <w:rPr>
          <w:rFonts w:ascii="Times New Roman" w:hAnsi="Times New Roman" w:cs="Times New Roman"/>
          <w:sz w:val="20"/>
          <w:szCs w:val="20"/>
        </w:rPr>
        <w:t>A REX architektúra stabilitásának alapja a likviditási mélység pontos meghatározása az Állandó Szorzatú Automata Árjegyző (CPMM) lokális pooljaiban. A rendszer egy hierarchikus fa-struktúrát alkalmaz, ahol az aggregált indexek (például az EU REX Index) tőkepiaci súlyozással épülnek fel. A nemzeti komponensek súlyát úgy kapjuk meg, hogy az adott ország átlagos négyzetméterárát megszorozzuk az ország teljes lakóingatlan-állományának méretével, majd ezt a kapott értéket viszonyítjuk a teljes uniós ingatlanvagyonhoz. Ezt a metodikát alkalmazzuk minden vizsgált piac (például Magyarország, Németország, Franciaország) esetében, biztosítva a reális tőkesúlyt a felsőbb szinteken.</w:t>
      </w:r>
    </w:p>
    <w:p w14:paraId="6CA14011" w14:textId="49B1D9D9" w:rsidR="00550773" w:rsidRPr="00550773" w:rsidRDefault="00550773" w:rsidP="00550773">
      <w:pPr>
        <w:jc w:val="both"/>
        <w:rPr>
          <w:rFonts w:ascii="Times New Roman" w:hAnsi="Times New Roman" w:cs="Times New Roman"/>
          <w:sz w:val="20"/>
          <w:szCs w:val="20"/>
        </w:rPr>
      </w:pPr>
      <w:r w:rsidRPr="00550773">
        <w:rPr>
          <w:rFonts w:ascii="Times New Roman" w:hAnsi="Times New Roman" w:cs="Times New Roman"/>
          <w:sz w:val="20"/>
          <w:szCs w:val="20"/>
        </w:rPr>
        <w:t>Bár az intézményi tőke ezekbe a magasabb szintű (regionális, globális) indexekbe áramlik, a kereskedési volumen végrehajtása és a tőkefelszabadítás (equity offering) fizikailag a legalsó levélcsomópontokban (leaf nodes) – azaz a specifikus kerületi vagy városi poolokban – történik. A rendszer kritikus technikai követelménye, hogy ezek a lokális poolok szigorú, 1%-os maximális árfolyamcsúszás (slippage) mellett is képesek legyenek elnyelni az 5%, 10% vagy 15%-os egyösszegű tulajdonrész-értékesítéseket.</w:t>
      </w:r>
    </w:p>
    <w:p w14:paraId="51B88133" w14:textId="46FF38B1" w:rsidR="00550773" w:rsidRPr="00550773" w:rsidRDefault="00550773" w:rsidP="00550773">
      <w:pPr>
        <w:jc w:val="both"/>
        <w:rPr>
          <w:rFonts w:ascii="Times New Roman" w:hAnsi="Times New Roman" w:cs="Times New Roman"/>
          <w:sz w:val="20"/>
          <w:szCs w:val="20"/>
        </w:rPr>
      </w:pPr>
      <w:r w:rsidRPr="00550773">
        <w:rPr>
          <w:rFonts w:ascii="Times New Roman" w:hAnsi="Times New Roman" w:cs="Times New Roman"/>
          <w:sz w:val="20"/>
          <w:szCs w:val="20"/>
        </w:rPr>
        <w:t>A szükséges poolméret meghatározásához a CPMM fundamentális matematikáját alkalmazzuk. Az árfolyamcsúszás (S) a poolba helyezett részvények (ΔX) és a poolban lévő eredeti részvénykészlet (X) arányából adódik, melyet az S=ΔX/(X+ΔX) egyenlet ír le. Mivel a cél az 1%-os maximális csúszás garantálása (S=0.01), az egyenlet átrendezésével megkapjuk a fundamentális tőkekövetelményt: X=99</w:t>
      </w:r>
      <w:r w:rsidRPr="00550773">
        <w:rPr>
          <w:rFonts w:ascii="Cambria Math" w:hAnsi="Cambria Math" w:cs="Cambria Math"/>
          <w:sz w:val="20"/>
          <w:szCs w:val="20"/>
        </w:rPr>
        <w:t>⋅</w:t>
      </w:r>
      <w:r w:rsidRPr="00550773">
        <w:rPr>
          <w:rFonts w:ascii="Times New Roman" w:hAnsi="Times New Roman" w:cs="Times New Roman"/>
          <w:sz w:val="20"/>
          <w:szCs w:val="20"/>
        </w:rPr>
        <w:t>ΔX. Mivel a CPMM rendszer a tranzakció pillanatában egyensúlyban van, ez a dollárban kifejezett készpénztartalékra (Y) is igaz. A lokális poolnak tehát a felkínált ingatlantőke dollárértékének pontosan 99-szeresével kell rendelkeznie készpénzben.</w:t>
      </w:r>
    </w:p>
    <w:p w14:paraId="1D049AA8" w14:textId="482EB67E" w:rsidR="00550773" w:rsidRPr="00550773" w:rsidRDefault="00550773" w:rsidP="00550773">
      <w:pPr>
        <w:jc w:val="both"/>
        <w:rPr>
          <w:rFonts w:ascii="Times New Roman" w:hAnsi="Times New Roman" w:cs="Times New Roman"/>
          <w:sz w:val="20"/>
          <w:szCs w:val="20"/>
        </w:rPr>
      </w:pPr>
      <w:r w:rsidRPr="00550773">
        <w:rPr>
          <w:rFonts w:ascii="Times New Roman" w:hAnsi="Times New Roman" w:cs="Times New Roman"/>
          <w:sz w:val="20"/>
          <w:szCs w:val="20"/>
        </w:rPr>
        <w:t>Vizsgáljuk meg a 99-szeres likviditási szorzó tőkekövetelményeit két eltérő árfekvésű piacon, egységesen 80 négyzetméteres átlagos ingatlanmérettel számolva:</w:t>
      </w:r>
    </w:p>
    <w:p w14:paraId="2DFB39AC" w14:textId="431BD198" w:rsidR="00550773" w:rsidRPr="00550773" w:rsidRDefault="00550773" w:rsidP="00550773">
      <w:pPr>
        <w:jc w:val="both"/>
        <w:rPr>
          <w:rFonts w:ascii="Times New Roman" w:hAnsi="Times New Roman" w:cs="Times New Roman"/>
          <w:sz w:val="20"/>
          <w:szCs w:val="20"/>
        </w:rPr>
      </w:pPr>
      <w:r w:rsidRPr="00550773">
        <w:rPr>
          <w:rFonts w:ascii="Times New Roman" w:hAnsi="Times New Roman" w:cs="Times New Roman"/>
          <w:sz w:val="20"/>
          <w:szCs w:val="20"/>
        </w:rPr>
        <w:t>Budapesten 3 000 USD/m² átlagárral számolva a teljes ingatlanérték 240 000 USD. Ha a tulajdonos a tőkéjének 5%-át (12 000 USD) kívánja felszabadítani, az 1%-os csúszás garantálásához a lokális budapesti poolnak 1 188 000 USD készpénztartalékkal kell rendelkeznie. Egy 10%-os részesedés (24 000 USD) felkínálása esetén a likviditási igény 2 376 000 USD, míg egy 15%-os tranzakció (36 000 USD) elnyeléséhez már 3 564 000 USD dedikált készpénzmélység szükséges.</w:t>
      </w:r>
    </w:p>
    <w:p w14:paraId="4C8CB5F7" w14:textId="1D449B8C" w:rsidR="00550773" w:rsidRPr="00550773" w:rsidRDefault="00550773" w:rsidP="00550773">
      <w:pPr>
        <w:jc w:val="both"/>
        <w:rPr>
          <w:rFonts w:ascii="Times New Roman" w:hAnsi="Times New Roman" w:cs="Times New Roman"/>
          <w:sz w:val="20"/>
          <w:szCs w:val="20"/>
        </w:rPr>
      </w:pPr>
      <w:r w:rsidRPr="00550773">
        <w:rPr>
          <w:rFonts w:ascii="Times New Roman" w:hAnsi="Times New Roman" w:cs="Times New Roman"/>
          <w:sz w:val="20"/>
          <w:szCs w:val="20"/>
        </w:rPr>
        <w:t>Münchenben, ahol a 10 000 USD/m² átlagár miatt a vizsgált ingatlan összértéke 800 000 USD, a tőkekövetelmények drasztikusan magasabbak. Egy 5%-os tulajdonrész (40 000 USD) piacra dobása azonnal 3 960 000 USD készpénzmélységet követel meg a müncheni pooltól. Egy 10%-os (80 000 USD) tőkefelszabadítás esetén ez az érték 7 920 000 USD, míg a maximális, 15%-os részesedés (120 000 USD) értékesítésekor a helyi levélcsomópontnak 11 880 000 USD készpénztartalékkal kell bírnia az 1%-os slippage limit megtartásához.</w:t>
      </w:r>
    </w:p>
    <w:p w14:paraId="4C5C79A8" w14:textId="4D2D9A39" w:rsidR="002C4387" w:rsidRPr="004E2E10" w:rsidRDefault="00550773" w:rsidP="00550773">
      <w:pPr>
        <w:jc w:val="both"/>
        <w:rPr>
          <w:rFonts w:ascii="Times New Roman" w:hAnsi="Times New Roman" w:cs="Times New Roman"/>
          <w:sz w:val="20"/>
          <w:szCs w:val="20"/>
        </w:rPr>
      </w:pPr>
      <w:r w:rsidRPr="00550773">
        <w:rPr>
          <w:rFonts w:ascii="Times New Roman" w:hAnsi="Times New Roman" w:cs="Times New Roman"/>
          <w:sz w:val="20"/>
          <w:szCs w:val="20"/>
        </w:rPr>
        <w:t>Ezek a számítások igazolják, hogy a REX indexek hiába aggregálnak globális tőkét, a protokoll technikai stabilitása és másodlagos piaci funkcionalitása kizárólag azon múlik, hogy a Genezis poolok feltöltésekor a legspecifikusabb lokális csomópontok rendelkeznek-e a mögöttes ingatlanárakhoz igazított, 99-szeres likviditási multiplikátorral.</w:t>
      </w:r>
      <w:r w:rsidR="002107D7" w:rsidRPr="002107D7">
        <w:rPr>
          <w:rFonts w:ascii="Times New Roman" w:hAnsi="Times New Roman" w:cs="Times New Roman"/>
          <w:sz w:val="20"/>
          <w:szCs w:val="20"/>
        </w:rPr>
        <w:t>.</w:t>
      </w:r>
      <w:r w:rsidR="002C4387" w:rsidRPr="004E2E10">
        <w:rPr>
          <w:rFonts w:ascii="Times New Roman" w:hAnsi="Times New Roman" w:cs="Times New Roman"/>
          <w:sz w:val="20"/>
          <w:szCs w:val="20"/>
        </w:rPr>
        <w:br w:type="page"/>
      </w:r>
    </w:p>
    <w:p w14:paraId="48FFB7A8" w14:textId="2071E49F" w:rsidR="00222749" w:rsidRPr="004E2E10" w:rsidRDefault="00222749" w:rsidP="004E2E10">
      <w:pPr>
        <w:pStyle w:val="Default"/>
        <w:numPr>
          <w:ilvl w:val="0"/>
          <w:numId w:val="2"/>
        </w:numPr>
        <w:ind w:left="0" w:firstLine="0"/>
        <w:jc w:val="both"/>
        <w:rPr>
          <w:sz w:val="20"/>
          <w:szCs w:val="20"/>
        </w:rPr>
      </w:pPr>
      <w:r w:rsidRPr="004E2E10">
        <w:rPr>
          <w:sz w:val="20"/>
          <w:szCs w:val="20"/>
        </w:rPr>
        <w:lastRenderedPageBreak/>
        <w:t xml:space="preserve">Díjstruktúra megtervezése </w:t>
      </w:r>
    </w:p>
    <w:p w14:paraId="2D12227F" w14:textId="77777777" w:rsidR="00512F68" w:rsidRDefault="00512F68" w:rsidP="003D3C39">
      <w:pPr>
        <w:jc w:val="both"/>
        <w:rPr>
          <w:rFonts w:ascii="Times New Roman" w:hAnsi="Times New Roman" w:cs="Times New Roman"/>
          <w:sz w:val="20"/>
          <w:szCs w:val="20"/>
        </w:rPr>
      </w:pPr>
    </w:p>
    <w:p w14:paraId="54C32028" w14:textId="43D50A99" w:rsidR="00512F68" w:rsidRDefault="00512F68" w:rsidP="003D3C39">
      <w:pPr>
        <w:jc w:val="both"/>
        <w:rPr>
          <w:rFonts w:ascii="Times New Roman" w:hAnsi="Times New Roman" w:cs="Times New Roman"/>
          <w:sz w:val="20"/>
          <w:szCs w:val="20"/>
        </w:rPr>
      </w:pPr>
      <w:r>
        <w:rPr>
          <w:rFonts w:ascii="Times New Roman" w:hAnsi="Times New Roman" w:cs="Times New Roman"/>
          <w:sz w:val="20"/>
          <w:szCs w:val="20"/>
        </w:rPr>
        <w:t>Elsőkörben a díjszabás vizsgálatakor a versenyképesség melletti profitabilitás lehetőségét kell megvizsgálnunk. Legelőször a létező tertmékek díjait vizsgáljuk, majd ezeket a díjakat igazítjuk a szolgáltatás nyújtotta megoldások értékéhez.</w:t>
      </w:r>
    </w:p>
    <w:p w14:paraId="33509235" w14:textId="77777777" w:rsidR="00512F68" w:rsidRDefault="00512F68" w:rsidP="00512F68">
      <w:pPr>
        <w:jc w:val="both"/>
        <w:rPr>
          <w:rFonts w:ascii="Times New Roman" w:hAnsi="Times New Roman" w:cs="Times New Roman"/>
          <w:b/>
          <w:bCs/>
          <w:sz w:val="20"/>
          <w:szCs w:val="20"/>
        </w:rPr>
      </w:pPr>
      <w:r w:rsidRPr="00512F68">
        <w:rPr>
          <w:rFonts w:ascii="Times New Roman" w:hAnsi="Times New Roman" w:cs="Times New Roman"/>
          <w:b/>
          <w:bCs/>
          <w:sz w:val="20"/>
          <w:szCs w:val="20"/>
        </w:rPr>
        <w:t>Globális és hazai lakóingatlan-befektetési eszközök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848"/>
        <w:gridCol w:w="2116"/>
        <w:gridCol w:w="1298"/>
        <w:gridCol w:w="1266"/>
        <w:gridCol w:w="1572"/>
      </w:tblGrid>
      <w:tr w:rsidR="002C11E3" w:rsidRPr="002C11E3" w14:paraId="155771AF" w14:textId="77777777" w:rsidTr="002C11E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D4A3AB"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Asset Name (Ticker)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79696"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Vehicle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8CC90"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Exact Exposure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C8282"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Ongoing Fees (Expense Ratio)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79908"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Est. Buy/Sell Spread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69FA6"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Platform Availability &amp; Broker Fees</w:t>
            </w:r>
          </w:p>
        </w:tc>
      </w:tr>
      <w:tr w:rsidR="002C11E3" w:rsidRPr="002C11E3" w14:paraId="1A6A8336" w14:textId="77777777" w:rsidTr="002C11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B0F9E6"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Invesco Active U.S. Real Estate ETF (PSR)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FD6A7"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Active ETF</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AA64E"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US: Broad US real estate, heavily weighted in specialized REITs and residential properties.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AA572"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0.35% annually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9FF94"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~0.04% - 0.08% (Highly Liquid)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E794D"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Platforms: IBKR, Schwab, Vanguard.</w:t>
            </w:r>
          </w:p>
          <w:p w14:paraId="0745C385"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Broker Fee: $0 commission at most US brokers.</w:t>
            </w:r>
          </w:p>
        </w:tc>
      </w:tr>
      <w:tr w:rsidR="002C11E3" w:rsidRPr="002C11E3" w14:paraId="010D8433" w14:textId="77777777" w:rsidTr="002C11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386372"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iShares Residential and Multisector ETF (REZ)</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BC211"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ETF</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0BBC0"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US: Mix of US Residential, Healthcare, and Self-Storage REITs.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FA0B9"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0.48% annually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5A93A"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~0.03% - 0.05% (Highly Liquid)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A15F9"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Platforms: IBKR, Schwab, Vanguard.</w:t>
            </w:r>
          </w:p>
          <w:p w14:paraId="21D4F025"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Broker Fee: $0 commission.</w:t>
            </w:r>
          </w:p>
        </w:tc>
      </w:tr>
      <w:tr w:rsidR="002C11E3" w:rsidRPr="002C11E3" w14:paraId="4D8AE31E" w14:textId="77777777" w:rsidTr="002C11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955A50"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Kelly Residential &amp; Apartment Real Estate ETF (RESI)</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69B56"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ETF</w:t>
            </w:r>
          </w:p>
        </w:tc>
        <w:tc>
          <w:tcPr>
            <w:tcW w:w="0" w:type="auto"/>
            <w:tcBorders>
              <w:top w:val="single" w:sz="6" w:space="0" w:color="auto"/>
              <w:left w:val="single" w:sz="6" w:space="0" w:color="auto"/>
              <w:bottom w:val="single" w:sz="6" w:space="0" w:color="auto"/>
              <w:right w:val="single" w:sz="6" w:space="0" w:color="auto"/>
            </w:tcBorders>
            <w:vAlign w:val="center"/>
            <w:hideMark/>
          </w:tcPr>
          <w:p w14:paraId="72720363"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US: Pure-play US single-family, multi-family, and student housing.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8E24E"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0.68% annually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E8F32"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~0.15% - 0.30% (Moderate Liquidity)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8483C"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Platforms: Major global brokerages.</w:t>
            </w:r>
          </w:p>
          <w:p w14:paraId="5558DFB4"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Broker Fee: $0 commission.</w:t>
            </w:r>
          </w:p>
        </w:tc>
      </w:tr>
      <w:tr w:rsidR="002C11E3" w:rsidRPr="002C11E3" w14:paraId="15925942" w14:textId="77777777" w:rsidTr="002C11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37D0DC"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The PRS REIT plc (PRSR.L)</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47564"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UK REIT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865A0"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UK: Private Rented Sector; London-commuter and regional family homes.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FA556"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~1.30% annually (Ongoing charges)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69188"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~0.50% - 0.80%</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9FE94"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Platforms: Trading212, IBKR, Hargreaves Lansdown.</w:t>
            </w:r>
          </w:p>
          <w:p w14:paraId="550AACC1"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Broker Fee: £0 - £11/trade. +0.5% UK Stamp Duty on buy.</w:t>
            </w:r>
          </w:p>
        </w:tc>
      </w:tr>
      <w:tr w:rsidR="002C11E3" w:rsidRPr="002C11E3" w14:paraId="3E32D0D2" w14:textId="77777777" w:rsidTr="002C11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76F718"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Vonovia SE (VNA.DE)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21D73"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Direct Stock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0946D"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Europe: Continental EU bérházpiac (mainly Germany).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AF6A9"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N/A (Direct Equity)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57BCC"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~0.02% - 0.05% (Highly Liquid)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B291C"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Platforms: Xetra-enabled brokers (IBKR, Erste).</w:t>
            </w:r>
          </w:p>
          <w:p w14:paraId="795B4A00"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Broker Fee: €1 - €5 typical.</w:t>
            </w:r>
          </w:p>
        </w:tc>
      </w:tr>
      <w:tr w:rsidR="002C11E3" w:rsidRPr="002C11E3" w14:paraId="4FAD3F92" w14:textId="77777777" w:rsidTr="002C11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1D4A4"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OTP Ingatlanbefektetési Alap (HU0000702451)</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774F1"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Open-Ended Fund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E0178"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Hungary: Domestic commercial, office, and logistics (low residential exposure).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B09C0"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~1.50% - 2.00% annually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1C439"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1.00% - 5.00% front-end load (Often waived)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17E65"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Platforms: OTP Bank, Erste, KBC.</w:t>
            </w:r>
          </w:p>
          <w:p w14:paraId="21DA52F5"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Broker Fee: Varies by distributor.</w:t>
            </w:r>
          </w:p>
        </w:tc>
      </w:tr>
      <w:tr w:rsidR="002C11E3" w:rsidRPr="002C11E3" w14:paraId="28753319" w14:textId="77777777" w:rsidTr="002C11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6C9137"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Duna House Group Nyrt. (DUNAHOUSE.BU)</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BC845"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Corporate Equity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EB804"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Hungary/CEE: Real estate transaction volume and mortgage brokerage velocity.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626BB"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N/A (Direct Equity)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88D08"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~0.50% - 1.00%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72F1F"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Platforms: BSE/BÉT connected brokers.</w:t>
            </w:r>
          </w:p>
          <w:p w14:paraId="67B867DB" w14:textId="5D73546D"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br/>
            </w:r>
            <w:r>
              <w:rPr>
                <w:rFonts w:ascii="Times New Roman" w:hAnsi="Times New Roman" w:cs="Times New Roman"/>
                <w:sz w:val="16"/>
                <w:szCs w:val="16"/>
              </w:rPr>
              <w:t>B</w:t>
            </w:r>
            <w:r w:rsidRPr="002C11E3">
              <w:rPr>
                <w:rFonts w:ascii="Times New Roman" w:hAnsi="Times New Roman" w:cs="Times New Roman"/>
                <w:sz w:val="16"/>
                <w:szCs w:val="16"/>
              </w:rPr>
              <w:t>roker Fee: ~0.20% - 0.50% / trade.</w:t>
            </w:r>
          </w:p>
        </w:tc>
      </w:tr>
      <w:tr w:rsidR="002C11E3" w:rsidRPr="002C11E3" w14:paraId="134FBE91" w14:textId="77777777" w:rsidTr="002C11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360732"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Physical Sale via Duna House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EDD16"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Physical Asset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45940"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Hungary: 1:1 exposure to a specific local 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0D84C"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Maintenance, utilities, property taxes.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6B29A"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3.0% - 5.0% agency success fee on final price.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E935D"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t>Platforms: Duna House physical branch network.</w:t>
            </w:r>
          </w:p>
          <w:p w14:paraId="4105B724" w14:textId="77777777" w:rsidR="002C11E3" w:rsidRPr="002C11E3" w:rsidRDefault="002C11E3" w:rsidP="002C11E3">
            <w:pPr>
              <w:jc w:val="center"/>
              <w:rPr>
                <w:rFonts w:ascii="Times New Roman" w:hAnsi="Times New Roman" w:cs="Times New Roman"/>
                <w:sz w:val="16"/>
                <w:szCs w:val="16"/>
              </w:rPr>
            </w:pPr>
            <w:r w:rsidRPr="002C11E3">
              <w:rPr>
                <w:rFonts w:ascii="Times New Roman" w:hAnsi="Times New Roman" w:cs="Times New Roman"/>
                <w:sz w:val="16"/>
                <w:szCs w:val="16"/>
              </w:rPr>
              <w:lastRenderedPageBreak/>
              <w:t>Broker Fee: Paid by the seller upon success.</w:t>
            </w:r>
          </w:p>
        </w:tc>
      </w:tr>
    </w:tbl>
    <w:p w14:paraId="339CB051" w14:textId="4EB46ADB" w:rsidR="00512F68" w:rsidRPr="00512F68" w:rsidRDefault="00512F68" w:rsidP="00512F68">
      <w:pPr>
        <w:jc w:val="both"/>
        <w:rPr>
          <w:rFonts w:ascii="Times New Roman" w:hAnsi="Times New Roman" w:cs="Times New Roman"/>
          <w:sz w:val="20"/>
          <w:szCs w:val="20"/>
        </w:rPr>
      </w:pPr>
    </w:p>
    <w:p w14:paraId="1D24D943" w14:textId="77777777" w:rsidR="00512F68" w:rsidRPr="00512F68" w:rsidRDefault="00512F68" w:rsidP="00512F68">
      <w:pPr>
        <w:jc w:val="both"/>
        <w:rPr>
          <w:rFonts w:ascii="Times New Roman" w:hAnsi="Times New Roman" w:cs="Times New Roman"/>
          <w:b/>
          <w:bCs/>
          <w:sz w:val="20"/>
          <w:szCs w:val="20"/>
        </w:rPr>
      </w:pPr>
      <w:r w:rsidRPr="00512F68">
        <w:rPr>
          <w:rFonts w:ascii="Times New Roman" w:hAnsi="Times New Roman" w:cs="Times New Roman"/>
          <w:b/>
          <w:bCs/>
          <w:sz w:val="20"/>
          <w:szCs w:val="20"/>
        </w:rPr>
        <w:t>Szakmai kiegészítés a jelentéshez: Mit jelent a "Kitettség" (Exposure) és a Korreláció?</w:t>
      </w:r>
    </w:p>
    <w:p w14:paraId="29AF9DE8" w14:textId="77777777" w:rsidR="00512F68" w:rsidRPr="00512F68" w:rsidRDefault="00512F68" w:rsidP="00512F68">
      <w:pPr>
        <w:jc w:val="both"/>
        <w:rPr>
          <w:rFonts w:ascii="Times New Roman" w:hAnsi="Times New Roman" w:cs="Times New Roman"/>
          <w:sz w:val="20"/>
          <w:szCs w:val="20"/>
        </w:rPr>
      </w:pPr>
      <w:r w:rsidRPr="00512F68">
        <w:rPr>
          <w:rFonts w:ascii="Times New Roman" w:hAnsi="Times New Roman" w:cs="Times New Roman"/>
          <w:sz w:val="20"/>
          <w:szCs w:val="20"/>
        </w:rPr>
        <w:t xml:space="preserve">A fenti eszközök elemzése rávilágít egy kritikus problémára a lakóingatlan-piaci (residential) befektetések esetén: </w:t>
      </w:r>
      <w:r w:rsidRPr="00512F68">
        <w:rPr>
          <w:rFonts w:ascii="Times New Roman" w:hAnsi="Times New Roman" w:cs="Times New Roman"/>
          <w:b/>
          <w:bCs/>
          <w:sz w:val="20"/>
          <w:szCs w:val="20"/>
        </w:rPr>
        <w:t>a tiszta indexkövetés (mint mondjuk egy S&amp;P 500 ETF esetében) a hazai lakáspiacon jelenleg nem lehetséges a lakossági befektetők számára.</w:t>
      </w:r>
    </w:p>
    <w:p w14:paraId="51499A75" w14:textId="77777777" w:rsidR="00512F68" w:rsidRPr="00512F68" w:rsidRDefault="00512F68" w:rsidP="00512F68">
      <w:pPr>
        <w:numPr>
          <w:ilvl w:val="0"/>
          <w:numId w:val="11"/>
        </w:numPr>
        <w:jc w:val="both"/>
        <w:rPr>
          <w:rFonts w:ascii="Times New Roman" w:hAnsi="Times New Roman" w:cs="Times New Roman"/>
          <w:sz w:val="20"/>
          <w:szCs w:val="20"/>
        </w:rPr>
      </w:pPr>
      <w:r w:rsidRPr="00512F68">
        <w:rPr>
          <w:rFonts w:ascii="Times New Roman" w:hAnsi="Times New Roman" w:cs="Times New Roman"/>
          <w:b/>
          <w:bCs/>
          <w:sz w:val="20"/>
          <w:szCs w:val="20"/>
        </w:rPr>
        <w:t>A Kitettség tárgya (Mit is veszünk valójában?):</w:t>
      </w:r>
    </w:p>
    <w:p w14:paraId="0FB757CB" w14:textId="77777777" w:rsidR="00512F68" w:rsidRPr="00512F68" w:rsidRDefault="00512F68" w:rsidP="00512F68">
      <w:pPr>
        <w:numPr>
          <w:ilvl w:val="1"/>
          <w:numId w:val="11"/>
        </w:numPr>
        <w:jc w:val="both"/>
        <w:rPr>
          <w:rFonts w:ascii="Times New Roman" w:hAnsi="Times New Roman" w:cs="Times New Roman"/>
          <w:sz w:val="20"/>
          <w:szCs w:val="20"/>
        </w:rPr>
      </w:pPr>
      <w:r w:rsidRPr="00512F68">
        <w:rPr>
          <w:rFonts w:ascii="Times New Roman" w:hAnsi="Times New Roman" w:cs="Times New Roman"/>
          <w:sz w:val="20"/>
          <w:szCs w:val="20"/>
        </w:rPr>
        <w:t xml:space="preserve">Amikor amerikai (REZ, RESI) vagy európai (Vonovia) papírokat veszünk, valódi, fizikai lakóingatlanok értékváltozásához és bérleti díjaihoz kapunk hozzáférést, rendkívül alacsony díjak mellett. Ennek ára azonban a </w:t>
      </w:r>
      <w:r w:rsidRPr="00512F68">
        <w:rPr>
          <w:rFonts w:ascii="Times New Roman" w:hAnsi="Times New Roman" w:cs="Times New Roman"/>
          <w:i/>
          <w:iCs/>
          <w:sz w:val="20"/>
          <w:szCs w:val="20"/>
        </w:rPr>
        <w:t>földrajzi kitettség</w:t>
      </w:r>
      <w:r w:rsidRPr="00512F68">
        <w:rPr>
          <w:rFonts w:ascii="Times New Roman" w:hAnsi="Times New Roman" w:cs="Times New Roman"/>
          <w:sz w:val="20"/>
          <w:szCs w:val="20"/>
        </w:rPr>
        <w:t>: ha a hazai (KSH vagy MNB) lakásárindexet akarjuk lekövetni, ezek az eszközök teljesen haszontalanok, hiszen más makrogazdasági környezetben mozognak.</w:t>
      </w:r>
    </w:p>
    <w:p w14:paraId="07AFBFB2" w14:textId="77777777" w:rsidR="00512F68" w:rsidRPr="00512F68" w:rsidRDefault="00512F68" w:rsidP="00512F68">
      <w:pPr>
        <w:numPr>
          <w:ilvl w:val="1"/>
          <w:numId w:val="11"/>
        </w:numPr>
        <w:jc w:val="both"/>
        <w:rPr>
          <w:rFonts w:ascii="Times New Roman" w:hAnsi="Times New Roman" w:cs="Times New Roman"/>
          <w:sz w:val="20"/>
          <w:szCs w:val="20"/>
        </w:rPr>
      </w:pPr>
      <w:r w:rsidRPr="00512F68">
        <w:rPr>
          <w:rFonts w:ascii="Times New Roman" w:hAnsi="Times New Roman" w:cs="Times New Roman"/>
          <w:sz w:val="20"/>
          <w:szCs w:val="20"/>
        </w:rPr>
        <w:t>A népszerű hazai alapok (pl. OTP Ingatlanalap) bár földrajzilag jó helyen vannak, a kitettségük nem lakossági, hanem kereskedelmi és irodai. Így ha a lakásárak kilőnek, de az irodapiac stagnál, az alap hozama elmarad a lakásárindextől.</w:t>
      </w:r>
    </w:p>
    <w:p w14:paraId="7C59C4EF" w14:textId="77777777" w:rsidR="00512F68" w:rsidRPr="00512F68" w:rsidRDefault="00512F68" w:rsidP="00512F68">
      <w:pPr>
        <w:numPr>
          <w:ilvl w:val="0"/>
          <w:numId w:val="11"/>
        </w:numPr>
        <w:jc w:val="both"/>
        <w:rPr>
          <w:rFonts w:ascii="Times New Roman" w:hAnsi="Times New Roman" w:cs="Times New Roman"/>
          <w:sz w:val="20"/>
          <w:szCs w:val="20"/>
        </w:rPr>
      </w:pPr>
      <w:r w:rsidRPr="00512F68">
        <w:rPr>
          <w:rFonts w:ascii="Times New Roman" w:hAnsi="Times New Roman" w:cs="Times New Roman"/>
          <w:b/>
          <w:bCs/>
          <w:sz w:val="20"/>
          <w:szCs w:val="20"/>
        </w:rPr>
        <w:t>Árindex vs. Tranzakciós Volumen (A Duna House paradoxon):</w:t>
      </w:r>
    </w:p>
    <w:p w14:paraId="1AE50AA6" w14:textId="77777777" w:rsidR="00512F68" w:rsidRPr="00512F68" w:rsidRDefault="00512F68" w:rsidP="00512F68">
      <w:pPr>
        <w:numPr>
          <w:ilvl w:val="1"/>
          <w:numId w:val="11"/>
        </w:numPr>
        <w:jc w:val="both"/>
        <w:rPr>
          <w:rFonts w:ascii="Times New Roman" w:hAnsi="Times New Roman" w:cs="Times New Roman"/>
          <w:sz w:val="20"/>
          <w:szCs w:val="20"/>
        </w:rPr>
      </w:pPr>
      <w:r w:rsidRPr="00512F68">
        <w:rPr>
          <w:rFonts w:ascii="Times New Roman" w:hAnsi="Times New Roman" w:cs="Times New Roman"/>
          <w:sz w:val="20"/>
          <w:szCs w:val="20"/>
        </w:rPr>
        <w:t xml:space="preserve">A </w:t>
      </w:r>
      <w:r w:rsidRPr="00512F68">
        <w:rPr>
          <w:rFonts w:ascii="Times New Roman" w:hAnsi="Times New Roman" w:cs="Times New Roman"/>
          <w:b/>
          <w:bCs/>
          <w:sz w:val="20"/>
          <w:szCs w:val="20"/>
        </w:rPr>
        <w:t>Duna House (DUNAHOUSE.BU)</w:t>
      </w:r>
      <w:r w:rsidRPr="00512F68">
        <w:rPr>
          <w:rFonts w:ascii="Times New Roman" w:hAnsi="Times New Roman" w:cs="Times New Roman"/>
          <w:sz w:val="20"/>
          <w:szCs w:val="20"/>
        </w:rPr>
        <w:t xml:space="preserve"> részvény megvásárlása gyakori próbálkozás a hazai lakáspiac lekövetésére, de fontos érteni, hogy ez </w:t>
      </w:r>
      <w:r w:rsidRPr="00512F68">
        <w:rPr>
          <w:rFonts w:ascii="Times New Roman" w:hAnsi="Times New Roman" w:cs="Times New Roman"/>
          <w:i/>
          <w:iCs/>
          <w:sz w:val="20"/>
          <w:szCs w:val="20"/>
        </w:rPr>
        <w:t>nem</w:t>
      </w:r>
      <w:r w:rsidRPr="00512F68">
        <w:rPr>
          <w:rFonts w:ascii="Times New Roman" w:hAnsi="Times New Roman" w:cs="Times New Roman"/>
          <w:sz w:val="20"/>
          <w:szCs w:val="20"/>
        </w:rPr>
        <w:t xml:space="preserve"> a lakásárakkal (tehát nem a lakásárindexszel) korrelál közvetlenül. A Duna House kitettsége a piac </w:t>
      </w:r>
      <w:r w:rsidRPr="00512F68">
        <w:rPr>
          <w:rFonts w:ascii="Times New Roman" w:hAnsi="Times New Roman" w:cs="Times New Roman"/>
          <w:i/>
          <w:iCs/>
          <w:sz w:val="20"/>
          <w:szCs w:val="20"/>
        </w:rPr>
        <w:t>forgalmára és likviditására</w:t>
      </w:r>
      <w:r w:rsidRPr="00512F68">
        <w:rPr>
          <w:rFonts w:ascii="Times New Roman" w:hAnsi="Times New Roman" w:cs="Times New Roman"/>
          <w:sz w:val="20"/>
          <w:szCs w:val="20"/>
        </w:rPr>
        <w:t xml:space="preserve"> vonatkozik. Egy stagnáló árakkal, de sok adásvétellel pörgő piacon a DH részvények szárnyalhatnak, míg egy "befagyott", tranzakció nélküli, de magas árszinten ragadt piacon a cég bevételei (és így a részvényárfolyam) eshetnek.</w:t>
      </w:r>
    </w:p>
    <w:p w14:paraId="5FD645AA" w14:textId="77777777" w:rsidR="00512F68" w:rsidRPr="00512F68" w:rsidRDefault="00512F68" w:rsidP="00512F68">
      <w:pPr>
        <w:numPr>
          <w:ilvl w:val="0"/>
          <w:numId w:val="11"/>
        </w:numPr>
        <w:jc w:val="both"/>
        <w:rPr>
          <w:rFonts w:ascii="Times New Roman" w:hAnsi="Times New Roman" w:cs="Times New Roman"/>
          <w:sz w:val="20"/>
          <w:szCs w:val="20"/>
        </w:rPr>
      </w:pPr>
      <w:r w:rsidRPr="00512F68">
        <w:rPr>
          <w:rFonts w:ascii="Times New Roman" w:hAnsi="Times New Roman" w:cs="Times New Roman"/>
          <w:b/>
          <w:bCs/>
          <w:sz w:val="20"/>
          <w:szCs w:val="20"/>
        </w:rPr>
        <w:t>Fizikai valóság és a likviditási prémium:</w:t>
      </w:r>
    </w:p>
    <w:p w14:paraId="3A3B6FE9" w14:textId="77777777" w:rsidR="00512F68" w:rsidRPr="00512F68" w:rsidRDefault="00512F68" w:rsidP="00512F68">
      <w:pPr>
        <w:numPr>
          <w:ilvl w:val="1"/>
          <w:numId w:val="11"/>
        </w:numPr>
        <w:jc w:val="both"/>
        <w:rPr>
          <w:rFonts w:ascii="Times New Roman" w:hAnsi="Times New Roman" w:cs="Times New Roman"/>
          <w:sz w:val="20"/>
          <w:szCs w:val="20"/>
        </w:rPr>
      </w:pPr>
      <w:r w:rsidRPr="00512F68">
        <w:rPr>
          <w:rFonts w:ascii="Times New Roman" w:hAnsi="Times New Roman" w:cs="Times New Roman"/>
          <w:sz w:val="20"/>
          <w:szCs w:val="20"/>
        </w:rPr>
        <w:t xml:space="preserve">Ha a cél a hazai lakásárindex pontos és közvetlen követése, a fizikai ingatlan megvásárlása és (későbbi) értékesítése az egyetlen valós út. Itt a kitettség 1:1, a korreláció tökéletes a lokális piaccal. Azonban az értékpapírok 0,05%-os spreadjével szemben egy lakás eladásakor azonnal </w:t>
      </w:r>
      <w:r w:rsidRPr="00512F68">
        <w:rPr>
          <w:rFonts w:ascii="Times New Roman" w:hAnsi="Times New Roman" w:cs="Times New Roman"/>
          <w:b/>
          <w:bCs/>
          <w:sz w:val="20"/>
          <w:szCs w:val="20"/>
        </w:rPr>
        <w:t>3-5%-os tranzakciós veszteséget (friction cost)</w:t>
      </w:r>
      <w:r w:rsidRPr="00512F68">
        <w:rPr>
          <w:rFonts w:ascii="Times New Roman" w:hAnsi="Times New Roman" w:cs="Times New Roman"/>
          <w:sz w:val="20"/>
          <w:szCs w:val="20"/>
        </w:rPr>
        <w:t xml:space="preserve"> szenvedünk el egy közvetítő (mint a Duna House) bevonása esetén, és a tőke évekig illikvid formában van lekötve.</w:t>
      </w:r>
    </w:p>
    <w:p w14:paraId="23BFB45F" w14:textId="77777777" w:rsidR="00512F68" w:rsidRDefault="00512F68" w:rsidP="003D3C39">
      <w:pPr>
        <w:jc w:val="both"/>
        <w:rPr>
          <w:rFonts w:ascii="Times New Roman" w:hAnsi="Times New Roman" w:cs="Times New Roman"/>
          <w:sz w:val="20"/>
          <w:szCs w:val="20"/>
        </w:rPr>
      </w:pPr>
    </w:p>
    <w:p w14:paraId="39E8B9E6" w14:textId="77777777" w:rsidR="00512F68" w:rsidRDefault="00512F68" w:rsidP="003D3C39">
      <w:pPr>
        <w:jc w:val="both"/>
        <w:rPr>
          <w:rFonts w:ascii="Times New Roman" w:hAnsi="Times New Roman" w:cs="Times New Roman"/>
          <w:sz w:val="20"/>
          <w:szCs w:val="20"/>
        </w:rPr>
      </w:pPr>
    </w:p>
    <w:p w14:paraId="4F6190B8" w14:textId="77777777" w:rsidR="00512F68" w:rsidRDefault="00512F68" w:rsidP="003D3C39">
      <w:pPr>
        <w:jc w:val="both"/>
        <w:rPr>
          <w:rFonts w:ascii="Times New Roman" w:hAnsi="Times New Roman" w:cs="Times New Roman"/>
          <w:sz w:val="20"/>
          <w:szCs w:val="20"/>
        </w:rPr>
      </w:pPr>
    </w:p>
    <w:p w14:paraId="1E700299" w14:textId="52928DA2" w:rsidR="003D3C39" w:rsidRPr="003D3C39" w:rsidRDefault="003D3C39" w:rsidP="003D3C39">
      <w:pPr>
        <w:jc w:val="both"/>
        <w:rPr>
          <w:rFonts w:ascii="Times New Roman" w:hAnsi="Times New Roman" w:cs="Times New Roman"/>
          <w:sz w:val="20"/>
          <w:szCs w:val="20"/>
        </w:rPr>
      </w:pPr>
      <w:r w:rsidRPr="003D3C39">
        <w:rPr>
          <w:rFonts w:ascii="Times New Roman" w:hAnsi="Times New Roman" w:cs="Times New Roman"/>
          <w:sz w:val="20"/>
          <w:szCs w:val="20"/>
        </w:rPr>
        <w:t xml:space="preserve">A dinamikus, volumengenerált díjak jelentős bizalmatlanságot és tervezhetetlenséget szülnek egy olyan környezetben, ahol a lakástulajdonosok a legértékesebb vagyontárgyukat vonják be fedezetként, a befektetők pedig precíziós, lokális kitettséget keresnek. Ennek kiküszöbölésére és a platform egyedülálló szintetikus értékajánlatának monetizálására a REX egy szigorúan fixált, tranzakció-alapú architektúrát alkalmaz, amely tudatosan magasabb belépési és kilépési pontokat határoz meg, cserébe viszont teljes mértékben eliminálja a hagyományos pénzügyi rendszerek leginkább értékromboló elemeit: az éveszköz-arányos (AUM) alapkezelési díjakat, a teljesítményarányos sikerdíjakat és a kamatos kamat elvén felhalmozódó adósságszolgálatot. A REX </w:t>
      </w:r>
      <w:r w:rsidRPr="003D3C39">
        <w:rPr>
          <w:rFonts w:ascii="Times New Roman" w:hAnsi="Times New Roman" w:cs="Times New Roman"/>
          <w:sz w:val="20"/>
          <w:szCs w:val="20"/>
        </w:rPr>
        <w:lastRenderedPageBreak/>
        <w:t>portfólió tartása a befektetők és a tőkefelszabadító tulajdonosok számára egyaránt költségmentes, a rendszer működését az eszközéletciklushoz kötött rögzített levonások biztosítják</w:t>
      </w:r>
      <w:r w:rsidR="007244FB">
        <w:rPr>
          <w:rFonts w:ascii="Times New Roman" w:hAnsi="Times New Roman" w:cs="Times New Roman"/>
          <w:sz w:val="20"/>
          <w:szCs w:val="20"/>
        </w:rPr>
        <w:t>.</w:t>
      </w:r>
    </w:p>
    <w:p w14:paraId="4A207356" w14:textId="77777777" w:rsidR="003D3C39" w:rsidRPr="003D3C39" w:rsidRDefault="003D3C39" w:rsidP="003D3C39">
      <w:pPr>
        <w:jc w:val="both"/>
        <w:rPr>
          <w:rFonts w:ascii="Times New Roman" w:hAnsi="Times New Roman" w:cs="Times New Roman"/>
          <w:sz w:val="20"/>
          <w:szCs w:val="20"/>
        </w:rPr>
      </w:pPr>
    </w:p>
    <w:p w14:paraId="59F57638" w14:textId="77777777" w:rsidR="003D3C39" w:rsidRPr="003D3C39" w:rsidRDefault="003D3C39" w:rsidP="003D3C39">
      <w:pPr>
        <w:jc w:val="both"/>
        <w:rPr>
          <w:rFonts w:ascii="Times New Roman" w:hAnsi="Times New Roman" w:cs="Times New Roman"/>
          <w:sz w:val="20"/>
          <w:szCs w:val="20"/>
        </w:rPr>
      </w:pPr>
      <w:r w:rsidRPr="003D3C39">
        <w:rPr>
          <w:rFonts w:ascii="Times New Roman" w:hAnsi="Times New Roman" w:cs="Times New Roman"/>
          <w:sz w:val="20"/>
          <w:szCs w:val="20"/>
        </w:rPr>
        <w:t>A rendszer díjstruktúrájának első eleme a két százalékos Kibocsátási és Értékbecslési Díj (Origination Fee). Ezt a lakástulajdonos fizeti a tranzakció kezdetekor, amelyet az okosszerződés automatikusan levon a felszabadított tőkeértékből a folyósítás pillanatában. Ez az egyszeri költség integráltan fedezi az Automatizált Értékbecslő Rendszer (AVM) gépi futtatását, az ügyfél-azonosítási és pénzmosás elleni (KYC/AML) ellenőrzéseket, a jogi dokumentáció algoritmikus generálását, valamint a legkritikusabb fizikai lépést: a földhivatali, ingatlan-nyilvántartási bejegyzés adminisztrációját. Bár a két százalékos belépési küszöb nominálisan magasnak tűnhet egy értékpapírpiaci tranzakcióhoz képest, a valóságban ez az a prémium, amelyet az ügyfél az adósságmentes tőkefelszabadítás jogi és technológiai struktúrájáért fizet.</w:t>
      </w:r>
    </w:p>
    <w:p w14:paraId="38C5233A" w14:textId="77777777" w:rsidR="003D3C39" w:rsidRPr="003D3C39" w:rsidRDefault="003D3C39" w:rsidP="003D3C39">
      <w:pPr>
        <w:jc w:val="both"/>
        <w:rPr>
          <w:rFonts w:ascii="Times New Roman" w:hAnsi="Times New Roman" w:cs="Times New Roman"/>
          <w:sz w:val="20"/>
          <w:szCs w:val="20"/>
        </w:rPr>
      </w:pPr>
    </w:p>
    <w:p w14:paraId="7DE53C96" w14:textId="7CE238DA" w:rsidR="003D3C39" w:rsidRPr="003D3C39" w:rsidRDefault="003D3C39" w:rsidP="003D3C39">
      <w:pPr>
        <w:jc w:val="both"/>
        <w:rPr>
          <w:rFonts w:ascii="Times New Roman" w:hAnsi="Times New Roman" w:cs="Times New Roman"/>
          <w:sz w:val="20"/>
          <w:szCs w:val="20"/>
        </w:rPr>
      </w:pPr>
      <w:r w:rsidRPr="003D3C39">
        <w:rPr>
          <w:rFonts w:ascii="Times New Roman" w:hAnsi="Times New Roman" w:cs="Times New Roman"/>
          <w:sz w:val="20"/>
          <w:szCs w:val="20"/>
        </w:rPr>
        <w:t xml:space="preserve">A másodlagos piaci likviditás fenntartását a rendszer egy kombinált, 0.5 százalékos kereskedési díj és az AMM modellből fakadó természetes árfolyamrés (spread) kettőse biztosítja. Ezt a díjat az a befektető fizeti, aki a másodlagos piacon REX részvényt ad el vagy vásárol. Itt érvényesül leginkább a REX hierarchikus fa-struktúrájának architekturális </w:t>
      </w:r>
      <w:r w:rsidR="006D56F2">
        <w:rPr>
          <w:rFonts w:ascii="Times New Roman" w:hAnsi="Times New Roman" w:cs="Times New Roman"/>
          <w:sz w:val="20"/>
          <w:szCs w:val="20"/>
        </w:rPr>
        <w:t>innovációja</w:t>
      </w:r>
      <w:r w:rsidRPr="003D3C39">
        <w:rPr>
          <w:rFonts w:ascii="Times New Roman" w:hAnsi="Times New Roman" w:cs="Times New Roman"/>
          <w:sz w:val="20"/>
          <w:szCs w:val="20"/>
        </w:rPr>
        <w:t xml:space="preserve">. Amikor egy intézményi befektető az aggregált EU REX Indexbe fektet be, a rendszer a tőkesúlyok alapján algoritmikusan szétbontja a megbízást, és a likviditási terhelés a legalsó levélcsomópontokban (leaf nodes) – a német, magyar, lengyel és egyéb lokális poolokban – csapódik le. A levont 0.5 százalékos tranzakciós díj </w:t>
      </w:r>
      <w:r w:rsidR="006D56F2">
        <w:rPr>
          <w:rFonts w:ascii="Times New Roman" w:hAnsi="Times New Roman" w:cs="Times New Roman"/>
          <w:sz w:val="20"/>
          <w:szCs w:val="20"/>
        </w:rPr>
        <w:t xml:space="preserve">egy része </w:t>
      </w:r>
      <w:r w:rsidRPr="003D3C39">
        <w:rPr>
          <w:rFonts w:ascii="Times New Roman" w:hAnsi="Times New Roman" w:cs="Times New Roman"/>
          <w:sz w:val="20"/>
          <w:szCs w:val="20"/>
        </w:rPr>
        <w:t>nem a REX központi vállalatát gazdagítja, hanem azonnal és célzottan visszaforog ezekbe a lokális, mikroszintű Genezis Poolokba. Ez a mechanizmus folyamatosan növeli a lokális piacok készpénz- és token-tartalékait, organikus tőkeellátást biztosítva a leginkább sebezhető végpontokon, miközben a matematikai spread tompítja a magas frekvenciájú, rendszert terhelő arbitrázs okozta károkat.</w:t>
      </w:r>
    </w:p>
    <w:p w14:paraId="5E52427F" w14:textId="77777777" w:rsidR="003D3C39" w:rsidRPr="003D3C39" w:rsidRDefault="003D3C39" w:rsidP="003D3C39">
      <w:pPr>
        <w:jc w:val="both"/>
        <w:rPr>
          <w:rFonts w:ascii="Times New Roman" w:hAnsi="Times New Roman" w:cs="Times New Roman"/>
          <w:sz w:val="20"/>
          <w:szCs w:val="20"/>
        </w:rPr>
      </w:pPr>
    </w:p>
    <w:p w14:paraId="14CDF3A8" w14:textId="77777777" w:rsidR="003D3C39" w:rsidRPr="003D3C39" w:rsidRDefault="003D3C39" w:rsidP="003D3C39">
      <w:pPr>
        <w:jc w:val="both"/>
        <w:rPr>
          <w:rFonts w:ascii="Times New Roman" w:hAnsi="Times New Roman" w:cs="Times New Roman"/>
          <w:sz w:val="20"/>
          <w:szCs w:val="20"/>
        </w:rPr>
      </w:pPr>
      <w:r w:rsidRPr="003D3C39">
        <w:rPr>
          <w:rFonts w:ascii="Times New Roman" w:hAnsi="Times New Roman" w:cs="Times New Roman"/>
          <w:sz w:val="20"/>
          <w:szCs w:val="20"/>
        </w:rPr>
        <w:t>Az életciklus harmadik, egyben utolsó eleme a két százalékos Zárási Díj (Settlement Fee). Ezt a lakástulajdonos fizeti a tőke visszavásárlásakor, vagy az ingatlan teljes értékesítésekor a tranzakcióból kerül levonásra. Ez a díj realizálja a platform tiszta nyereségét, fedezve a digitális tokenek okosszerződés általi elégetési (burn) folyamatát és a fedezetfelszabadítás fizikai, jogi lezárását. Mivel a modellből hiányzik a folyamatos vagyonkezelési díj, a cég érdeke tökéletesen megegyezik az ügyfélével: a profit csak a sikeres, végleges életciklus-záráskor realizálódik.</w:t>
      </w:r>
    </w:p>
    <w:p w14:paraId="3C092EA0" w14:textId="77777777" w:rsidR="003D3C39" w:rsidRPr="003D3C39" w:rsidRDefault="003D3C39" w:rsidP="003D3C39">
      <w:pPr>
        <w:jc w:val="both"/>
        <w:rPr>
          <w:rFonts w:ascii="Times New Roman" w:hAnsi="Times New Roman" w:cs="Times New Roman"/>
          <w:sz w:val="20"/>
          <w:szCs w:val="20"/>
        </w:rPr>
      </w:pPr>
    </w:p>
    <w:p w14:paraId="474E8B9D" w14:textId="50D6B6E7" w:rsidR="003D3C39" w:rsidRPr="003D3C39" w:rsidRDefault="003D3C39" w:rsidP="003D3C39">
      <w:pPr>
        <w:jc w:val="both"/>
        <w:rPr>
          <w:rFonts w:ascii="Times New Roman" w:hAnsi="Times New Roman" w:cs="Times New Roman"/>
          <w:sz w:val="20"/>
          <w:szCs w:val="20"/>
        </w:rPr>
      </w:pPr>
      <w:r w:rsidRPr="003D3C39">
        <w:rPr>
          <w:rFonts w:ascii="Times New Roman" w:hAnsi="Times New Roman" w:cs="Times New Roman"/>
          <w:sz w:val="20"/>
          <w:szCs w:val="20"/>
        </w:rPr>
        <w:t xml:space="preserve">A REX árazási ereje és a kétszer két százalékos életciklus-díj, valamint a másodlagos piaci prémium létjogosultsága kizárólag a hagyományos hitel- és tőkepiaci alternatívákkal (HELOC, </w:t>
      </w:r>
      <w:r w:rsidR="006D56F2" w:rsidRPr="003D3C39">
        <w:rPr>
          <w:rFonts w:ascii="Times New Roman" w:hAnsi="Times New Roman" w:cs="Times New Roman"/>
          <w:sz w:val="20"/>
          <w:szCs w:val="20"/>
        </w:rPr>
        <w:t>HEL</w:t>
      </w:r>
      <w:r w:rsidR="006D56F2">
        <w:rPr>
          <w:rFonts w:ascii="Times New Roman" w:hAnsi="Times New Roman" w:cs="Times New Roman"/>
          <w:sz w:val="20"/>
          <w:szCs w:val="20"/>
        </w:rPr>
        <w:t>OAN</w:t>
      </w:r>
      <w:r w:rsidRPr="003D3C39">
        <w:rPr>
          <w:rFonts w:ascii="Times New Roman" w:hAnsi="Times New Roman" w:cs="Times New Roman"/>
          <w:sz w:val="20"/>
          <w:szCs w:val="20"/>
        </w:rPr>
        <w:t>, REIT, ETF) való komparatív elemzésen keresztül érthető meg. A lakossági tőkefelszabadítás piacán az elsődleges versenytársak a lakáscélú hitelkeretek (HELOC) és a fix kamatozású lakáshitelek (HEL</w:t>
      </w:r>
      <w:r w:rsidR="006D56F2">
        <w:rPr>
          <w:rFonts w:ascii="Times New Roman" w:hAnsi="Times New Roman" w:cs="Times New Roman"/>
          <w:sz w:val="20"/>
          <w:szCs w:val="20"/>
        </w:rPr>
        <w:t>OAN</w:t>
      </w:r>
      <w:r w:rsidRPr="003D3C39">
        <w:rPr>
          <w:rFonts w:ascii="Times New Roman" w:hAnsi="Times New Roman" w:cs="Times New Roman"/>
          <w:sz w:val="20"/>
          <w:szCs w:val="20"/>
        </w:rPr>
        <w:t xml:space="preserve">). Ezek az instrumentumok fundamentálisan adósságra épülnek. Amikor egy tulajdonos felvesz egy </w:t>
      </w:r>
      <w:r w:rsidR="006D56F2" w:rsidRPr="003D3C39">
        <w:rPr>
          <w:rFonts w:ascii="Times New Roman" w:hAnsi="Times New Roman" w:cs="Times New Roman"/>
          <w:sz w:val="20"/>
          <w:szCs w:val="20"/>
        </w:rPr>
        <w:t>HEL</w:t>
      </w:r>
      <w:r w:rsidR="006D56F2">
        <w:rPr>
          <w:rFonts w:ascii="Times New Roman" w:hAnsi="Times New Roman" w:cs="Times New Roman"/>
          <w:sz w:val="20"/>
          <w:szCs w:val="20"/>
        </w:rPr>
        <w:t>OAN</w:t>
      </w:r>
      <w:r w:rsidRPr="003D3C39">
        <w:rPr>
          <w:rFonts w:ascii="Times New Roman" w:hAnsi="Times New Roman" w:cs="Times New Roman"/>
          <w:sz w:val="20"/>
          <w:szCs w:val="20"/>
        </w:rPr>
        <w:t xml:space="preserve">-t, jellemzően kettő és öt százalék közötti folyósítási, értékbecslési és közjegyzői zárási költséget (closing costs) fizet ki azonnal. Ezt követően egy olyan fix, jelenlegi környezetben gyakran hét-kilenc százalékos éves kamatlábat kell fizetnie, amely az évek során drasztikusan erodálja a vagyonát, és havi szintű készpénzkiáramlást (cash-flow drain) okoz. A HELOC esetében a változó kamatozás miatt a tulajdonos a jegybanki alapkamat-emelések azonnali hatásának van kitéve. A REX két százalékos nyitó és két százalékos záró díja ezzel szemben egy végleges, rögzített költség. A tulajdonos nem fizet kamatot, nincs havi törlesztőrészlete, és nincs kényszerlikvidációs kockázata a jövedelemkiesés miatt. A REX prémiumának hozzáadott értéke </w:t>
      </w:r>
      <w:r w:rsidR="006D56F2">
        <w:rPr>
          <w:rFonts w:ascii="Times New Roman" w:hAnsi="Times New Roman" w:cs="Times New Roman"/>
          <w:sz w:val="20"/>
          <w:szCs w:val="20"/>
        </w:rPr>
        <w:t>a rugalmasság</w:t>
      </w:r>
      <w:r w:rsidRPr="003D3C39">
        <w:rPr>
          <w:rFonts w:ascii="Times New Roman" w:hAnsi="Times New Roman" w:cs="Times New Roman"/>
          <w:sz w:val="20"/>
          <w:szCs w:val="20"/>
        </w:rPr>
        <w:t xml:space="preserve"> a készpénzszegény háztartások számára.</w:t>
      </w:r>
    </w:p>
    <w:p w14:paraId="0AB05468" w14:textId="77777777" w:rsidR="003D3C39" w:rsidRPr="003D3C39" w:rsidRDefault="003D3C39" w:rsidP="003D3C39">
      <w:pPr>
        <w:jc w:val="both"/>
        <w:rPr>
          <w:rFonts w:ascii="Times New Roman" w:hAnsi="Times New Roman" w:cs="Times New Roman"/>
          <w:sz w:val="20"/>
          <w:szCs w:val="20"/>
        </w:rPr>
      </w:pPr>
      <w:r w:rsidRPr="003D3C39">
        <w:rPr>
          <w:rFonts w:ascii="Times New Roman" w:hAnsi="Times New Roman" w:cs="Times New Roman"/>
          <w:sz w:val="20"/>
          <w:szCs w:val="20"/>
        </w:rPr>
        <w:t xml:space="preserve">A befektetői oldalon a REX közvetlen alternatívái a Real Estate Investment Trust (REIT) alapok és az ingatlanpiaci ETF-ek. A hagyományos, nem tőzsdén forgalmazott zártvégű REIT-ek (mint a globális piacot domináló intézményi alapok) átláthatatlan és rendkívül magas belső díjstruktúrával operálnak. Jellemző az egy-másfél százalékos éves alapkezelési díj, amelyet kiegészít egy tizenkettő-húsz százalék közötti teljesítményarányos sikerdíj a meghatározott hozamküszöb felett. Egy öt éves tartási időszak alatt ezek a folyamatos levonások masszív </w:t>
      </w:r>
      <w:r w:rsidRPr="003D3C39">
        <w:rPr>
          <w:rFonts w:ascii="Times New Roman" w:hAnsi="Times New Roman" w:cs="Times New Roman"/>
          <w:sz w:val="20"/>
          <w:szCs w:val="20"/>
        </w:rPr>
        <w:lastRenderedPageBreak/>
        <w:t>mértékben felemésztik az eszköz nettó értékét. A REX esetében a nulla százalékos AUM díj garantálja, hogy az inflációkövető ingatlanpiaci hozam teljes egészében a befektetőnél marad.</w:t>
      </w:r>
    </w:p>
    <w:p w14:paraId="20E32861" w14:textId="6527D477" w:rsidR="002C4387" w:rsidRPr="004E2E10" w:rsidRDefault="003D3C39" w:rsidP="003D3C39">
      <w:pPr>
        <w:jc w:val="both"/>
        <w:rPr>
          <w:rFonts w:ascii="Times New Roman" w:hAnsi="Times New Roman" w:cs="Times New Roman"/>
          <w:color w:val="000000"/>
          <w:kern w:val="0"/>
          <w:sz w:val="20"/>
          <w:szCs w:val="20"/>
        </w:rPr>
      </w:pPr>
      <w:r w:rsidRPr="003D3C39">
        <w:rPr>
          <w:rFonts w:ascii="Times New Roman" w:hAnsi="Times New Roman" w:cs="Times New Roman"/>
          <w:sz w:val="20"/>
          <w:szCs w:val="20"/>
        </w:rPr>
        <w:t>A tőzsdén forgalmazott ingatlan ETF-ek (mint például a Vanguard termékei) valóban kínálnak ultra-alacsony, akár 0.10 százalékos éves költséghányadot, azonban az általuk biztosított kitettség minőségében és fókuszában összehasonlíthatatlanok a REX rendszerével. Egy globális ingatlan ETF jellemzően logisztikai központokat, irodaházakat és gigantikus kereskedelmi fejlesztéseket vásárol. Ezek a makroszintű eszközök erős korrelációt mutatnak a szélesebb gazdasági válságokkal és az intézményi bérleti piac összeomlásával, miközben teljesen érzéketlenek a lakossági ingatlanpiac organikus, lokális ármozgásaira. A REX másodlagos piacán alkalmazott 0.5 százalékos kereskedési díj és az AMM spread az az ár, amit az intézményi és lakossági befektetők a példátlan granularitásért és exkluzivitásért fizetnek. A REX az első olyan rendszer, amely lehetővé teszi a piac számára, hogy tisztán, működési és bérlői kockázatok nélkül vásárolja meg egy specifikus kerület, például egy varsói vagy budapesti mikrorégió lakóingatlan-piacának egy négyzetméterre vetített ármozgását. Az illikvid, egyedi lakóingatlan-tőke másodpercek alatt tranzaktálható szintetikus eszközzé alakítása olyan hatalmas pénzügyi innováció, amely technológiai és hozzáférhetőségi monopóliumot biztosít a platformnak, maximálisan indokolva és fenntarthatóvá téve a fixált, prémium díjstruktúrát.</w:t>
      </w:r>
      <w:r w:rsidR="002C4387" w:rsidRPr="004E2E10">
        <w:rPr>
          <w:rFonts w:ascii="Times New Roman" w:hAnsi="Times New Roman" w:cs="Times New Roman"/>
          <w:sz w:val="20"/>
          <w:szCs w:val="20"/>
        </w:rPr>
        <w:br w:type="page"/>
      </w:r>
    </w:p>
    <w:p w14:paraId="78D00117" w14:textId="12B41054" w:rsidR="00222749" w:rsidRPr="004E2E10" w:rsidRDefault="00222749" w:rsidP="004E2E10">
      <w:pPr>
        <w:pStyle w:val="Default"/>
        <w:numPr>
          <w:ilvl w:val="0"/>
          <w:numId w:val="2"/>
        </w:numPr>
        <w:ind w:left="0" w:firstLine="0"/>
        <w:jc w:val="both"/>
        <w:rPr>
          <w:sz w:val="20"/>
          <w:szCs w:val="20"/>
        </w:rPr>
      </w:pPr>
      <w:r w:rsidRPr="004E2E10">
        <w:rPr>
          <w:sz w:val="20"/>
          <w:szCs w:val="20"/>
        </w:rPr>
        <w:lastRenderedPageBreak/>
        <w:t xml:space="preserve">Piackutatás (PESTEL, SWOT, kereslet) </w:t>
      </w:r>
    </w:p>
    <w:p w14:paraId="4418E7A3" w14:textId="343EC91F" w:rsidR="002107D7" w:rsidRPr="004E2E10" w:rsidRDefault="002107D7" w:rsidP="004E2E10">
      <w:pPr>
        <w:jc w:val="both"/>
        <w:rPr>
          <w:rFonts w:ascii="Times New Roman" w:hAnsi="Times New Roman" w:cs="Times New Roman"/>
          <w:sz w:val="20"/>
          <w:szCs w:val="20"/>
        </w:rPr>
      </w:pPr>
    </w:p>
    <w:p w14:paraId="724E5FBA" w14:textId="747106B5" w:rsidR="00DB03E3" w:rsidRPr="004E77F8" w:rsidRDefault="00DB03E3" w:rsidP="00DB03E3">
      <w:pPr>
        <w:jc w:val="both"/>
        <w:rPr>
          <w:rFonts w:ascii="Times New Roman" w:hAnsi="Times New Roman" w:cs="Times New Roman"/>
          <w:sz w:val="20"/>
          <w:szCs w:val="20"/>
        </w:rPr>
      </w:pPr>
      <w:r w:rsidRPr="004E77F8">
        <w:rPr>
          <w:rFonts w:ascii="Times New Roman" w:hAnsi="Times New Roman" w:cs="Times New Roman"/>
          <w:sz w:val="20"/>
          <w:szCs w:val="20"/>
        </w:rPr>
        <w:t>Az elemzések előtt érdemes áttekinteni A díjstruktúra elemzésekor előkerült kompetitív körkép vizsgálata néhány konkrétabb célra. Ehhez elvégzünk egy áttekintésst a</w:t>
      </w:r>
      <w:r w:rsidRPr="004E77F8">
        <w:rPr>
          <w:rFonts w:ascii="Times New Roman" w:hAnsi="Times New Roman" w:cs="Times New Roman"/>
          <w:sz w:val="20"/>
          <w:szCs w:val="20"/>
        </w:rPr>
        <w:t xml:space="preserve"> lokális lakásárindexek lekövetésének problémáj</w:t>
      </w:r>
      <w:r w:rsidRPr="004E77F8">
        <w:rPr>
          <w:rFonts w:ascii="Times New Roman" w:hAnsi="Times New Roman" w:cs="Times New Roman"/>
          <w:sz w:val="20"/>
          <w:szCs w:val="20"/>
        </w:rPr>
        <w:t>áról</w:t>
      </w:r>
      <w:r w:rsidRPr="004E77F8">
        <w:rPr>
          <w:rFonts w:ascii="Times New Roman" w:hAnsi="Times New Roman" w:cs="Times New Roman"/>
          <w:sz w:val="20"/>
          <w:szCs w:val="20"/>
        </w:rPr>
        <w:t xml:space="preserve"> és befektetési eszközei</w:t>
      </w:r>
      <w:r w:rsidRPr="004E77F8">
        <w:rPr>
          <w:rFonts w:ascii="Times New Roman" w:hAnsi="Times New Roman" w:cs="Times New Roman"/>
          <w:sz w:val="20"/>
          <w:szCs w:val="20"/>
        </w:rPr>
        <w:t>ről.</w:t>
      </w:r>
    </w:p>
    <w:p w14:paraId="43BB555C" w14:textId="77777777" w:rsidR="00DB03E3" w:rsidRPr="004E77F8" w:rsidRDefault="00DB03E3" w:rsidP="00DB03E3">
      <w:pPr>
        <w:jc w:val="both"/>
        <w:rPr>
          <w:rFonts w:ascii="Times New Roman" w:hAnsi="Times New Roman" w:cs="Times New Roman"/>
          <w:sz w:val="20"/>
          <w:szCs w:val="20"/>
        </w:rPr>
      </w:pPr>
      <w:r w:rsidRPr="004E77F8">
        <w:rPr>
          <w:rFonts w:ascii="Times New Roman" w:hAnsi="Times New Roman" w:cs="Times New Roman"/>
          <w:sz w:val="20"/>
          <w:szCs w:val="20"/>
        </w:rPr>
        <w:t>A lakóingatlan-piaci befektetések egyik legfőbb strukturális kihívása, hogy a specifikus, lokális lakásárindexek (mint például egy adott város ármozgását mutató referenciamutatók) közvetlen, likvid értékpapírokon keresztüli lekövetése szinte lehetetlen. A lakóingatlan heterogén és illikvid eszköz, így az S&amp;P 500-hoz hasonló, tiszta indexkövető alapok ezen a piacon fizikai és pénzügyi korlátokba ütköznek. Ennek eredményeként a befektetőknek kompromisszumot kell kötniük a likviditás, a földrajzi fókusz és a mögöttes indexszel való korreláció tekintetében.</w:t>
      </w:r>
    </w:p>
    <w:p w14:paraId="04C68EC1" w14:textId="0068F266" w:rsidR="00DB03E3" w:rsidRPr="004E77F8" w:rsidRDefault="00DB03E3" w:rsidP="00DB03E3">
      <w:pPr>
        <w:jc w:val="both"/>
        <w:rPr>
          <w:rFonts w:ascii="Times New Roman" w:hAnsi="Times New Roman" w:cs="Times New Roman"/>
          <w:sz w:val="20"/>
          <w:szCs w:val="20"/>
        </w:rPr>
      </w:pPr>
      <w:r w:rsidRPr="004E77F8">
        <w:rPr>
          <w:rFonts w:ascii="Times New Roman" w:hAnsi="Times New Roman" w:cs="Times New Roman"/>
          <w:sz w:val="20"/>
          <w:szCs w:val="20"/>
        </w:rPr>
        <w:t>Az amerikai piacon a legszélesebb körben hivatkozott mérőszámok az S&amp;P CoreLogic Case-Shiller indexek. Ha egy befektető célzottan a Los Angeles-i lakásárakat (Case-Shiller Los Angeles Home Price Index) kívánja lekövetni, hagyományos ETF-ekkel nem érhet el pontos eredményt. Az olyan alapok, mint a REZ vagy a RESI, országos szinten diverzifikáltak; az általános amerikai makrotrendekkel korrelálnak, de egy-egy specifikus nagyváros kilengéseit kisimítják. Az egyetlen tiszta és közvetlen megoldást a lokális piacok követésére a CME (Chicago Mercantile Exchange) Case-Shiller határidős szerződései (futures) jelentik. Ezek a derivatívák 1:1 arányban követik az adott város – például Los Angeles vagy New York – indexét, azonban margin-követelményeik és komplexitásuk miatt szigorúan intézményi és spekulatív, semmint hagyományos lakossági eszközök.</w:t>
      </w:r>
    </w:p>
    <w:p w14:paraId="505F3DE8" w14:textId="77777777" w:rsidR="00DB03E3" w:rsidRPr="004E77F8" w:rsidRDefault="00DB03E3" w:rsidP="00DB03E3">
      <w:pPr>
        <w:jc w:val="both"/>
        <w:rPr>
          <w:rFonts w:ascii="Times New Roman" w:hAnsi="Times New Roman" w:cs="Times New Roman"/>
          <w:sz w:val="20"/>
          <w:szCs w:val="20"/>
        </w:rPr>
      </w:pPr>
      <w:r w:rsidRPr="004E77F8">
        <w:rPr>
          <w:rFonts w:ascii="Times New Roman" w:hAnsi="Times New Roman" w:cs="Times New Roman"/>
          <w:sz w:val="20"/>
          <w:szCs w:val="20"/>
        </w:rPr>
        <w:t>London és a brit lakáspiac: A Halifax és az ONS indexek A brit lakáspiac, és különösen London esetében a referenciát az ONS (Office for National Statistics) vagy a Halifax lakásárindexei jelentik. Bár a londoni prémium ingatlanpiac globális menedéknek számít, tiszta lakossági indexkövető itt sincs. A brit REIT-ek (mint a korábban említett PRS REIT) stabil korrelációt mutatnak az elővárosi, Londonon kívüli bérleti hozamokkal és árnövekedéssel, de a főváros specifikus indexét nem képesek lefedni. Aki célzottan a londoni piacra keres kitettséget, az jellemzően helyi fókuszú ingatlanfejlesztők (pl. Berkeley Group) részvényein keresztül teheti ezt meg. Ezek az eszközök azonban torzítanak: árfolyamuk sokszor szorosabban korrelál az építőanyag-árakkal, az aktuális hitelkamatokkal és a menedzsment hatékonyságával, mint magával a londoni lakásárindexszel.</w:t>
      </w:r>
    </w:p>
    <w:p w14:paraId="70D6C52B" w14:textId="77777777" w:rsidR="00DB03E3" w:rsidRPr="004E77F8" w:rsidRDefault="00DB03E3" w:rsidP="00DB03E3">
      <w:pPr>
        <w:jc w:val="both"/>
        <w:rPr>
          <w:rFonts w:ascii="Times New Roman" w:hAnsi="Times New Roman" w:cs="Times New Roman"/>
          <w:sz w:val="20"/>
          <w:szCs w:val="20"/>
        </w:rPr>
      </w:pPr>
      <w:r w:rsidRPr="004E77F8">
        <w:rPr>
          <w:rFonts w:ascii="Times New Roman" w:hAnsi="Times New Roman" w:cs="Times New Roman"/>
          <w:sz w:val="20"/>
          <w:szCs w:val="20"/>
        </w:rPr>
        <w:t>Budapest és a hazai piac: Az MNB és a KSH indexek A magyarországi, azon belül a budapesti lakásárindex (MNB, KSH) értékpapírosított formában történő replikálása a leginkább korlátozott. A hazai piacon a leggyakrabban használt proxyk – mint a nagy nyílt végű ingatlanalapok – valójában kereskedelmi, irodai és logisztikai portfóliókat kezelnek, így korrelációjuk a lakásárindexekkel fundamentálisan alacsony. A tőzsdén jegyzett ingatlanközvetítők (mint a Duna House) részvényárfolyama pedig egy teljesen más metrikával: a tranzakciós volumennel és a hitelkihelyezési hajlandósággal korrelál. Egy magas árszinten megrekedt, de tranzakciók nélküli ("befagyott") piacon a lakásárindex magasan állhat, miközben a közvetítőcég bevételei esnek. Emiatt a budapesti index pontos követésére az egyetlen valós alternatíva a fizikai lakóingatlan közvetlen birtoklása marad. Ez a módszer maximalizálja a korrelációt, de feláldozza a likviditást, és a közvetítői hálózatokon keresztüli adásvételkor azonnal jelentős, 3-5% közötti súrlódási költséget (friction cost) generál.</w:t>
      </w:r>
    </w:p>
    <w:p w14:paraId="7A57054B" w14:textId="3189DC84" w:rsidR="00DB03E3" w:rsidRPr="004E77F8" w:rsidRDefault="00DB03E3" w:rsidP="00DB03E3">
      <w:pPr>
        <w:jc w:val="both"/>
        <w:rPr>
          <w:rFonts w:ascii="Times New Roman" w:hAnsi="Times New Roman" w:cs="Times New Roman"/>
          <w:sz w:val="20"/>
          <w:szCs w:val="20"/>
        </w:rPr>
      </w:pPr>
      <w:r w:rsidRPr="004E77F8">
        <w:rPr>
          <w:rFonts w:ascii="Times New Roman" w:hAnsi="Times New Roman" w:cs="Times New Roman"/>
          <w:sz w:val="20"/>
          <w:szCs w:val="20"/>
        </w:rPr>
        <w:t>Össze</w:t>
      </w:r>
      <w:r w:rsidRPr="004E77F8">
        <w:rPr>
          <w:rFonts w:ascii="Times New Roman" w:hAnsi="Times New Roman" w:cs="Times New Roman"/>
          <w:sz w:val="20"/>
          <w:szCs w:val="20"/>
        </w:rPr>
        <w:t>s</w:t>
      </w:r>
      <w:r w:rsidRPr="004E77F8">
        <w:rPr>
          <w:rFonts w:ascii="Times New Roman" w:hAnsi="Times New Roman" w:cs="Times New Roman"/>
          <w:sz w:val="20"/>
          <w:szCs w:val="20"/>
        </w:rPr>
        <w:t>s</w:t>
      </w:r>
      <w:r w:rsidRPr="004E77F8">
        <w:rPr>
          <w:rFonts w:ascii="Times New Roman" w:hAnsi="Times New Roman" w:cs="Times New Roman"/>
          <w:sz w:val="20"/>
          <w:szCs w:val="20"/>
        </w:rPr>
        <w:t>égében</w:t>
      </w:r>
      <w:r w:rsidRPr="004E77F8">
        <w:rPr>
          <w:rFonts w:ascii="Times New Roman" w:hAnsi="Times New Roman" w:cs="Times New Roman"/>
          <w:sz w:val="20"/>
          <w:szCs w:val="20"/>
        </w:rPr>
        <w:t xml:space="preserve"> </w:t>
      </w:r>
      <w:r w:rsidRPr="004E77F8">
        <w:rPr>
          <w:rFonts w:ascii="Times New Roman" w:hAnsi="Times New Roman" w:cs="Times New Roman"/>
          <w:sz w:val="20"/>
          <w:szCs w:val="20"/>
        </w:rPr>
        <w:t>a</w:t>
      </w:r>
      <w:r w:rsidRPr="004E77F8">
        <w:rPr>
          <w:rFonts w:ascii="Times New Roman" w:hAnsi="Times New Roman" w:cs="Times New Roman"/>
          <w:sz w:val="20"/>
          <w:szCs w:val="20"/>
        </w:rPr>
        <w:t xml:space="preserve"> befektetési piacok logikája alapján kijelenthető, hogy minél specifikusabb (lokálisabb) egy lakásárindex, annál drágább és nehezebb azt likvid értékpapírokkal lekövetni. Míg a szélesebb régiókat ETF-ekkel vagy REIT-ekkel jó közelítéssel és alacsony díjakkal, de gyenge korrelációval lehet lefedni, a specifikus (Los Angeles-i, londoni vagy budapesti) indexek hajszálpontos követése vagy magas kockázatú derivatívákat, vagy jelentős tranzakciós díjakkal terhelt, illikvid fizikai eszközvásárlást követel meg.</w:t>
      </w:r>
    </w:p>
    <w:p w14:paraId="415FAB83" w14:textId="12033336" w:rsidR="00DB03E3" w:rsidRPr="004E77F8" w:rsidRDefault="00DB03E3" w:rsidP="004E2E10">
      <w:pPr>
        <w:jc w:val="both"/>
        <w:rPr>
          <w:rFonts w:ascii="Times New Roman" w:hAnsi="Times New Roman" w:cs="Times New Roman"/>
          <w:sz w:val="20"/>
          <w:szCs w:val="20"/>
        </w:rPr>
      </w:pPr>
      <w:r w:rsidRPr="004E77F8">
        <w:rPr>
          <w:rFonts w:ascii="Times New Roman" w:hAnsi="Times New Roman" w:cs="Times New Roman"/>
          <w:sz w:val="20"/>
          <w:szCs w:val="20"/>
        </w:rPr>
        <w:t>Ez az áttekintés nagy hangsúlyt ad a</w:t>
      </w:r>
      <w:r w:rsidR="004E77F8">
        <w:rPr>
          <w:rFonts w:ascii="Times New Roman" w:hAnsi="Times New Roman" w:cs="Times New Roman"/>
          <w:sz w:val="20"/>
          <w:szCs w:val="20"/>
        </w:rPr>
        <w:t xml:space="preserve"> </w:t>
      </w:r>
      <w:r w:rsidRPr="004E77F8">
        <w:rPr>
          <w:rFonts w:ascii="Times New Roman" w:hAnsi="Times New Roman" w:cs="Times New Roman"/>
          <w:sz w:val="20"/>
          <w:szCs w:val="20"/>
        </w:rPr>
        <w:t>hozzáférhetőség és likviditásteremtés hozzáadott értékének a REX esetében, és mint látható ez több régióban új piacot is képes teremteni.</w:t>
      </w:r>
    </w:p>
    <w:p w14:paraId="5A6B0AA4" w14:textId="77777777" w:rsidR="00DB03E3" w:rsidRPr="00DB03E3" w:rsidRDefault="00DB03E3" w:rsidP="004E2E10">
      <w:pPr>
        <w:jc w:val="both"/>
        <w:rPr>
          <w:rFonts w:ascii="Times New Roman" w:hAnsi="Times New Roman" w:cs="Times New Roman"/>
          <w:b/>
          <w:bCs/>
          <w:sz w:val="20"/>
          <w:szCs w:val="20"/>
        </w:rPr>
      </w:pPr>
      <w:r w:rsidRPr="00DB03E3">
        <w:rPr>
          <w:rFonts w:ascii="Times New Roman" w:hAnsi="Times New Roman" w:cs="Times New Roman"/>
          <w:b/>
          <w:bCs/>
          <w:sz w:val="20"/>
          <w:szCs w:val="20"/>
        </w:rPr>
        <w:t>PESTEL</w:t>
      </w:r>
    </w:p>
    <w:p w14:paraId="0F0A1D54" w14:textId="6F2E3318" w:rsidR="002107D7" w:rsidRPr="002107D7" w:rsidRDefault="002107D7" w:rsidP="004E2E10">
      <w:pPr>
        <w:jc w:val="both"/>
        <w:rPr>
          <w:rFonts w:ascii="Times New Roman" w:hAnsi="Times New Roman" w:cs="Times New Roman"/>
          <w:sz w:val="20"/>
          <w:szCs w:val="20"/>
        </w:rPr>
      </w:pPr>
      <w:r w:rsidRPr="002107D7">
        <w:rPr>
          <w:rFonts w:ascii="Times New Roman" w:hAnsi="Times New Roman" w:cs="Times New Roman"/>
          <w:sz w:val="20"/>
          <w:szCs w:val="20"/>
        </w:rPr>
        <w:t xml:space="preserve">A REX architektúra piaci pozicionálását vizsgálva a politikai és szabályozói környezet jelenti a legnagyobb akadályt, de egyben a legszélesebb védvonalat is. A hagyományos Real Estate ETF-ek, mint a Vanguard VNQI, vagy a nyilvánosan forgalmazott REIT-ek a legszigorúbb tőzsdefelügyeleti keretek között működnek. Ezzel </w:t>
      </w:r>
      <w:r w:rsidRPr="002107D7">
        <w:rPr>
          <w:rFonts w:ascii="Times New Roman" w:hAnsi="Times New Roman" w:cs="Times New Roman"/>
          <w:sz w:val="20"/>
          <w:szCs w:val="20"/>
        </w:rPr>
        <w:lastRenderedPageBreak/>
        <w:t>szemben a tokenizált lakossági ingatlantőke egy szabályozói szürkezónában mozog. A politikai nyomás kettős jellegű: egyrészt a kormányzatok a lakhatási válság és a magas kamatkörnyezet miatt támogatják a lakossági teherviselést csökkentő innovációkat, másrészt a hagyományos bankrendszer – amelynek a HELOC és a HELoan termékek masszív kamatbevételeket generálnak – erős lobbitevékenységet folytat az adósságmentes alternatívák ellen. A REX rendszernek politikai és jogi szinten kell bizonyítania, hogy a tokenizált részvények és az AMM poolokban forgó eszközök nem minősülnek engedély nélküli értékpapír-kibocsátásnak, hanem egy új, szabályozott szintetikus eszközosztályt képviselnek, amely transzparens, a nemzeti földhivatali rendszerekkel szinkronizálható jogi és adózási keretrendszerrel rendelkezik.</w:t>
      </w:r>
    </w:p>
    <w:p w14:paraId="1213D877" w14:textId="77777777" w:rsidR="002107D7" w:rsidRPr="002107D7" w:rsidRDefault="002107D7" w:rsidP="004E2E10">
      <w:pPr>
        <w:jc w:val="both"/>
        <w:rPr>
          <w:rFonts w:ascii="Times New Roman" w:hAnsi="Times New Roman" w:cs="Times New Roman"/>
          <w:sz w:val="20"/>
          <w:szCs w:val="20"/>
        </w:rPr>
      </w:pPr>
      <w:r w:rsidRPr="002107D7">
        <w:rPr>
          <w:rFonts w:ascii="Times New Roman" w:hAnsi="Times New Roman" w:cs="Times New Roman"/>
          <w:sz w:val="20"/>
          <w:szCs w:val="20"/>
        </w:rPr>
        <w:t>A jelenlegi makrogazdasági környezet a REX modell legfőbb katalizátora. A magas jegybanki alapkamatok drasztikusan megdrágították a hagyományos hiteltermékeket. Egy rulírozó HELOC vagy egy fix kamatozású HELoan jelenleg olyan magas kamatfelárat tartalmaz, amely a készpénzszegény lakástulajdonosok számára finanszírozhatatlanná teszi a tőkefelszabadítást, és növeli a kényszerlikvidáció kockázatát. A REX ezzel szemben kamat- és adósságmentes likviditást biztosít. Befektetői oldalon a makrogazdasági fókusz a hozamkeresésről a precíziós diverzifikációra tolódott. Míg a masszív REIT és ETF szektor elsősorban kereskedelmi ingatlan kitettséggel rendelkezik, amely erősen korrelál a gazdasági ciklusokkal, a REX a globális lakóingatlan-piac mikroszintű, inflációkövető ármozgásait teszi elérhetővé. Társadalmi szinten egyértelmű az eltolódás a digitális vagyonkezelés felé. Az idősebb generációk kénytelenek felszabadítani az ingatlanukban lévő tőkét anélkül, hogy elhagynák otthonukat, míg a fiatalabb befektetői rétegek a lassú, átláthatatlan zártvégű alapok helyett az azonnali elszámolású, tört részvényes alternatívákat keresik. A REX technológiai fölénye, az okosszerződések és az Automatizált Értékbecslő Rendszer alkalmazása teszi lehetővé, hogy ez a két demográfiai véglet egyetlen, közvetítők nélküli likviditási poolban találkozzon.</w:t>
      </w:r>
    </w:p>
    <w:p w14:paraId="1E640282" w14:textId="11907BF9" w:rsidR="002107D7" w:rsidRPr="00DB03E3" w:rsidRDefault="00DB03E3" w:rsidP="004E2E10">
      <w:pPr>
        <w:jc w:val="both"/>
        <w:rPr>
          <w:rFonts w:ascii="Times New Roman" w:hAnsi="Times New Roman" w:cs="Times New Roman"/>
          <w:b/>
          <w:bCs/>
          <w:sz w:val="20"/>
          <w:szCs w:val="20"/>
        </w:rPr>
      </w:pPr>
      <w:r w:rsidRPr="00DB03E3">
        <w:rPr>
          <w:rFonts w:ascii="Times New Roman" w:hAnsi="Times New Roman" w:cs="Times New Roman"/>
          <w:b/>
          <w:bCs/>
          <w:sz w:val="20"/>
          <w:szCs w:val="20"/>
        </w:rPr>
        <w:t>SWOT</w:t>
      </w:r>
    </w:p>
    <w:p w14:paraId="7DC0EE52" w14:textId="77777777" w:rsidR="002107D7" w:rsidRPr="002107D7" w:rsidRDefault="002107D7" w:rsidP="004E2E10">
      <w:pPr>
        <w:jc w:val="both"/>
        <w:rPr>
          <w:rFonts w:ascii="Times New Roman" w:hAnsi="Times New Roman" w:cs="Times New Roman"/>
          <w:sz w:val="20"/>
          <w:szCs w:val="20"/>
        </w:rPr>
      </w:pPr>
      <w:r w:rsidRPr="002107D7">
        <w:rPr>
          <w:rFonts w:ascii="Times New Roman" w:hAnsi="Times New Roman" w:cs="Times New Roman"/>
          <w:sz w:val="20"/>
          <w:szCs w:val="20"/>
        </w:rPr>
        <w:t>A platform stratégiai pozícióját vizsgálva a modell legfőbb erőssége az adósságmentes tőkefelszabadítás mechanizmusában rejlik. A hagyományos banki konstrukciókkal ellentétben a REX tisztán tőkealapú kockázatmegosztást alkalmaz, így nem terheli havi törlesztőrészlettel a tulajdonost, megszüntetve a kamatláb-kockázatot. Szintén hatalmas versenyelőny az illikvid eszközök azonnali likviddé tétele. Míg a nagy zártvégű REIT-ek havi vagy negyedéves szinten szigorúan limitálják a visszaváltásokat, a REX az automatizált árjegyzőkön keresztül folyamatos, azonnali elszámolású likviditást garantál. Intézményi szempontból a hiper-granuláris kitettség jelent paradigmaváltást: a rendszer lehetővé teszi, hogy a befektetők ne csak makroszintű portfóliókat vásároljanak, hanem akár egyetlen specifikus kerület lakóingatlan-piacának organikus hozamát is megszerezzék.</w:t>
      </w:r>
    </w:p>
    <w:p w14:paraId="6D83A95C" w14:textId="77777777" w:rsidR="002107D7" w:rsidRPr="002107D7" w:rsidRDefault="002107D7" w:rsidP="004E2E10">
      <w:pPr>
        <w:jc w:val="both"/>
        <w:rPr>
          <w:rFonts w:ascii="Times New Roman" w:hAnsi="Times New Roman" w:cs="Times New Roman"/>
          <w:sz w:val="20"/>
          <w:szCs w:val="20"/>
        </w:rPr>
      </w:pPr>
      <w:r w:rsidRPr="002107D7">
        <w:rPr>
          <w:rFonts w:ascii="Times New Roman" w:hAnsi="Times New Roman" w:cs="Times New Roman"/>
          <w:sz w:val="20"/>
          <w:szCs w:val="20"/>
        </w:rPr>
        <w:t>A rendszer gyengeségei között elsősorban az extrém kezdeti tőkeigényt kell megemlíteni. A garantált likviditáshoz és az elfogadható árfolyamcsúszás fenntartásához a Genezis Poolok masszív előfinanszírozott készpénztartalékot követelnek meg. További kockázatot jelent az AVM modell kitettsége; ha a gépi tanulási algoritmus szisztematikusan téved a lokális indexekhez képest, a kibocsátott részvények mögöttes fedezeti értéke sérülhet. Emellett a koncepció mély technológiai komplexitása komoly edukációs gátat képezhet a lakossági ügyfelek akvizíciója során. Ezen kihívások ellenére a piaci lehetőségek óriásiak. A hagyományos pénzügyi óriások, mint a BlackRock vagy a Fidelity, agresszíven keresik a lakossági alternatív eszközöket, ami a REX technológiai infrastruktúráját elsődleges felvásárlási célponttá teszi. A rendszer képes kannibalizálni a több tízmilliárd dolláros ingatlan-crowdfunding piacot is, amely jelenleg hosszú évekre köti le a befektetők tőkéjét. A legnagyobb fenyegetést egyértelműen a szabályozói szigorítások, a kereskedelmi bankok lobbitevékenysége, valamint egy esetleges globális ingatlanpiaci összeomlás jelenti, amely extrém tőkekivonási pánikot idézhet elő a likviditási poolokban, tesztelve a matematikai modell teherbírását.</w:t>
      </w:r>
    </w:p>
    <w:p w14:paraId="11B32E22" w14:textId="2F029DC8" w:rsidR="00787253" w:rsidRPr="006D56F2" w:rsidRDefault="00787253" w:rsidP="006D56F2">
      <w:pPr>
        <w:jc w:val="both"/>
        <w:rPr>
          <w:rFonts w:ascii="Times New Roman" w:hAnsi="Times New Roman" w:cs="Times New Roman"/>
          <w:color w:val="000000"/>
          <w:kern w:val="0"/>
          <w:sz w:val="20"/>
          <w:szCs w:val="20"/>
        </w:rPr>
      </w:pPr>
    </w:p>
    <w:sectPr w:rsidR="00787253" w:rsidRPr="006D56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996"/>
    <w:multiLevelType w:val="multilevel"/>
    <w:tmpl w:val="7116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008D"/>
    <w:multiLevelType w:val="multilevel"/>
    <w:tmpl w:val="9260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CC5857"/>
    <w:multiLevelType w:val="multilevel"/>
    <w:tmpl w:val="9D00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85E06"/>
    <w:multiLevelType w:val="hybridMultilevel"/>
    <w:tmpl w:val="3E0495E8"/>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37B85E13"/>
    <w:multiLevelType w:val="multilevel"/>
    <w:tmpl w:val="839C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319D4"/>
    <w:multiLevelType w:val="hybridMultilevel"/>
    <w:tmpl w:val="1D14F4F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457731B4"/>
    <w:multiLevelType w:val="multilevel"/>
    <w:tmpl w:val="2992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60849"/>
    <w:multiLevelType w:val="multilevel"/>
    <w:tmpl w:val="EFEAA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C47BD5"/>
    <w:multiLevelType w:val="multilevel"/>
    <w:tmpl w:val="C400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8F2E21"/>
    <w:multiLevelType w:val="hybridMultilevel"/>
    <w:tmpl w:val="AC167CE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778A3C2D"/>
    <w:multiLevelType w:val="multilevel"/>
    <w:tmpl w:val="A5AE7F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6651244">
    <w:abstractNumId w:val="5"/>
  </w:num>
  <w:num w:numId="2" w16cid:durableId="372002358">
    <w:abstractNumId w:val="3"/>
  </w:num>
  <w:num w:numId="3" w16cid:durableId="1937057246">
    <w:abstractNumId w:val="9"/>
  </w:num>
  <w:num w:numId="4" w16cid:durableId="1236624971">
    <w:abstractNumId w:val="0"/>
  </w:num>
  <w:num w:numId="5" w16cid:durableId="1539774620">
    <w:abstractNumId w:val="2"/>
  </w:num>
  <w:num w:numId="6" w16cid:durableId="456798183">
    <w:abstractNumId w:val="6"/>
  </w:num>
  <w:num w:numId="7" w16cid:durableId="322663422">
    <w:abstractNumId w:val="8"/>
  </w:num>
  <w:num w:numId="8" w16cid:durableId="1045830084">
    <w:abstractNumId w:val="4"/>
  </w:num>
  <w:num w:numId="9" w16cid:durableId="1356886808">
    <w:abstractNumId w:val="1"/>
  </w:num>
  <w:num w:numId="10" w16cid:durableId="1010647406">
    <w:abstractNumId w:val="10"/>
  </w:num>
  <w:num w:numId="11" w16cid:durableId="6985048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749"/>
    <w:rsid w:val="000505CA"/>
    <w:rsid w:val="00056481"/>
    <w:rsid w:val="00075292"/>
    <w:rsid w:val="00100B5D"/>
    <w:rsid w:val="00147BB3"/>
    <w:rsid w:val="00151B00"/>
    <w:rsid w:val="00197BE4"/>
    <w:rsid w:val="001E6018"/>
    <w:rsid w:val="002107D7"/>
    <w:rsid w:val="00217BC6"/>
    <w:rsid w:val="00222749"/>
    <w:rsid w:val="00235888"/>
    <w:rsid w:val="0024720A"/>
    <w:rsid w:val="002C11E3"/>
    <w:rsid w:val="002C31AE"/>
    <w:rsid w:val="002C4387"/>
    <w:rsid w:val="002C74F3"/>
    <w:rsid w:val="003029E9"/>
    <w:rsid w:val="003D2ED3"/>
    <w:rsid w:val="003D3C39"/>
    <w:rsid w:val="004E2E10"/>
    <w:rsid w:val="004E5E2B"/>
    <w:rsid w:val="004E77F8"/>
    <w:rsid w:val="00512F68"/>
    <w:rsid w:val="0054256A"/>
    <w:rsid w:val="00550773"/>
    <w:rsid w:val="00553CEB"/>
    <w:rsid w:val="005A3CA0"/>
    <w:rsid w:val="005A47C0"/>
    <w:rsid w:val="005B09FF"/>
    <w:rsid w:val="00626DE1"/>
    <w:rsid w:val="006B56C7"/>
    <w:rsid w:val="006D25CD"/>
    <w:rsid w:val="006D56F2"/>
    <w:rsid w:val="006F5314"/>
    <w:rsid w:val="007244FB"/>
    <w:rsid w:val="00787253"/>
    <w:rsid w:val="007A7B56"/>
    <w:rsid w:val="0081079B"/>
    <w:rsid w:val="0082722C"/>
    <w:rsid w:val="008A657B"/>
    <w:rsid w:val="009A4FBD"/>
    <w:rsid w:val="00B0308E"/>
    <w:rsid w:val="00BE570B"/>
    <w:rsid w:val="00C926D5"/>
    <w:rsid w:val="00CB358E"/>
    <w:rsid w:val="00CD4705"/>
    <w:rsid w:val="00CE0701"/>
    <w:rsid w:val="00D22C12"/>
    <w:rsid w:val="00DB03E3"/>
    <w:rsid w:val="00DE0537"/>
    <w:rsid w:val="00E51465"/>
    <w:rsid w:val="00EA071C"/>
    <w:rsid w:val="00ED4F2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2DD44"/>
  <w15:chartTrackingRefBased/>
  <w15:docId w15:val="{F801CA4C-8935-4B2B-BFC8-FDA4BD9BA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749"/>
    <w:rPr>
      <w:rFonts w:eastAsiaTheme="majorEastAsia" w:cstheme="majorBidi"/>
      <w:color w:val="272727" w:themeColor="text1" w:themeTint="D8"/>
    </w:rPr>
  </w:style>
  <w:style w:type="paragraph" w:styleId="Title">
    <w:name w:val="Title"/>
    <w:basedOn w:val="Normal"/>
    <w:next w:val="Normal"/>
    <w:link w:val="TitleChar"/>
    <w:uiPriority w:val="10"/>
    <w:qFormat/>
    <w:rsid w:val="00222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749"/>
    <w:pPr>
      <w:spacing w:before="160"/>
      <w:jc w:val="center"/>
    </w:pPr>
    <w:rPr>
      <w:i/>
      <w:iCs/>
      <w:color w:val="404040" w:themeColor="text1" w:themeTint="BF"/>
    </w:rPr>
  </w:style>
  <w:style w:type="character" w:customStyle="1" w:styleId="QuoteChar">
    <w:name w:val="Quote Char"/>
    <w:basedOn w:val="DefaultParagraphFont"/>
    <w:link w:val="Quote"/>
    <w:uiPriority w:val="29"/>
    <w:rsid w:val="00222749"/>
    <w:rPr>
      <w:i/>
      <w:iCs/>
      <w:color w:val="404040" w:themeColor="text1" w:themeTint="BF"/>
    </w:rPr>
  </w:style>
  <w:style w:type="paragraph" w:styleId="ListParagraph">
    <w:name w:val="List Paragraph"/>
    <w:basedOn w:val="Normal"/>
    <w:uiPriority w:val="34"/>
    <w:qFormat/>
    <w:rsid w:val="00222749"/>
    <w:pPr>
      <w:ind w:left="720"/>
      <w:contextualSpacing/>
    </w:pPr>
  </w:style>
  <w:style w:type="character" w:styleId="IntenseEmphasis">
    <w:name w:val="Intense Emphasis"/>
    <w:basedOn w:val="DefaultParagraphFont"/>
    <w:uiPriority w:val="21"/>
    <w:qFormat/>
    <w:rsid w:val="00222749"/>
    <w:rPr>
      <w:i/>
      <w:iCs/>
      <w:color w:val="0F4761" w:themeColor="accent1" w:themeShade="BF"/>
    </w:rPr>
  </w:style>
  <w:style w:type="paragraph" w:styleId="IntenseQuote">
    <w:name w:val="Intense Quote"/>
    <w:basedOn w:val="Normal"/>
    <w:next w:val="Normal"/>
    <w:link w:val="IntenseQuoteChar"/>
    <w:uiPriority w:val="30"/>
    <w:qFormat/>
    <w:rsid w:val="00222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749"/>
    <w:rPr>
      <w:i/>
      <w:iCs/>
      <w:color w:val="0F4761" w:themeColor="accent1" w:themeShade="BF"/>
    </w:rPr>
  </w:style>
  <w:style w:type="character" w:styleId="IntenseReference">
    <w:name w:val="Intense Reference"/>
    <w:basedOn w:val="DefaultParagraphFont"/>
    <w:uiPriority w:val="32"/>
    <w:qFormat/>
    <w:rsid w:val="00222749"/>
    <w:rPr>
      <w:b/>
      <w:bCs/>
      <w:smallCaps/>
      <w:color w:val="0F4761" w:themeColor="accent1" w:themeShade="BF"/>
      <w:spacing w:val="5"/>
    </w:rPr>
  </w:style>
  <w:style w:type="paragraph" w:customStyle="1" w:styleId="Default">
    <w:name w:val="Default"/>
    <w:rsid w:val="00222749"/>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8571</TotalTime>
  <Pages>14</Pages>
  <Words>6277</Words>
  <Characters>43319</Characters>
  <Application>Microsoft Office Word</Application>
  <DocSecurity>0</DocSecurity>
  <Lines>360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Kibédi Péter András</dc:creator>
  <cp:keywords/>
  <dc:description/>
  <cp:lastModifiedBy>Kibédi Péter András</cp:lastModifiedBy>
  <cp:revision>28</cp:revision>
  <dcterms:created xsi:type="dcterms:W3CDTF">2026-04-09T22:16:00Z</dcterms:created>
  <dcterms:modified xsi:type="dcterms:W3CDTF">2026-04-27T04:49:00Z</dcterms:modified>
</cp:coreProperties>
</file>