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D9AE" w14:textId="77777777" w:rsidR="00222749" w:rsidRPr="004E2E10" w:rsidRDefault="00222749" w:rsidP="004E2E10">
      <w:pPr>
        <w:jc w:val="both"/>
        <w:rPr>
          <w:rFonts w:ascii="Times New Roman" w:hAnsi="Times New Roman" w:cs="Times New Roman"/>
          <w:sz w:val="20"/>
          <w:szCs w:val="20"/>
        </w:rPr>
      </w:pPr>
    </w:p>
    <w:p w14:paraId="2C78C3B3" w14:textId="4D0B3828" w:rsidR="003029E9" w:rsidRPr="004E2E10" w:rsidRDefault="00222749" w:rsidP="004E2E10">
      <w:pPr>
        <w:pStyle w:val="Default"/>
        <w:numPr>
          <w:ilvl w:val="0"/>
          <w:numId w:val="2"/>
        </w:numPr>
        <w:ind w:left="0" w:firstLine="0"/>
        <w:jc w:val="both"/>
        <w:rPr>
          <w:sz w:val="20"/>
          <w:szCs w:val="20"/>
        </w:rPr>
      </w:pPr>
      <w:r w:rsidRPr="004E2E10">
        <w:rPr>
          <w:sz w:val="20"/>
          <w:szCs w:val="20"/>
        </w:rPr>
        <w:t xml:space="preserve">PHP Frontend dashboard fejlesztése </w:t>
      </w:r>
    </w:p>
    <w:p w14:paraId="26EF3669" w14:textId="77777777" w:rsidR="003029E9" w:rsidRPr="004E2E10" w:rsidRDefault="003029E9" w:rsidP="004E2E10">
      <w:pPr>
        <w:jc w:val="both"/>
        <w:rPr>
          <w:rFonts w:ascii="Times New Roman" w:hAnsi="Times New Roman" w:cs="Times New Roman"/>
          <w:sz w:val="20"/>
          <w:szCs w:val="20"/>
        </w:rPr>
      </w:pPr>
    </w:p>
    <w:p w14:paraId="3E9BA346" w14:textId="4F29F4AD"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A Központi Kereskedési Terminál (REX_UI_Broker) a platform vizuális központja. Ez egy sötét témájú, üveghatású dizájnnal (glassmorphism) ellátott felület. A felhasználókat elsőként egy forgatható, 3D-s földgömb fogadja, amely vizuálisan jeleníti meg a világ aktív ingatlanpiacait. Ezen a terminálon lehetőség van kontinensek, országok és városok szintjén böngészni a piacokat, miközben az aktuális, összesített ingatlanár-indexek és a 24 órás árváltozások is láthatók. Ha a felhasználó kiválaszt egy adott piacot (például egy kerületet), interaktív grafikonokon (vonal- vagy gyertyadiagram) elemezheti az árak történelmi mozgását. Innen érhető el a Portfólió nézet is, ahol a saját befektetések, a szabad készpénz, valamint a likvid (szabadon kereskedhető) és a lekötött eszközök aránya követhető nyomon. Egy haladó nézet (Heatmap) pedig egy színkódolt, ár alapján súlyozott hőtérképen mutatja be a globális piaci trendeket. Szintén innen nyílik meg a kereskedési panel, ahol a tényleges vételi, eladási vagy lekötési (vault) szimulációk történnek.</w:t>
      </w:r>
    </w:p>
    <w:p w14:paraId="73D38427" w14:textId="5207968F"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Ha valaki nem befektetni, hanem a saját ingatlanját szeretné bevinni a rendszerbe, az Ingatlan-Digitalizációs Űrlappal (REX_UI_Questionnaire) találkozik. Ez a felület eltér a tőzsdei termináltól: egy elegáns, "pergamen" hatású dizájnt kapott, hogy egy komoly jogi dokumentum kitöltésének érzetét keltse. Ez egy többlépcsős kérdőív, folyamatjelző sávval. A felhasználónak hét különböző szakaszban kell adatokat megadnia: kezdve a jogi nyilatkozatok elfogadásával, majd a személyes és lokációs adatok megadásával. Ezt követik a konkrét ingatlanadatok (például méret, szobák száma, tető állapota, fűtés típusa), a pénzügyi mutatók (van-e hitel a házon, mennyi az adó), és a kockázati tényezők (például klímakockázati zóna vagy függőben lévő perek). A folyamat végén a felhasználó feltölti a tulajdont igazoló dokumentumokat (pl. tulajdoni lap), és megadja, hogy az ingatlan értékének hány százalékát kívánja digitalizálni. Az űrlap valós időben jelzi, ha egy kötelező mező kimaradt, vagy ha egy válasz (például a haszonélvezeti jog) további adatokat tesz szükségessé.</w:t>
      </w:r>
    </w:p>
    <w:p w14:paraId="1481B033" w14:textId="7F51A2CF"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A platform működésének megértését segíti a Piaci Likviditás Szimulátor (REX_UI_AMM). Ez a vizuális dashboard bemutatja, hogyan alakulnak az árak a színfalak mögött. A felhasználó itt láthatja a piaci "medence" (pool) állapotát: grafikus százaléksávok mutatják az elérhető ingatlanrészvények és a mögöttük álló készpénz arányát. Ez egy interaktív tesztkörnyezet, ahol a felhasználó szimulált vételi és eladási parancsokat adhat meg (akár dollárban, akár részvényszámban). Egy dinamikus pontdiagram (a "kötési görbe") valós időben, vizuálisan jeleníti meg, ahogy a tranzakció hatására a piaci egyensúly és az árfolyam elmozdul. A felületen egy tranzakciós napló is fut, amely rögzíti ezeket a lépéseket, és pontosan levezeti, hogy a tranzakció mérete hogyan befolyásolta a végrehajtási árat.</w:t>
      </w:r>
    </w:p>
    <w:p w14:paraId="4E515AE2" w14:textId="44BFCB84" w:rsidR="003029E9" w:rsidRPr="003029E9" w:rsidRDefault="003029E9" w:rsidP="004E2E10">
      <w:pPr>
        <w:jc w:val="both"/>
        <w:rPr>
          <w:rFonts w:ascii="Times New Roman" w:hAnsi="Times New Roman" w:cs="Times New Roman"/>
          <w:sz w:val="20"/>
          <w:szCs w:val="20"/>
        </w:rPr>
      </w:pPr>
      <w:r w:rsidRPr="003029E9">
        <w:rPr>
          <w:rFonts w:ascii="Times New Roman" w:hAnsi="Times New Roman" w:cs="Times New Roman"/>
          <w:sz w:val="20"/>
          <w:szCs w:val="20"/>
        </w:rPr>
        <w:t>Végül, a színfalak mögötti működtetéshez készült az Adminisztrációs Vezérlőpult (REX_UI_master_control). Ez a dashboard a rendszergazdák munkaállomása, egy letisztult, adatközpontú felület. Legfőbb vizuális elemei az élő statisztikai jelvények, amelyek folyamatosan mutatják a rendszerben lévő felhasználók, a regisztrált publikus ingatlanok és a titkosított privát dokumentumok pontos számát. A felület lényege a beviteli mezőkben és a vezérlőgombokban rejlik: az adminisztrátorok itt tudnak tömeges adatgenerálást indítani. Megadhatják például, hogy a rendszer generáljon azonnal több száz fiktív felhasználót és hozzájuk tartozó ingatlant, hogy a tőzsdei terminál grafikonjai és térképei adatokkal töltődjenek fel. A felület a folyamat végén egyértelmű, színkódolt üzenetekkel tájékoztat a művelet sikerességéről vagy esetleges hibáiról.</w:t>
      </w:r>
    </w:p>
    <w:p w14:paraId="19513CA6" w14:textId="77777777" w:rsidR="000505CA" w:rsidRPr="000505CA" w:rsidRDefault="000505CA" w:rsidP="004E2E10">
      <w:pPr>
        <w:jc w:val="both"/>
        <w:rPr>
          <w:rFonts w:ascii="Times New Roman" w:hAnsi="Times New Roman" w:cs="Times New Roman"/>
          <w:sz w:val="20"/>
          <w:szCs w:val="20"/>
        </w:rPr>
      </w:pPr>
      <w:r w:rsidRPr="000505CA">
        <w:rPr>
          <w:rFonts w:ascii="Times New Roman" w:hAnsi="Times New Roman" w:cs="Times New Roman"/>
          <w:sz w:val="20"/>
          <w:szCs w:val="20"/>
        </w:rPr>
        <w:t xml:space="preserve">A teljes platform szilárd, láthatatlan gerincét az Adatbázis Kezelő Modul (REX_DB_handler) biztosítja. Ez a kód felelős a strukturált adattároló felépítéséért és szigorú védelméért. A tervezésnél a maximális adatbiztonság és a jogi megfelelőség volt a fő szempont, ezért az információkat szigorúan szegmentált táblákba rendezi. A központi felhasználói tábla kezeli a befektetői és tulajdonosi profilokat, beleértve a jogosultságokat és a hivatalos ügyfél-átvilágítási (KYC) státuszokat. A legfontosabb architekturális döntés az ingatlanadatok fizikai kettéválasztása: a publikus piaci tábla kizárólag a tőzsdei terminál számára szükséges, a befektetési döntéseket támogató fizikai és pénzügyi mutatókat (például várható hozam, tető kora, tartozások) tárolja. Ezzel szemben a szigorúan bizalmas, szenzitív jogi dokumentumok, pontos utcacímek és tulajdoni lapok egy dedikált, a nyilvánosság elől elzárt kompliance táblába kerülnek. A modul tartalmaz továbbá egy automatizált biztonsági takarító (cleanup) funkciót </w:t>
      </w:r>
      <w:r w:rsidRPr="000505CA">
        <w:rPr>
          <w:rFonts w:ascii="Times New Roman" w:hAnsi="Times New Roman" w:cs="Times New Roman"/>
          <w:sz w:val="20"/>
          <w:szCs w:val="20"/>
        </w:rPr>
        <w:lastRenderedPageBreak/>
        <w:t>is, amely azonnal töröl minden olyan táblát a rendszerből, amely nem szerepel a hivatalosan engedélyezett fehérlistán, így akadályozva meg az illetéktelen adatszerkezet-módosításokat.</w:t>
      </w:r>
    </w:p>
    <w:p w14:paraId="5C907B0E" w14:textId="77777777" w:rsidR="000505CA" w:rsidRPr="000505CA" w:rsidRDefault="000505CA" w:rsidP="004E2E10">
      <w:pPr>
        <w:jc w:val="both"/>
        <w:rPr>
          <w:rFonts w:ascii="Times New Roman" w:hAnsi="Times New Roman" w:cs="Times New Roman"/>
          <w:sz w:val="20"/>
          <w:szCs w:val="20"/>
        </w:rPr>
      </w:pPr>
      <w:r w:rsidRPr="000505CA">
        <w:rPr>
          <w:rFonts w:ascii="Times New Roman" w:hAnsi="Times New Roman" w:cs="Times New Roman"/>
          <w:sz w:val="20"/>
          <w:szCs w:val="20"/>
        </w:rPr>
        <w:t>A pénzügyi tranzakciók hitelességéért és a platform transzparenciájáért a Privát Blokklánc Motor (REX_Blockchain) felel. A platform nem támaszkodik drága és külső hálózatokra, hanem egy saját fejlesztésű, Proof-of-Work (PoW) elven működő belső főkönyvet futtat, amely a MySQL adatbázis blockchain_ledger táblájában tárolja a blokkokat. Ez az algoritmus felelős azért, hogy az ingatlanok kezdeti tokenizációját, valamint az azt követő másodlagos piaci műveleteket (vétel, eladás, shortolás, trezor-zárolás) kriptográfiailag védett, megmásíthatatlan blokkokba csomagolja és JSON formátumban az adatbázisba mentse. A motor intelligens adatkészítő logikája képes a meglévő valós felhasználói és ingatlanadatokat felhasználva komplex, összefüggő szimulációs tranzakciókat generálni, amelyeket egy 100 millió dolláros likviditást biztosító "Genesis" blokktól indítva fűz láncba. A rendszer leginnovatívabb biztonsági eleme a beépített lánc-validátor: ez a funkció képes bármikor végigpásztázni az adatbázisba mentett tranzakciókat, és újra lefuttatni a matematikai ellenőrzéseket. Ha bárki – akár szándékosan, akár véletlenül – utólag módosítana egy adatot (például egy tranzakciós összeget a relációs adatbázisban), az SHA-256 hash-lánc azonnal megtörik, a rendszer pedig riaszt, és érvénytelennek minősíti a manipulált főkönyvet.</w:t>
      </w:r>
    </w:p>
    <w:p w14:paraId="163255CB" w14:textId="77777777" w:rsidR="003029E9" w:rsidRPr="004E2E10" w:rsidRDefault="003029E9" w:rsidP="004E2E10">
      <w:pPr>
        <w:jc w:val="both"/>
        <w:rPr>
          <w:rFonts w:ascii="Times New Roman" w:hAnsi="Times New Roman" w:cs="Times New Roman"/>
          <w:sz w:val="20"/>
          <w:szCs w:val="20"/>
        </w:rPr>
      </w:pPr>
    </w:p>
    <w:p w14:paraId="60E85B80" w14:textId="4D047042" w:rsidR="00222749" w:rsidRPr="004E2E10" w:rsidRDefault="003029E9"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292A81FF" w14:textId="261C508D" w:rsidR="0024720A"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Backend &amp; adatbázis tervezése és fejlesztése </w:t>
      </w:r>
    </w:p>
    <w:p w14:paraId="39F1F9DE" w14:textId="77777777" w:rsidR="0024720A" w:rsidRPr="004E2E10" w:rsidRDefault="0024720A" w:rsidP="004E2E10">
      <w:pPr>
        <w:jc w:val="both"/>
        <w:rPr>
          <w:rFonts w:ascii="Times New Roman" w:hAnsi="Times New Roman" w:cs="Times New Roman"/>
          <w:sz w:val="20"/>
          <w:szCs w:val="20"/>
        </w:rPr>
      </w:pPr>
    </w:p>
    <w:p w14:paraId="4C565871"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REX (Real Estate Tokenization) platform backend és adatbázis architektúrájának elsődleges célja egy olyan hibrid rendszer létrehozása, amely zökkenőmentesen ötvözi a hagyományos relációs adatbázisok sebességét és könnyű skálázhatóságát a blokklánc technológia transzparenciájával és manipulálhatatlanságával. A fejlesztés fókuszában a maximális biztonság, a szigorú jogosultságkezelés és a másodlagos piaci tranzakciók hiteles rögzítése áll, mindez egy zárt, saját felügyelet alatt tartott ökoszisztémában.</w:t>
      </w:r>
    </w:p>
    <w:p w14:paraId="278BB5A7"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Relációs Adatbázis Architektúra A rendszer alapját egy szigorúan szegmentált, normalizált MySQL adatbázis képezi, amelynek tervezésekor az adatvédelmi és pénzügyi szabályozásoknak (GDPR, KYC, AML) való megfelelés volt az irányadó. Az adatokat logikai és fizikai szinten is elkülönítettük. A központosított identitáskezelésért a felhasználói modul felel, amely differenciálja a befektetői, tulajdonosi és adminisztrátori szerepköröket, miközben beépített támogatást nyújt a felhasználó-azonosítási folyamatok nyomon követésére és az érzékeny belépési vagy adóügyi adatok védelmére.</w:t>
      </w:r>
    </w:p>
    <w:p w14:paraId="35C48FE6"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Az ingatlanokhoz kapcsolódó adatköröket a maximális biztonság érdekében két teljesen különálló modulra bontottuk. A publikus piaci adatok táblája szolgálja ki a platform keresési és listázási funkcióit, így ez kizárólag a befektetési döntéshez szükséges, nem szenzitív információkat tartalmazza, mint például a lokáció, a várható hozam, a tartozások vagy az ingatlan fizikai paraméterei. Egy beépített állapotgép vezérli az ingatlanok életciklusát az audittól egészen az aktív piacra kerülésig. Ezzel szemben a privát kompliance modul egy szigorúan bizalmas, elzárt tároló, amely a pontos utcacímeket, tulajdoni lapokat és egyéb jogi dokumentumokat védi. Ez a strukturális szétválasztás garantálja, hogy egy publikus adatlekérdező végpont még szoftveres hiba esetén sem szivárogtathat ki személyes azonosításra alkalmas, érzékeny adatokat.</w:t>
      </w:r>
    </w:p>
    <w:p w14:paraId="50D1484A"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Privát Blokklánc Főkönyv A projekt legnagyobb technikai innovációja a relációs adatbázisba ágyazott, egyedi Proof-of-Work (PoW) elven működő blokklánc. A platform tudatosan nem támaszkodik külső, nyilvános hálózatokra, hanem saját rendszerén belül hitelesíti a tranzakciókat. Ebben a láncolatban minden egyes blokk a saját tartalmának, a tranzakciós adatoknak, egy időbélyegnek, egy számítási nonce értéknek, valamint az előző blokk hash-ének az egyesítéséből generál egy feltörhetetlen SHA-256 lenyomatot. A folyamat egy nulladik, úgynevezett Genesis blokkal indul, amely automatikusan létrehozza a platform likviditási alapját, beállítva a kezdeti token- és tőkekészleteket.</w:t>
      </w:r>
    </w:p>
    <w:p w14:paraId="07CF21A4"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A rendszer legfőbb ereje a beépített auditálhatóságban rejlik. Az architektúra képes visszamenőleg ellenőrizni a teljes lánc integritását a kezdetektől a legutolsó tranzakcióig. Ha bármilyen belső vagy külső beavatkozás történik – például ha valaki utólag manuálisan módosít egy tranzakciós összeget az adatbázisban –, a kriptográfiai lánc azonnal megtörik. A rendszer ezt az ellenőrző algoritmusok futtatásával azonnal detektálja, és a manipulált láncszemet érvénytelennek minősíti.</w:t>
      </w:r>
    </w:p>
    <w:p w14:paraId="304A537E"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Tranzakciós Rendszer és Üzleti Logika A backend üzleti logikája natívan támogatja a komplex ingatlanpiaci és haladó tőzsdei műveleteket, amelyeket strukturált JSON formátumban, csomagokba foglalva rögzít a főkönyvben. Ez a rendszer kezeli a teljes tokenizációs folyamatot, amely során az új ingatlanok részesedés alapú bevezetése történik a piacra egyedi azonosítók generálásával. Emellett teljeskörűen kiszolgálja az alapvető másodlagos piaci kereskedést, a vételi és eladási tranzakciókat, sőt, a haladó piaci mozgásokat is, mint amilyen a short pozíciók felvétele fedezetszámítással. Az ökoszisztéma stabilitását a beépített zárolási mechanizmus növeli, amely lehetővé teszi a felhasználóknak, hogy tokenjeiket meghatározott időtartamokra kössék le a platform trezorjában.</w:t>
      </w:r>
    </w:p>
    <w:p w14:paraId="2E71C41E" w14:textId="77777777" w:rsidR="005A47C0" w:rsidRPr="005A47C0" w:rsidRDefault="005A47C0" w:rsidP="004E2E10">
      <w:pPr>
        <w:jc w:val="both"/>
        <w:rPr>
          <w:rFonts w:ascii="Times New Roman" w:hAnsi="Times New Roman" w:cs="Times New Roman"/>
          <w:sz w:val="20"/>
          <w:szCs w:val="20"/>
        </w:rPr>
      </w:pPr>
      <w:r w:rsidRPr="005A47C0">
        <w:rPr>
          <w:rFonts w:ascii="Times New Roman" w:hAnsi="Times New Roman" w:cs="Times New Roman"/>
          <w:sz w:val="20"/>
          <w:szCs w:val="20"/>
        </w:rPr>
        <w:t>Technológiai Érték és Üzleti Előny Ez az architektúra tökéletes egyensúlyt teremt a teljesítmény, a költséghatékonyság és a maximális bizalom között. A modern felhasználói élményt és a másodperctört része alatti adatlekérdezéseket a villámgyors MySQL relációs modell biztosítja. Ugyanakkor a pénzügyi elszámolásokat és a tulajdonjog-váltásokat a beépített blokklánc technológia teszi megkérdőjelezhetetlenné. A megoldás banki szintű transzparenciát nyújt a befektetőknek anélkül, hogy a platformnak kiszámíthatatlan és drága tranzakciós díjakat kellene fizetnie egy harmadik fél által üzemeltetett hálózaton. Ezzel a fejlesztéssel a REX teljes és független kontrollt gyakorol a saját technológiai infrastruktúrája felett.</w:t>
      </w:r>
    </w:p>
    <w:p w14:paraId="274AFC61" w14:textId="02C0CFD6" w:rsidR="0024720A" w:rsidRPr="004E2E10" w:rsidRDefault="0024720A"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3E5BBB4D" w14:textId="3C097FD1"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Integráció és end-to-end tesztelés</w:t>
      </w:r>
    </w:p>
    <w:p w14:paraId="09E48F79" w14:textId="77777777" w:rsidR="0024720A" w:rsidRPr="004E2E10" w:rsidRDefault="0024720A" w:rsidP="004E2E10">
      <w:pPr>
        <w:jc w:val="both"/>
        <w:rPr>
          <w:rFonts w:ascii="Times New Roman" w:hAnsi="Times New Roman" w:cs="Times New Roman"/>
          <w:sz w:val="20"/>
          <w:szCs w:val="20"/>
        </w:rPr>
      </w:pPr>
    </w:p>
    <w:p w14:paraId="56CB7EAF"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1. Szakasz: Fedélzetre Lépés és Hitelesítés (Onboarding &amp; KYC)</w:t>
      </w:r>
      <w:r w:rsidRPr="00197BE4">
        <w:rPr>
          <w:rFonts w:ascii="Times New Roman" w:hAnsi="Times New Roman" w:cs="Times New Roman"/>
          <w:sz w:val="20"/>
          <w:szCs w:val="20"/>
        </w:rPr>
        <w:t xml:space="preserve"> Minden felhasználói interakció a regisztrációval és a személyazonosság ellenőrzésével kezdődik. Az új ügyfél adatai bekerülnek a központi MySQL adatbázis felhasználói táblájába, ahol a KYC (Know Your Customer) státusza kezdetben függőben lévőként (pending) jelenik meg. Ebben a korlátozott hozzáférésű fázisban a látogató már megtekintheti a platform publikus nézeteit, de pénzügyi interakciót nem kezdeményezhet. Amint az adminisztráció vagy a külső hitelesítő szolgáltató jóváhagyja a benyújtott dokumentumokat, a fiók státusza engedélyezettre (approved) vált. A rendszer ekkor feloldja a listázási és kereskedési funkciókat, a privát blokklánc pedig felkészül az adott felhasználóhoz köthető jövőbeni tranzakciók hitelesítésére.</w:t>
      </w:r>
    </w:p>
    <w:p w14:paraId="57C7E7B9"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2. Szakasz: Az Ingatlantulajdonos Útja (Eszköz-Tokenizáció)</w:t>
      </w:r>
      <w:r w:rsidRPr="00197BE4">
        <w:rPr>
          <w:rFonts w:ascii="Times New Roman" w:hAnsi="Times New Roman" w:cs="Times New Roman"/>
          <w:sz w:val="20"/>
          <w:szCs w:val="20"/>
        </w:rPr>
        <w:t xml:space="preserve"> Amennyiben a felhasználó tulajdonosként egy ingatlant kíván bevezetni a piacra, az elegáns, "pergamen" hatású Ingatlan-Digitalizációs Űrlapon halad végig. A rendszer már a bevitel pillanatában szétválasztja az adatokat: a fizikai és hozammutatók a publikus piaci adatbázisba, míg a tulajdoni lapok, címek és személyes nyilatkozatok a szigorúan elzárt privát kompliance táblába kerülnek. A beküldést követően az ingatlan státusza belső ellenőrzés alá (pending_audit) kerül. Ha a jogi és fizikai átvilágítás sikeresen lezárul, az eszköz hivatalosan aktív piaci (active_market) státuszba lép. Ebben a kritikus pillanatban fut le a háttérben a blokklánc "TOKENIZE" művelete, amely a fizikai eszközt digitális részesedésekre bontja, és egyedi tőzsdei ticker azonosítót (például </w:t>
      </w:r>
      <w:r w:rsidRPr="00197BE4">
        <w:rPr>
          <w:rFonts w:ascii="Times New Roman" w:hAnsi="Times New Roman" w:cs="Times New Roman"/>
          <w:i/>
          <w:iCs/>
          <w:sz w:val="20"/>
          <w:szCs w:val="20"/>
        </w:rPr>
        <w:t>REX-BUDAPE-1</w:t>
      </w:r>
      <w:r w:rsidRPr="00197BE4">
        <w:rPr>
          <w:rFonts w:ascii="Times New Roman" w:hAnsi="Times New Roman" w:cs="Times New Roman"/>
          <w:sz w:val="20"/>
          <w:szCs w:val="20"/>
        </w:rPr>
        <w:t>) generál a további kereskedéshez.</w:t>
      </w:r>
    </w:p>
    <w:p w14:paraId="2B11907B"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3. Szakasz: A Befektető Útja (Piaci Böngészés és Kereskedés)</w:t>
      </w:r>
      <w:r w:rsidRPr="00197BE4">
        <w:rPr>
          <w:rFonts w:ascii="Times New Roman" w:hAnsi="Times New Roman" w:cs="Times New Roman"/>
          <w:sz w:val="20"/>
          <w:szCs w:val="20"/>
        </w:rPr>
        <w:t xml:space="preserve"> A hitelesített befektető a sötét témájú, modern üveghatású (glassmorphism) Központi Kereskedési Terminálba érkezik, ahol egy interaktív, 3D-s forgatható földgömb és ár-súlyozott hőtérképek segítségével böngészheti a tokenizált piacokat. A befektetési döntést a Piaci Likviditás Szimulátor támogatja, ahol a felhasználó kockázatmentesen tesztelheti a tranzakciós volumenek árfolyamra és likviditási poolokra gyakorolt hatását. A platform a hagyományos, volatilitástól mentes fiat vagy USDC stabilkripto alapú elszámolást preferálja. Ezen a felületen a befektető a kiválasztott eszközre azonnali vételi (BUY), eladási (SELL), vagy akár haladó, margin-fedezetű (SHORT) műveleteket indíthat.</w:t>
      </w:r>
    </w:p>
    <w:p w14:paraId="5BE08437" w14:textId="77777777" w:rsidR="00197BE4" w:rsidRPr="00197BE4" w:rsidRDefault="00197BE4" w:rsidP="00197BE4">
      <w:pPr>
        <w:jc w:val="both"/>
        <w:rPr>
          <w:rFonts w:ascii="Times New Roman" w:hAnsi="Times New Roman" w:cs="Times New Roman"/>
          <w:sz w:val="20"/>
          <w:szCs w:val="20"/>
        </w:rPr>
      </w:pPr>
      <w:r w:rsidRPr="00197BE4">
        <w:rPr>
          <w:rFonts w:ascii="Times New Roman" w:hAnsi="Times New Roman" w:cs="Times New Roman"/>
          <w:b/>
          <w:bCs/>
          <w:sz w:val="20"/>
          <w:szCs w:val="20"/>
        </w:rPr>
        <w:t>4. Szakasz: Elszámolás és Hosszútávú Elköteleződés (Vaulting)</w:t>
      </w:r>
      <w:r w:rsidRPr="00197BE4">
        <w:rPr>
          <w:rFonts w:ascii="Times New Roman" w:hAnsi="Times New Roman" w:cs="Times New Roman"/>
          <w:sz w:val="20"/>
          <w:szCs w:val="20"/>
        </w:rPr>
        <w:t xml:space="preserve"> A terminálon indított interakciókat a backend másodpercek alatt tranzakciós csomagokba (blokkokba) rendezi, amelyeket a platform saját fejlesztésű, Proof-of-Work elven működő privát blokklánc motorja (REX_Blockchain) dolgoz fel. A láncba JSON formátumban beírt adatok innentől kezdve megmásíthatatlanok. A felhasználó a Portfólió nézetben folyamatosan, valós időben nyomon követheti az összesített befektetéseit és szabad egyenlegét. A hosszú távú stratégia részeként a befektetőknek lehetőségük van a megszerzett részvényeik időhöz kötött zárolására is (VAULT_LOCK). Ezzel a funkcióval az eszközöket 7, 30, 180 vagy akár 365 napra is leköthetik a REX trezorjában, ami hozzájárul a rendszer egészének likviditási stabilitásához.</w:t>
      </w:r>
    </w:p>
    <w:p w14:paraId="1BBFE734" w14:textId="77777777" w:rsidR="005A47C0" w:rsidRPr="004E2E10" w:rsidRDefault="005A47C0" w:rsidP="004E2E10">
      <w:pPr>
        <w:jc w:val="both"/>
        <w:rPr>
          <w:rFonts w:ascii="Times New Roman" w:hAnsi="Times New Roman" w:cs="Times New Roman"/>
          <w:sz w:val="20"/>
          <w:szCs w:val="20"/>
        </w:rPr>
      </w:pPr>
    </w:p>
    <w:p w14:paraId="3CE6F971" w14:textId="5005CF0A" w:rsidR="0024720A" w:rsidRPr="004E2E10" w:rsidRDefault="0024720A"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7D01FAF7" w14:textId="77777777" w:rsidR="0024720A" w:rsidRPr="004E2E10" w:rsidRDefault="0024720A" w:rsidP="004E2E10">
      <w:pPr>
        <w:pStyle w:val="Default"/>
        <w:jc w:val="both"/>
        <w:rPr>
          <w:sz w:val="20"/>
          <w:szCs w:val="20"/>
        </w:rPr>
      </w:pPr>
    </w:p>
    <w:p w14:paraId="378C6D19" w14:textId="7913247A" w:rsidR="002C4387" w:rsidRPr="004E2E10" w:rsidRDefault="00222749" w:rsidP="004E2E10">
      <w:pPr>
        <w:pStyle w:val="Default"/>
        <w:numPr>
          <w:ilvl w:val="0"/>
          <w:numId w:val="2"/>
        </w:numPr>
        <w:ind w:left="0" w:firstLine="0"/>
        <w:jc w:val="both"/>
        <w:rPr>
          <w:sz w:val="20"/>
          <w:szCs w:val="20"/>
        </w:rPr>
      </w:pPr>
      <w:r w:rsidRPr="004E2E10">
        <w:rPr>
          <w:sz w:val="20"/>
          <w:szCs w:val="20"/>
        </w:rPr>
        <w:t xml:space="preserve">Árképzési mechanizmus kiválasztása (AMM vs. Order Book) </w:t>
      </w:r>
    </w:p>
    <w:p w14:paraId="015DCF30" w14:textId="77777777" w:rsidR="002C4387" w:rsidRPr="004E2E10" w:rsidRDefault="002C4387" w:rsidP="004E2E10">
      <w:pPr>
        <w:jc w:val="both"/>
        <w:rPr>
          <w:rFonts w:ascii="Times New Roman" w:hAnsi="Times New Roman" w:cs="Times New Roman"/>
          <w:sz w:val="20"/>
          <w:szCs w:val="20"/>
        </w:rPr>
      </w:pPr>
    </w:p>
    <w:p w14:paraId="0D5A7E0C" w14:textId="3FA0D02F"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A modern pénzügyi piacokon a likviditás biztosításának és az árfelfedezésnek két </w:t>
      </w:r>
      <w:r w:rsidR="006D25CD" w:rsidRPr="004E2E10">
        <w:rPr>
          <w:rFonts w:ascii="Times New Roman" w:hAnsi="Times New Roman" w:cs="Times New Roman"/>
          <w:sz w:val="20"/>
          <w:szCs w:val="20"/>
        </w:rPr>
        <w:t xml:space="preserve">számunkra releváns </w:t>
      </w:r>
      <w:r w:rsidRPr="002107D7">
        <w:rPr>
          <w:rFonts w:ascii="Times New Roman" w:hAnsi="Times New Roman" w:cs="Times New Roman"/>
          <w:sz w:val="20"/>
          <w:szCs w:val="20"/>
        </w:rPr>
        <w:t xml:space="preserve">domináns paradigmája létezik: a hagyományos, ajánlati könyvre épülő modell (Central Limit Order Book, CLOB) és az okosszerződések által vezérelt Automata Árjegyző (Automated Market Maker, AMM). Egy olyan szintetikus, fragmentált és lassú forgási sebességű eszközosztály esetében, mint a tört tulajdonú lakóingatlan-részvény, az árképzési mechanizmus kiválasztása nem csupán technológiai, hanem fundamentális életképességi kérdés. A CLOB modell a magas frekvenciájú, homogén piacokon tökéletesen működik, mivel ott a vevők és eladók folyamatosan jelen vannak, és az árfolyam a limitáras megbízások dinamikus újraárazásával súrlódásmentesen alkalmazkodik az információkhoz. Az ingatlanpiacon azonban ez a modell fatális likviditási hiányosságokat okoz. Ha egy ügyfél a felkínált lakástőkéje </w:t>
      </w:r>
      <w:r w:rsidR="006F5314">
        <w:rPr>
          <w:rFonts w:ascii="Times New Roman" w:hAnsi="Times New Roman" w:cs="Times New Roman"/>
          <w:sz w:val="20"/>
          <w:szCs w:val="20"/>
        </w:rPr>
        <w:t>25%-át</w:t>
      </w:r>
      <w:r w:rsidRPr="002107D7">
        <w:rPr>
          <w:rFonts w:ascii="Times New Roman" w:hAnsi="Times New Roman" w:cs="Times New Roman"/>
          <w:sz w:val="20"/>
          <w:szCs w:val="20"/>
        </w:rPr>
        <w:t xml:space="preserve"> azonnal pénzzé kívánja tenni, a CLOB rendszerben meg kell várnia, amíg a könyv túloldalán megjelenik egy vagy több megfelelő méretű és árszintű vételi ajánlat. Ha a piac </w:t>
      </w:r>
      <w:r w:rsidR="006F5314">
        <w:rPr>
          <w:rFonts w:ascii="Times New Roman" w:hAnsi="Times New Roman" w:cs="Times New Roman"/>
          <w:sz w:val="20"/>
          <w:szCs w:val="20"/>
        </w:rPr>
        <w:t>nem elég mély,</w:t>
      </w:r>
      <w:r w:rsidRPr="002107D7">
        <w:rPr>
          <w:rFonts w:ascii="Times New Roman" w:hAnsi="Times New Roman" w:cs="Times New Roman"/>
          <w:sz w:val="20"/>
          <w:szCs w:val="20"/>
        </w:rPr>
        <w:t xml:space="preserve"> az eszköz lényegében eladhatatlanná válik, vagy a piaci áras (market order) végrehajtás drasztikus, kontrollálatlan árzuhanást idéz elő, ami a REX alapvető értékajánlatát – a megbízható tőkefelszabadítást – semmisíti meg.</w:t>
      </w:r>
    </w:p>
    <w:p w14:paraId="63A23A85" w14:textId="0B0349D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Ezzel szemben a REX architektúrája egy Állandó Szorzatú Automata Árjegyző (Constant Product Market Maker, CPMM) modellt implementál, amely dedikált, emberi beavatkozás nélküli likviditást garantál. Ez a decentralizált pénzügyekből adaptált modell előre finanszírozott tartalékokra (poolokra) épül, ahol az ingatlanrészvények (X) és a likvid készpénz (Y) egyensúlyát egy </w:t>
      </w:r>
      <w:r w:rsidR="006F5314">
        <w:rPr>
          <w:rFonts w:ascii="Times New Roman" w:hAnsi="Times New Roman" w:cs="Times New Roman"/>
          <w:sz w:val="20"/>
          <w:szCs w:val="20"/>
        </w:rPr>
        <w:t>matematikai konstans (K=X*Y) szabályozza</w:t>
      </w:r>
      <w:r w:rsidRPr="002107D7">
        <w:rPr>
          <w:rFonts w:ascii="Times New Roman" w:hAnsi="Times New Roman" w:cs="Times New Roman"/>
          <w:sz w:val="20"/>
          <w:szCs w:val="20"/>
        </w:rPr>
        <w:t>. A rendszer alapköve, hogy a két eszközmennyiség szorzata a kereskedés során – a dinamikus díjak felhalmozódását megelőzően – állandó kell, hogy maradjon, amit az egyenlet ír le. Ebben a rendszerben nincs szükség a könyv túloldalán várakozó partnerre, a felhasználó magával a matematikai görbével köt üzletet. Egyetlen REX részvény azonnali (spot) árát a végrehajtás előtt a protokoll a tartalékok egyszerű hányadosaként határozza meg</w:t>
      </w:r>
      <w:r w:rsidR="006F5314">
        <w:rPr>
          <w:rFonts w:ascii="Times New Roman" w:hAnsi="Times New Roman" w:cs="Times New Roman"/>
          <w:sz w:val="20"/>
          <w:szCs w:val="20"/>
        </w:rPr>
        <w:t xml:space="preserve"> (P=Y/X)</w:t>
      </w:r>
      <w:r w:rsidRPr="002107D7">
        <w:rPr>
          <w:rFonts w:ascii="Times New Roman" w:hAnsi="Times New Roman" w:cs="Times New Roman"/>
          <w:sz w:val="20"/>
          <w:szCs w:val="20"/>
        </w:rPr>
        <w:t>.</w:t>
      </w:r>
    </w:p>
    <w:p w14:paraId="61ABE7F1" w14:textId="446CF569"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 xml:space="preserve">Amikor egy lakástulajdonos értékesíti a REX részvényeit, tulajdonképpen </w:t>
      </w:r>
      <w:r w:rsidR="006F5314">
        <w:rPr>
          <w:rFonts w:ascii="Times New Roman" w:hAnsi="Times New Roman" w:cs="Times New Roman"/>
          <w:sz w:val="20"/>
          <w:szCs w:val="20"/>
        </w:rPr>
        <w:t xml:space="preserve">addot mennyiségű </w:t>
      </w:r>
      <w:r w:rsidRPr="002107D7">
        <w:rPr>
          <w:rFonts w:ascii="Times New Roman" w:hAnsi="Times New Roman" w:cs="Times New Roman"/>
          <w:sz w:val="20"/>
          <w:szCs w:val="20"/>
        </w:rPr>
        <w:t>részvényt juttat a poolba</w:t>
      </w:r>
      <w:r w:rsidR="006F5314">
        <w:rPr>
          <w:rFonts w:ascii="Times New Roman" w:hAnsi="Times New Roman" w:cs="Times New Roman"/>
          <w:sz w:val="20"/>
          <w:szCs w:val="20"/>
        </w:rPr>
        <w:t xml:space="preserve"> (X1 &gt; X0)</w:t>
      </w:r>
      <w:r w:rsidRPr="002107D7">
        <w:rPr>
          <w:rFonts w:ascii="Times New Roman" w:hAnsi="Times New Roman" w:cs="Times New Roman"/>
          <w:sz w:val="20"/>
          <w:szCs w:val="20"/>
        </w:rPr>
        <w:t xml:space="preserve">, hogy onnan </w:t>
      </w:r>
      <w:r w:rsidR="006F5314">
        <w:rPr>
          <w:rFonts w:ascii="Times New Roman" w:hAnsi="Times New Roman" w:cs="Times New Roman"/>
          <w:sz w:val="20"/>
          <w:szCs w:val="20"/>
        </w:rPr>
        <w:t xml:space="preserve">adott </w:t>
      </w:r>
      <w:r w:rsidRPr="002107D7">
        <w:rPr>
          <w:rFonts w:ascii="Times New Roman" w:hAnsi="Times New Roman" w:cs="Times New Roman"/>
          <w:sz w:val="20"/>
          <w:szCs w:val="20"/>
        </w:rPr>
        <w:t>mennyiségű készpénzt vonjon ki</w:t>
      </w:r>
      <w:r w:rsidR="006F5314">
        <w:rPr>
          <w:rFonts w:ascii="Times New Roman" w:hAnsi="Times New Roman" w:cs="Times New Roman"/>
          <w:sz w:val="20"/>
          <w:szCs w:val="20"/>
        </w:rPr>
        <w:t xml:space="preserve"> (Y1 &lt; Y0)</w:t>
      </w:r>
      <w:r w:rsidRPr="002107D7">
        <w:rPr>
          <w:rFonts w:ascii="Times New Roman" w:hAnsi="Times New Roman" w:cs="Times New Roman"/>
          <w:sz w:val="20"/>
          <w:szCs w:val="20"/>
        </w:rPr>
        <w:t>. Az okosszerződés csak úgy engedélyezi a tranzakciót, ha az új egyenlegek szorzata továbbra is kiadja a</w:t>
      </w:r>
      <w:r w:rsidR="006F5314">
        <w:rPr>
          <w:rFonts w:ascii="Times New Roman" w:hAnsi="Times New Roman" w:cs="Times New Roman"/>
          <w:sz w:val="20"/>
          <w:szCs w:val="20"/>
        </w:rPr>
        <w:t>z</w:t>
      </w:r>
      <w:r w:rsidRPr="002107D7">
        <w:rPr>
          <w:rFonts w:ascii="Times New Roman" w:hAnsi="Times New Roman" w:cs="Times New Roman"/>
          <w:sz w:val="20"/>
          <w:szCs w:val="20"/>
        </w:rPr>
        <w:t xml:space="preserve"> állandót</w:t>
      </w:r>
      <w:r w:rsidR="006F5314">
        <w:rPr>
          <w:rFonts w:ascii="Times New Roman" w:hAnsi="Times New Roman" w:cs="Times New Roman"/>
          <w:sz w:val="20"/>
          <w:szCs w:val="20"/>
        </w:rPr>
        <w:t xml:space="preserve"> (K = X1 * Y1 = X0 * Y0)</w:t>
      </w:r>
      <w:r w:rsidRPr="002107D7">
        <w:rPr>
          <w:rFonts w:ascii="Times New Roman" w:hAnsi="Times New Roman" w:cs="Times New Roman"/>
          <w:sz w:val="20"/>
          <w:szCs w:val="20"/>
        </w:rPr>
        <w:t>. Ebből algebrai úton levezethető a pontosan kinyerhető készpénzösszeg, amelyet a képlet határoz meg. Ez a mechanizmus az úgynevezett ártehetetlenség (price inertia) elvén működik: a spot ár csak és kizárólag a tartalékok fizikai elmozdulásával tud frissülni. Ahogy a részvénykínálat nő és a készpénzbázis csökken a poolban, az árfolyam a végrehajtás során marginálisan, de folyamatosan csökken. A teljes megbízásra vetített átlagos végrehajtási ár</w:t>
      </w:r>
      <w:r w:rsidR="006F5314">
        <w:rPr>
          <w:rFonts w:ascii="Times New Roman" w:hAnsi="Times New Roman" w:cs="Times New Roman"/>
          <w:sz w:val="20"/>
          <w:szCs w:val="20"/>
        </w:rPr>
        <w:t xml:space="preserve"> a részvényszám változásának és a készpénzmozgás változásának hányadosa (Pavg = (Y1 - Y0) / X1 - X0))</w:t>
      </w:r>
      <w:r w:rsidRPr="002107D7">
        <w:rPr>
          <w:rFonts w:ascii="Times New Roman" w:hAnsi="Times New Roman" w:cs="Times New Roman"/>
          <w:sz w:val="20"/>
          <w:szCs w:val="20"/>
        </w:rPr>
        <w:t xml:space="preserve">. Bár az AMM modell hátránya, hogy az egyensúlyi árak külső piacokhoz való igazítása </w:t>
      </w:r>
      <w:r w:rsidR="006F5314">
        <w:rPr>
          <w:rFonts w:ascii="Times New Roman" w:hAnsi="Times New Roman" w:cs="Times New Roman"/>
          <w:sz w:val="20"/>
          <w:szCs w:val="20"/>
        </w:rPr>
        <w:t>a</w:t>
      </w:r>
      <w:r w:rsidR="0082722C">
        <w:rPr>
          <w:rFonts w:ascii="Times New Roman" w:hAnsi="Times New Roman" w:cs="Times New Roman"/>
          <w:sz w:val="20"/>
          <w:szCs w:val="20"/>
        </w:rPr>
        <w:t>ktív</w:t>
      </w:r>
      <w:r w:rsidR="006F5314">
        <w:rPr>
          <w:rFonts w:ascii="Times New Roman" w:hAnsi="Times New Roman" w:cs="Times New Roman"/>
          <w:sz w:val="20"/>
          <w:szCs w:val="20"/>
        </w:rPr>
        <w:t xml:space="preserve"> kereskedői jelenlétet</w:t>
      </w:r>
      <w:r w:rsidR="0082722C">
        <w:rPr>
          <w:rFonts w:ascii="Times New Roman" w:hAnsi="Times New Roman" w:cs="Times New Roman"/>
          <w:sz w:val="20"/>
          <w:szCs w:val="20"/>
        </w:rPr>
        <w:t>et</w:t>
      </w:r>
      <w:r w:rsidR="006F5314">
        <w:rPr>
          <w:rFonts w:ascii="Times New Roman" w:hAnsi="Times New Roman" w:cs="Times New Roman"/>
          <w:sz w:val="20"/>
          <w:szCs w:val="20"/>
        </w:rPr>
        <w:t xml:space="preserve"> </w:t>
      </w:r>
      <w:r w:rsidR="0082722C">
        <w:rPr>
          <w:rFonts w:ascii="Times New Roman" w:hAnsi="Times New Roman" w:cs="Times New Roman"/>
          <w:sz w:val="20"/>
          <w:szCs w:val="20"/>
        </w:rPr>
        <w:t>(</w:t>
      </w:r>
      <w:r w:rsidRPr="002107D7">
        <w:rPr>
          <w:rFonts w:ascii="Times New Roman" w:hAnsi="Times New Roman" w:cs="Times New Roman"/>
          <w:sz w:val="20"/>
          <w:szCs w:val="20"/>
        </w:rPr>
        <w:t>arbitrázst</w:t>
      </w:r>
      <w:r w:rsidR="0082722C">
        <w:rPr>
          <w:rFonts w:ascii="Times New Roman" w:hAnsi="Times New Roman" w:cs="Times New Roman"/>
          <w:sz w:val="20"/>
          <w:szCs w:val="20"/>
        </w:rPr>
        <w:t>)</w:t>
      </w:r>
      <w:r w:rsidRPr="002107D7">
        <w:rPr>
          <w:rFonts w:ascii="Times New Roman" w:hAnsi="Times New Roman" w:cs="Times New Roman"/>
          <w:sz w:val="20"/>
          <w:szCs w:val="20"/>
        </w:rPr>
        <w:t xml:space="preserve"> és tőkekivonást igényel, a garantált, azonnali, éjjel-nappal elérhető likviditás és a determinisztikus végrehajtás messze felülmúlja a CLOB modell inkonzisztenciáit a lakossági ingatlantőke piacán.</w:t>
      </w:r>
    </w:p>
    <w:p w14:paraId="6E6B54E1" w14:textId="26A41F9F" w:rsidR="002C4387" w:rsidRPr="004E2E10" w:rsidRDefault="002C4387"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br w:type="page"/>
      </w:r>
    </w:p>
    <w:p w14:paraId="26BE997D" w14:textId="77777777" w:rsidR="00222749" w:rsidRPr="004E2E10" w:rsidRDefault="00222749" w:rsidP="004E2E10">
      <w:pPr>
        <w:pStyle w:val="Default"/>
        <w:jc w:val="both"/>
        <w:rPr>
          <w:sz w:val="20"/>
          <w:szCs w:val="20"/>
        </w:rPr>
      </w:pPr>
    </w:p>
    <w:p w14:paraId="737E9357" w14:textId="4F921B54" w:rsidR="00222749" w:rsidRPr="004E2E10" w:rsidRDefault="00222749" w:rsidP="004E2E10">
      <w:pPr>
        <w:pStyle w:val="Default"/>
        <w:numPr>
          <w:ilvl w:val="0"/>
          <w:numId w:val="2"/>
        </w:numPr>
        <w:ind w:left="0" w:firstLine="0"/>
        <w:jc w:val="both"/>
        <w:rPr>
          <w:sz w:val="20"/>
          <w:szCs w:val="20"/>
        </w:rPr>
      </w:pPr>
      <w:r w:rsidRPr="004E2E10">
        <w:rPr>
          <w:sz w:val="20"/>
          <w:szCs w:val="20"/>
        </w:rPr>
        <w:t xml:space="preserve">Cash-flow modell felépítése </w:t>
      </w:r>
    </w:p>
    <w:p w14:paraId="456C5AF7" w14:textId="77777777" w:rsidR="002107D7" w:rsidRPr="004E2E10" w:rsidRDefault="002107D7" w:rsidP="004E2E10">
      <w:pPr>
        <w:jc w:val="both"/>
        <w:rPr>
          <w:rFonts w:ascii="Times New Roman" w:hAnsi="Times New Roman" w:cs="Times New Roman"/>
          <w:sz w:val="20"/>
          <w:szCs w:val="20"/>
        </w:rPr>
      </w:pPr>
      <w:r w:rsidRPr="004E2E10">
        <w:rPr>
          <w:rFonts w:ascii="Times New Roman" w:hAnsi="Times New Roman" w:cs="Times New Roman"/>
          <w:sz w:val="20"/>
          <w:szCs w:val="20"/>
        </w:rPr>
        <w:t>A REX ökoszisztéma készpénzáramlási és tőkeallokációs modellje egy radikálisan új megközelítést alkalmaz a lakossági ingatlanpiacon, teljesen elszakadva a hitelalapú (debt-based) konstrukcióktól. A hagyományos lakáshitel-kiváltások vagy szabad felhasználású jelzáloghitelek (HELOC) esetében a tulajdonos készpénzhez jut, cserébe azonban hosszú távú, kamatkockázattal terhelt, folyamatos havi törlesztési kötelezettséget vállal, amely rontja a rendelkezésre álló havi jövedelmét. A REX ezzel szemben tisztán saját tőke (equity) alapú megoldást kínál: a tulajdonos nem hitelt vesz fel, hanem az ingatlanában lévő holt tőke egy részét – jellemzően tíz és huszonöt százalék közötti sávban – tokenizált részvények formájában értékesíti a másodlagos piacon. Ez a felső korlát kritikus fontosságú a morális kockázat (moral hazard) elkerülése végett, hiszen ha a tulajdonos túlságosan nagy hányadot adna el, megszűnne az érdekeltsége az ingatlan állagának megóvásában.</w:t>
      </w:r>
    </w:p>
    <w:p w14:paraId="68EA9AF5" w14:textId="77777777" w:rsidR="002107D7" w:rsidRPr="004E2E10" w:rsidRDefault="002107D7" w:rsidP="004E2E10">
      <w:pPr>
        <w:jc w:val="both"/>
        <w:rPr>
          <w:rFonts w:ascii="Times New Roman" w:hAnsi="Times New Roman" w:cs="Times New Roman"/>
          <w:sz w:val="20"/>
          <w:szCs w:val="20"/>
        </w:rPr>
      </w:pPr>
    </w:p>
    <w:p w14:paraId="0B47920F" w14:textId="319A09CC" w:rsidR="002107D7" w:rsidRPr="004E2E10" w:rsidRDefault="002107D7" w:rsidP="004E2E10">
      <w:pPr>
        <w:jc w:val="both"/>
        <w:rPr>
          <w:rFonts w:ascii="Times New Roman" w:hAnsi="Times New Roman" w:cs="Times New Roman"/>
          <w:sz w:val="20"/>
          <w:szCs w:val="20"/>
        </w:rPr>
      </w:pPr>
      <w:r w:rsidRPr="004E2E10">
        <w:rPr>
          <w:rFonts w:ascii="Times New Roman" w:hAnsi="Times New Roman" w:cs="Times New Roman"/>
          <w:sz w:val="20"/>
          <w:szCs w:val="20"/>
        </w:rPr>
        <w:t xml:space="preserve">A folyamat szíve az Automatizált Értékbecslő Rendszer (Automated Valuation Machine, AVM). A rendszer alapja egy globális standardizáció, ahol elméletben egy REX részvény a világ átlagos egy négyzetméternyi lakóingatlan-értékét reprezentálja. Amikor egy tulajdonos regisztrálja az ingatlanát, az AVM adatbányászati és gépi tanulási algoritmusok segítségével megvizsgálja a lokális adatokat (például egy adott kerület indexét), és az ingatlan egyedi jellemzői alapján prémiumot vagy diszkontot állapít meg. Ha egy adott régióban az átlagár négyzetméterenként </w:t>
      </w:r>
      <w:r w:rsidR="0082722C">
        <w:rPr>
          <w:rFonts w:ascii="Times New Roman" w:hAnsi="Times New Roman" w:cs="Times New Roman"/>
          <w:sz w:val="20"/>
          <w:szCs w:val="20"/>
        </w:rPr>
        <w:t>1000</w:t>
      </w:r>
      <w:r w:rsidRPr="004E2E10">
        <w:rPr>
          <w:rFonts w:ascii="Times New Roman" w:hAnsi="Times New Roman" w:cs="Times New Roman"/>
          <w:sz w:val="20"/>
          <w:szCs w:val="20"/>
        </w:rPr>
        <w:t xml:space="preserve"> dollár</w:t>
      </w:r>
      <w:r w:rsidR="0082722C">
        <w:rPr>
          <w:rFonts w:ascii="Times New Roman" w:hAnsi="Times New Roman" w:cs="Times New Roman"/>
          <w:sz w:val="20"/>
          <w:szCs w:val="20"/>
        </w:rPr>
        <w:t xml:space="preserve"> -</w:t>
      </w:r>
      <w:r w:rsidRPr="004E2E10">
        <w:rPr>
          <w:rFonts w:ascii="Times New Roman" w:hAnsi="Times New Roman" w:cs="Times New Roman"/>
          <w:sz w:val="20"/>
          <w:szCs w:val="20"/>
        </w:rPr>
        <w:t xml:space="preserve"> amely </w:t>
      </w:r>
      <w:r w:rsidR="0082722C">
        <w:rPr>
          <w:rFonts w:ascii="Times New Roman" w:hAnsi="Times New Roman" w:cs="Times New Roman"/>
          <w:sz w:val="20"/>
          <w:szCs w:val="20"/>
        </w:rPr>
        <w:t xml:space="preserve">így </w:t>
      </w:r>
      <w:r w:rsidRPr="004E2E10">
        <w:rPr>
          <w:rFonts w:ascii="Times New Roman" w:hAnsi="Times New Roman" w:cs="Times New Roman"/>
          <w:sz w:val="20"/>
          <w:szCs w:val="20"/>
        </w:rPr>
        <w:t>pont egy REX részvény</w:t>
      </w:r>
      <w:r w:rsidR="0082722C">
        <w:rPr>
          <w:rFonts w:ascii="Times New Roman" w:hAnsi="Times New Roman" w:cs="Times New Roman"/>
          <w:sz w:val="20"/>
          <w:szCs w:val="20"/>
        </w:rPr>
        <w:t xml:space="preserve"> árának</w:t>
      </w:r>
      <w:r w:rsidRPr="004E2E10">
        <w:rPr>
          <w:rFonts w:ascii="Times New Roman" w:hAnsi="Times New Roman" w:cs="Times New Roman"/>
          <w:sz w:val="20"/>
          <w:szCs w:val="20"/>
        </w:rPr>
        <w:t xml:space="preserve"> felel meg</w:t>
      </w:r>
      <w:r w:rsidR="0082722C">
        <w:rPr>
          <w:rFonts w:ascii="Times New Roman" w:hAnsi="Times New Roman" w:cs="Times New Roman"/>
          <w:sz w:val="20"/>
          <w:szCs w:val="20"/>
        </w:rPr>
        <w:t xml:space="preserve"> -</w:t>
      </w:r>
      <w:r w:rsidRPr="004E2E10">
        <w:rPr>
          <w:rFonts w:ascii="Times New Roman" w:hAnsi="Times New Roman" w:cs="Times New Roman"/>
          <w:sz w:val="20"/>
          <w:szCs w:val="20"/>
        </w:rPr>
        <w:t xml:space="preserve">, de az adott ingatlan luxus kivitelezésű, a rendszer </w:t>
      </w:r>
      <w:r w:rsidR="0082722C">
        <w:rPr>
          <w:rFonts w:ascii="Times New Roman" w:hAnsi="Times New Roman" w:cs="Times New Roman"/>
          <w:sz w:val="20"/>
          <w:szCs w:val="20"/>
        </w:rPr>
        <w:t>1300</w:t>
      </w:r>
      <w:r w:rsidRPr="004E2E10">
        <w:rPr>
          <w:rFonts w:ascii="Times New Roman" w:hAnsi="Times New Roman" w:cs="Times New Roman"/>
          <w:sz w:val="20"/>
          <w:szCs w:val="20"/>
        </w:rPr>
        <w:t xml:space="preserve"> dollárra értékelheti a négyzetméterét. Ebben az esetben a tulajdonos minden felkínált négyzetméter után 1.3 REX részvényt kap. Ez a diszkontálási és prémiumképzési eljárás biztosítja, hogy a másodlagos piacon forgó REX részvények teljesen homogének maradjanak, függetlenül attól, hogy eredetileg egy budapesti panelből vagy egy londoni luxuslakásból származnak, ami elengedhetetlen a globális likviditási poolok működéséhez.</w:t>
      </w:r>
    </w:p>
    <w:p w14:paraId="53BAEFE3" w14:textId="77777777" w:rsidR="002107D7" w:rsidRPr="004E2E10" w:rsidRDefault="002107D7" w:rsidP="004E2E10">
      <w:pPr>
        <w:jc w:val="both"/>
        <w:rPr>
          <w:rFonts w:ascii="Times New Roman" w:hAnsi="Times New Roman" w:cs="Times New Roman"/>
          <w:sz w:val="20"/>
          <w:szCs w:val="20"/>
        </w:rPr>
      </w:pPr>
    </w:p>
    <w:p w14:paraId="7C1DDB45" w14:textId="4591B846" w:rsidR="002C4387" w:rsidRPr="004E2E10" w:rsidRDefault="002107D7" w:rsidP="004E2E10">
      <w:pPr>
        <w:jc w:val="both"/>
        <w:rPr>
          <w:rFonts w:ascii="Times New Roman" w:hAnsi="Times New Roman" w:cs="Times New Roman"/>
          <w:color w:val="000000"/>
          <w:kern w:val="0"/>
          <w:sz w:val="20"/>
          <w:szCs w:val="20"/>
        </w:rPr>
      </w:pPr>
      <w:r w:rsidRPr="004E2E10">
        <w:rPr>
          <w:rFonts w:ascii="Times New Roman" w:hAnsi="Times New Roman" w:cs="Times New Roman"/>
          <w:sz w:val="20"/>
          <w:szCs w:val="20"/>
        </w:rPr>
        <w:t>A kibocsátott részvények mögött minden esetben valós, nettó eszközérték (NAV) alapú fedezet áll, amelyet a REX mint jogi entitás az ingatlan-nyilvántartásban is rögzít. Amikor a tulajdonos vissza kívánja vásárolni a felkínált részesedést, azt a mindenkori piaci (index) áron kell megtennie, függetlenül attól, hogy a REX részvények időközben hányszor cseréltek gazdát a piacon. Ha az ingatlanpiac emelkedett a tartási időszak alatt, a tulajdonosnak a felárral növelt értéket kell kifizetnie, ha viszont a piac esett, olcsóbban vásárolhatja vissza a saját tulajdonrészét. Ez a mechanizmus egy beépített kockázatkezelési eszközt ad a lakosság kezébe az ingatlanpiaci áresésekkel szemben. Ingatlanértékesítés esetén a REX, mint résztulajdonos, automatikusan érvényesíti a tőke- és hozamigényét a vételárból, amelyet a platform a transzparencia jegyében minden esetben jóváhagy, kivéve a nyilvánvalóan fraudulens, mélyen piaci ár alatti tranzakciók kísérletét.</w:t>
      </w:r>
      <w:r w:rsidR="002C4387" w:rsidRPr="004E2E10">
        <w:rPr>
          <w:rFonts w:ascii="Times New Roman" w:hAnsi="Times New Roman" w:cs="Times New Roman"/>
          <w:sz w:val="20"/>
          <w:szCs w:val="20"/>
        </w:rPr>
        <w:br w:type="page"/>
      </w:r>
    </w:p>
    <w:p w14:paraId="2F6F02AC" w14:textId="46531372"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Stresszteszt és forgatókönyv-elemzés </w:t>
      </w:r>
    </w:p>
    <w:p w14:paraId="2A23BF32" w14:textId="69826036"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A REX architektúra stabilitásának alapja a likviditási mélység pontos meghatározása az Állandó Szorzatú Automata Árjegyző (CPMM) lokális pooljaiban. A rendszer egy hierarchikus fa-struktúrát alkalmaz, ahol az aggregált indexek (például az EU REX Index) tőkepiaci súlyozással épülnek fel. A nemzeti komponensek súlyát úgy kapjuk meg, hogy az adott ország átlagos négyzetméterárát megszorozzuk az ország teljes lakóingatlan-állományának méretével, majd ezt a kapott értéket viszonyítjuk a teljes uniós ingatlanvagyonhoz. Ezt a metodikát alkalmazzuk minden vizsgált piac (például Magyarország, Németország, Franciaország) esetében, biztosítva a reális tőkesúlyt a felsőbb szinteken.</w:t>
      </w:r>
    </w:p>
    <w:p w14:paraId="6CA14011" w14:textId="49B1D9D9"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Bár az intézményi tőke ezekbe a magasabb szintű (regionális, globális) indexekbe áramlik, a kereskedési volumen végrehajtása és a tőkefelszabadítás (equity offering) fizikailag a legalsó levélcsomópontokban (leaf nodes) – azaz a specifikus kerületi vagy városi poolokban – történik. A rendszer kritikus technikai követelménye, hogy ezek a lokális poolok szigorú, 1%-os maximális árfolyamcsúszás (slippage) mellett is képesek legyenek elnyelni az 5%, 10% vagy 15%-os egyösszegű tulajdonrész-értékesítéseket.</w:t>
      </w:r>
    </w:p>
    <w:p w14:paraId="51B88133" w14:textId="46FF38B1"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A szükséges poolméret meghatározásához a CPMM fundamentális matematikáját alkalmazzuk. Az árfolyamcsúszás (S) a poolba helyezett részvények (ΔX) és a poolban lévő eredeti részvénykészlet (X) arányából adódik, melyet az S=ΔX/(X+ΔX) egyenlet ír le. Mivel a cél az 1%-os maximális csúszás garantálása (S=0.01), az egyenlet átrendezésével megkapjuk a fundamentális tőkekövetelményt: X=99</w:t>
      </w:r>
      <w:r w:rsidRPr="00550773">
        <w:rPr>
          <w:rFonts w:ascii="Cambria Math" w:hAnsi="Cambria Math" w:cs="Cambria Math"/>
          <w:sz w:val="20"/>
          <w:szCs w:val="20"/>
        </w:rPr>
        <w:t>⋅</w:t>
      </w:r>
      <w:r w:rsidRPr="00550773">
        <w:rPr>
          <w:rFonts w:ascii="Times New Roman" w:hAnsi="Times New Roman" w:cs="Times New Roman"/>
          <w:sz w:val="20"/>
          <w:szCs w:val="20"/>
        </w:rPr>
        <w:t>ΔX. Mivel a CPMM rendszer a tranzakció pillanatában egyensúlyban van, ez a dollárban kifejezett készpénztartalékra (Y) is igaz. A lokális poolnak tehát a felkínált ingatlantőke dollárértékének pontosan 99-szeresével kell rendelkeznie készpénzben.</w:t>
      </w:r>
    </w:p>
    <w:p w14:paraId="1D049AA8" w14:textId="482EB67E"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Vizsgáljuk meg a 99-szeres likviditási szorzó tőkekövetelményeit két eltérő árfekvésű piacon, egységesen 80 négyzetméteres átlagos ingatlanmérettel számolva:</w:t>
      </w:r>
    </w:p>
    <w:p w14:paraId="2DFB39AC" w14:textId="431BD198"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Budapesten 3 000 USD/m² átlagárral számolva a teljes ingatlanérték 240 000 USD. Ha a tulajdonos a tőkéjének 5%-át (12 000 USD) kívánja felszabadítani, az 1%-os csúszás garantálásához a lokális budapesti poolnak 1 188 000 USD készpénztartalékkal kell rendelkeznie. Egy 10%-os részesedés (24 000 USD) felkínálása esetén a likviditási igény 2 376 000 USD, míg egy 15%-os tranzakció (36 000 USD) elnyeléséhez már 3 564 000 USD dedikált készpénzmélység szükséges.</w:t>
      </w:r>
    </w:p>
    <w:p w14:paraId="4C8CB5F7" w14:textId="1D449B8C" w:rsidR="00550773" w:rsidRPr="00550773"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Münchenben, ahol a 10 000 USD/m² átlagár miatt a vizsgált ingatlan összértéke 800 000 USD, a tőkekövetelmények drasztikusan magasabbak. Egy 5%-os tulajdonrész (40 000 USD) piacra dobása azonnal 3 960 000 USD készpénzmélységet követel meg a müncheni pooltól. Egy 10%-os (80 000 USD) tőkefelszabadítás esetén ez az érték 7 920 000 USD, míg a maximális, 15%-os részesedés (120 000 USD) értékesítésekor a helyi levélcsomópontnak 11 880 000 USD készpénztartalékkal kell bírnia az 1%-os slippage limit megtartásához.</w:t>
      </w:r>
    </w:p>
    <w:p w14:paraId="4C5C79A8" w14:textId="4D2D9A39" w:rsidR="002C4387" w:rsidRPr="004E2E10" w:rsidRDefault="00550773" w:rsidP="00550773">
      <w:pPr>
        <w:jc w:val="both"/>
        <w:rPr>
          <w:rFonts w:ascii="Times New Roman" w:hAnsi="Times New Roman" w:cs="Times New Roman"/>
          <w:sz w:val="20"/>
          <w:szCs w:val="20"/>
        </w:rPr>
      </w:pPr>
      <w:r w:rsidRPr="00550773">
        <w:rPr>
          <w:rFonts w:ascii="Times New Roman" w:hAnsi="Times New Roman" w:cs="Times New Roman"/>
          <w:sz w:val="20"/>
          <w:szCs w:val="20"/>
        </w:rPr>
        <w:t>Ezek a számítások igazolják, hogy a REX indexek hiába aggregálnak globális tőkét, a protokoll technikai stabilitása és másodlagos piaci funkcionalitása kizárólag azon múlik, hogy a Genezis poolok feltöltésekor a legspecifikusabb lokális csomópontok rendelkeznek-e a mögöttes ingatlanárakhoz igazított, 99-szeres likviditási multiplikátorral.</w:t>
      </w:r>
      <w:r w:rsidR="002107D7" w:rsidRPr="002107D7">
        <w:rPr>
          <w:rFonts w:ascii="Times New Roman" w:hAnsi="Times New Roman" w:cs="Times New Roman"/>
          <w:sz w:val="20"/>
          <w:szCs w:val="20"/>
        </w:rPr>
        <w:t>.</w:t>
      </w:r>
      <w:r w:rsidR="002C4387" w:rsidRPr="004E2E10">
        <w:rPr>
          <w:rFonts w:ascii="Times New Roman" w:hAnsi="Times New Roman" w:cs="Times New Roman"/>
          <w:sz w:val="20"/>
          <w:szCs w:val="20"/>
        </w:rPr>
        <w:br w:type="page"/>
      </w:r>
    </w:p>
    <w:p w14:paraId="48FFB7A8" w14:textId="2071E49F"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Díjstruktúra megtervezése </w:t>
      </w:r>
    </w:p>
    <w:p w14:paraId="1E700299"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dinamikus, volumengenerált díjak jelentős bizalmatlanságot és tervezhetetlenséget szülnek egy olyan környezetben, ahol a lakástulajdonosok a legértékesebb vagyontárgyukat vonják be fedezetként, a befektetők pedig precíziós, lokális kitettséget keresnek. Ennek kiküszöbölésére és a platform egyedülálló szintetikus értékajánlatának monetizálására a REX egy szigorúan fixált, tranzakció-alapú architektúrát alkalmaz, amely tudatosan magasabb belépési és kilépési pontokat határoz meg, cserébe viszont teljes mértékben eliminálja a hagyományos pénzügyi rendszerek leginkább értékromboló elemeit: az éveszköz-arányos (AUM) alapkezelési díjakat, a teljesítményarányos sikerdíjakat és a kamatos kamat elvén felhalmozódó adósságszolgálatot. A REX portfólió tartása a befektetők és a tőkefelszabadító tulajdonosok számára egyaránt költségmentes, a rendszer működését az eszközéletciklushoz kötött rögzített levonások biztosítják.</w:t>
      </w:r>
    </w:p>
    <w:p w14:paraId="4A207356" w14:textId="77777777" w:rsidR="003D3C39" w:rsidRPr="003D3C39" w:rsidRDefault="003D3C39" w:rsidP="003D3C39">
      <w:pPr>
        <w:jc w:val="both"/>
        <w:rPr>
          <w:rFonts w:ascii="Times New Roman" w:hAnsi="Times New Roman" w:cs="Times New Roman"/>
          <w:sz w:val="20"/>
          <w:szCs w:val="20"/>
        </w:rPr>
      </w:pPr>
    </w:p>
    <w:p w14:paraId="59F5763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rendszer díjstruktúrájának első eleme a két százalékos Kibocsátási és Értékbecslési Díj (Origination Fee). Ezt a lakástulajdonos fizeti a tranzakció kezdetekor, amelyet az okosszerződés automatikusan levon a felszabadított tőkeértékből a folyósítás pillanatában. Ez az egyszeri költség integráltan fedezi az Automatizált Értékbecslő Rendszer (AVM) gépi futtatását, az ügyfél-azonosítási és pénzmosás elleni (KYC/AML) ellenőrzéseket, a jogi dokumentáció algoritmikus generálását, valamint a legkritikusabb fizikai lépést: a földhivatali, ingatlan-nyilvántartási bejegyzés adminisztrációját. Bár a két százalékos belépési küszöb nominálisan magasnak tűnhet egy értékpapírpiaci tranzakcióhoz képest, a valóságban ez az a prémium, amelyet az ügyfél az adósságmentes tőkefelszabadítás jogi és technológiai struktúrájáért fizet.</w:t>
      </w:r>
    </w:p>
    <w:p w14:paraId="38C5233A" w14:textId="77777777" w:rsidR="003D3C39" w:rsidRPr="003D3C39" w:rsidRDefault="003D3C39" w:rsidP="003D3C39">
      <w:pPr>
        <w:jc w:val="both"/>
        <w:rPr>
          <w:rFonts w:ascii="Times New Roman" w:hAnsi="Times New Roman" w:cs="Times New Roman"/>
          <w:sz w:val="20"/>
          <w:szCs w:val="20"/>
        </w:rPr>
      </w:pPr>
    </w:p>
    <w:p w14:paraId="7DE53C96" w14:textId="7CE238DA"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 xml:space="preserve">A másodlagos piaci likviditás fenntartását a rendszer egy kombinált, 0.5 százalékos kereskedési díj és az AMM modellből fakadó természetes árfolyamrés (spread) kettőse biztosítja. Ezt a díjat az a befektető fizeti, aki a másodlagos piacon REX részvényt ad el vagy vásárol. Itt érvényesül leginkább a REX hierarchikus fa-struktúrájának architekturális </w:t>
      </w:r>
      <w:r w:rsidR="006D56F2">
        <w:rPr>
          <w:rFonts w:ascii="Times New Roman" w:hAnsi="Times New Roman" w:cs="Times New Roman"/>
          <w:sz w:val="20"/>
          <w:szCs w:val="20"/>
        </w:rPr>
        <w:t>innovációja</w:t>
      </w:r>
      <w:r w:rsidRPr="003D3C39">
        <w:rPr>
          <w:rFonts w:ascii="Times New Roman" w:hAnsi="Times New Roman" w:cs="Times New Roman"/>
          <w:sz w:val="20"/>
          <w:szCs w:val="20"/>
        </w:rPr>
        <w:t xml:space="preserve">. Amikor egy intézményi befektető az aggregált EU REX Indexbe fektet be, a rendszer a tőkesúlyok alapján algoritmikusan szétbontja a megbízást, és a likviditási terhelés a legalsó levélcsomópontokban (leaf nodes) – a német, magyar, lengyel és egyéb lokális poolokban – csapódik le. A levont 0.5 százalékos tranzakciós díj </w:t>
      </w:r>
      <w:r w:rsidR="006D56F2">
        <w:rPr>
          <w:rFonts w:ascii="Times New Roman" w:hAnsi="Times New Roman" w:cs="Times New Roman"/>
          <w:sz w:val="20"/>
          <w:szCs w:val="20"/>
        </w:rPr>
        <w:t xml:space="preserve">egy része </w:t>
      </w:r>
      <w:r w:rsidRPr="003D3C39">
        <w:rPr>
          <w:rFonts w:ascii="Times New Roman" w:hAnsi="Times New Roman" w:cs="Times New Roman"/>
          <w:sz w:val="20"/>
          <w:szCs w:val="20"/>
        </w:rPr>
        <w:t>nem a REX központi vállalatát gazdagítja, hanem azonnal és célzottan visszaforog ezekbe a lokális, mikroszintű Genezis Poolokba. Ez a mechanizmus folyamatosan növeli a lokális piacok készpénz- és token-tartalékait, organikus tőkeellátást biztosítva a leginkább sebezhető végpontokon, miközben a matematikai spread tompítja a magas frekvenciájú, rendszert terhelő arbitrázs okozta károkat.</w:t>
      </w:r>
    </w:p>
    <w:p w14:paraId="5E52427F" w14:textId="77777777" w:rsidR="003D3C39" w:rsidRPr="003D3C39" w:rsidRDefault="003D3C39" w:rsidP="003D3C39">
      <w:pPr>
        <w:jc w:val="both"/>
        <w:rPr>
          <w:rFonts w:ascii="Times New Roman" w:hAnsi="Times New Roman" w:cs="Times New Roman"/>
          <w:sz w:val="20"/>
          <w:szCs w:val="20"/>
        </w:rPr>
      </w:pPr>
    </w:p>
    <w:p w14:paraId="14CDF3A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Az életciklus harmadik, egyben utolsó eleme a két százalékos Zárási Díj (Settlement Fee). Ezt a lakástulajdonos fizeti a tőke visszavásárlásakor, vagy az ingatlan teljes értékesítésekor a tranzakcióból kerül levonásra. Ez a díj realizálja a platform tiszta nyereségét, fedezve a digitális tokenek okosszerződés általi elégetési (burn) folyamatát és a fedezetfelszabadítás fizikai, jogi lezárását. Mivel a modellből hiányzik a folyamatos vagyonkezelési díj, a cég érdeke tökéletesen megegyezik az ügyfélével: a profit csak a sikeres, végleges életciklus-záráskor realizálódik.</w:t>
      </w:r>
    </w:p>
    <w:p w14:paraId="3C092EA0" w14:textId="77777777" w:rsidR="003D3C39" w:rsidRPr="003D3C39" w:rsidRDefault="003D3C39" w:rsidP="003D3C39">
      <w:pPr>
        <w:jc w:val="both"/>
        <w:rPr>
          <w:rFonts w:ascii="Times New Roman" w:hAnsi="Times New Roman" w:cs="Times New Roman"/>
          <w:sz w:val="20"/>
          <w:szCs w:val="20"/>
        </w:rPr>
      </w:pPr>
    </w:p>
    <w:p w14:paraId="474E8B9D" w14:textId="50D6B6E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 xml:space="preserve">A REX árazási ereje és a kétszer két százalékos életciklus-díj, valamint a másodlagos piaci prémium létjogosultsága kizárólag a hagyományos hitel- és tőkepiaci alternatívákkal (HELOC, </w:t>
      </w:r>
      <w:r w:rsidR="006D56F2" w:rsidRPr="003D3C39">
        <w:rPr>
          <w:rFonts w:ascii="Times New Roman" w:hAnsi="Times New Roman" w:cs="Times New Roman"/>
          <w:sz w:val="20"/>
          <w:szCs w:val="20"/>
        </w:rPr>
        <w:t>HEL</w:t>
      </w:r>
      <w:r w:rsidR="006D56F2">
        <w:rPr>
          <w:rFonts w:ascii="Times New Roman" w:hAnsi="Times New Roman" w:cs="Times New Roman"/>
          <w:sz w:val="20"/>
          <w:szCs w:val="20"/>
        </w:rPr>
        <w:t>OAN</w:t>
      </w:r>
      <w:r w:rsidRPr="003D3C39">
        <w:rPr>
          <w:rFonts w:ascii="Times New Roman" w:hAnsi="Times New Roman" w:cs="Times New Roman"/>
          <w:sz w:val="20"/>
          <w:szCs w:val="20"/>
        </w:rPr>
        <w:t>, REIT, ETF) való komparatív elemzésen keresztül érthető meg. A lakossági tőkefelszabadítás piacán az elsődleges versenytársak a lakáscélú hitelkeretek (HELOC) és a fix kamatozású lakáshitelek (HEL</w:t>
      </w:r>
      <w:r w:rsidR="006D56F2">
        <w:rPr>
          <w:rFonts w:ascii="Times New Roman" w:hAnsi="Times New Roman" w:cs="Times New Roman"/>
          <w:sz w:val="20"/>
          <w:szCs w:val="20"/>
        </w:rPr>
        <w:t>OAN</w:t>
      </w:r>
      <w:r w:rsidRPr="003D3C39">
        <w:rPr>
          <w:rFonts w:ascii="Times New Roman" w:hAnsi="Times New Roman" w:cs="Times New Roman"/>
          <w:sz w:val="20"/>
          <w:szCs w:val="20"/>
        </w:rPr>
        <w:t xml:space="preserve">). Ezek az instrumentumok fundamentálisan adósságra épülnek. Amikor egy tulajdonos felvesz egy </w:t>
      </w:r>
      <w:r w:rsidR="006D56F2" w:rsidRPr="003D3C39">
        <w:rPr>
          <w:rFonts w:ascii="Times New Roman" w:hAnsi="Times New Roman" w:cs="Times New Roman"/>
          <w:sz w:val="20"/>
          <w:szCs w:val="20"/>
        </w:rPr>
        <w:t>HEL</w:t>
      </w:r>
      <w:r w:rsidR="006D56F2">
        <w:rPr>
          <w:rFonts w:ascii="Times New Roman" w:hAnsi="Times New Roman" w:cs="Times New Roman"/>
          <w:sz w:val="20"/>
          <w:szCs w:val="20"/>
        </w:rPr>
        <w:t>OAN</w:t>
      </w:r>
      <w:r w:rsidRPr="003D3C39">
        <w:rPr>
          <w:rFonts w:ascii="Times New Roman" w:hAnsi="Times New Roman" w:cs="Times New Roman"/>
          <w:sz w:val="20"/>
          <w:szCs w:val="20"/>
        </w:rPr>
        <w:t xml:space="preserve">-t, jellemzően kettő és öt százalék közötti folyósítási, értékbecslési és közjegyzői zárási költséget (closing costs) fizet ki azonnal. Ezt követően egy olyan fix, jelenlegi környezetben gyakran hét-kilenc százalékos éves kamatlábat kell fizetnie, amely az évek során drasztikusan erodálja a vagyonát, és havi szintű készpénzkiáramlást (cash-flow drain) okoz. A HELOC esetében a változó kamatozás miatt a tulajdonos a jegybanki alapkamat-emelések azonnali hatásának van kitéve. A REX két százalékos nyitó és két százalékos záró díja ezzel szemben egy végleges, rögzített költség. A tulajdonos nem fizet kamatot, nincs havi törlesztőrészlete, és nincs kényszerlikvidációs kockázata a </w:t>
      </w:r>
      <w:r w:rsidRPr="003D3C39">
        <w:rPr>
          <w:rFonts w:ascii="Times New Roman" w:hAnsi="Times New Roman" w:cs="Times New Roman"/>
          <w:sz w:val="20"/>
          <w:szCs w:val="20"/>
        </w:rPr>
        <w:lastRenderedPageBreak/>
        <w:t xml:space="preserve">jövedelemkiesés miatt. A REX prémiumának hozzáadott értéke </w:t>
      </w:r>
      <w:r w:rsidR="006D56F2">
        <w:rPr>
          <w:rFonts w:ascii="Times New Roman" w:hAnsi="Times New Roman" w:cs="Times New Roman"/>
          <w:sz w:val="20"/>
          <w:szCs w:val="20"/>
        </w:rPr>
        <w:t>a rugalmasság</w:t>
      </w:r>
      <w:r w:rsidRPr="003D3C39">
        <w:rPr>
          <w:rFonts w:ascii="Times New Roman" w:hAnsi="Times New Roman" w:cs="Times New Roman"/>
          <w:sz w:val="20"/>
          <w:szCs w:val="20"/>
        </w:rPr>
        <w:t xml:space="preserve"> a készpénzszegény háztartások számára.</w:t>
      </w:r>
    </w:p>
    <w:p w14:paraId="0AB05468" w14:textId="77777777" w:rsidR="003D3C39" w:rsidRPr="003D3C39" w:rsidRDefault="003D3C39" w:rsidP="003D3C39">
      <w:pPr>
        <w:jc w:val="both"/>
        <w:rPr>
          <w:rFonts w:ascii="Times New Roman" w:hAnsi="Times New Roman" w:cs="Times New Roman"/>
          <w:sz w:val="20"/>
          <w:szCs w:val="20"/>
        </w:rPr>
      </w:pPr>
      <w:r w:rsidRPr="003D3C39">
        <w:rPr>
          <w:rFonts w:ascii="Times New Roman" w:hAnsi="Times New Roman" w:cs="Times New Roman"/>
          <w:sz w:val="20"/>
          <w:szCs w:val="20"/>
        </w:rPr>
        <w:t>A befektetői oldalon a REX közvetlen alternatívái a Real Estate Investment Trust (REIT) alapok és az ingatlanpiaci ETF-ek. A hagyományos, nem tőzsdén forgalmazott zártvégű REIT-ek (mint a globális piacot domináló intézményi alapok) átláthatatlan és rendkívül magas belső díjstruktúrával operálnak. Jellemző az egy-másfél százalékos éves alapkezelési díj, amelyet kiegészít egy tizenkettő-húsz százalék közötti teljesítményarányos sikerdíj a meghatározott hozamküszöb felett. Egy öt éves tartási időszak alatt ezek a folyamatos levonások masszív mértékben felemésztik az eszköz nettó értékét. A REX esetében a nulla százalékos AUM díj garantálja, hogy az inflációkövető ingatlanpiaci hozam teljes egészében a befektetőnél marad.</w:t>
      </w:r>
    </w:p>
    <w:p w14:paraId="20E32861" w14:textId="6527D477" w:rsidR="002C4387" w:rsidRPr="004E2E10" w:rsidRDefault="003D3C39" w:rsidP="003D3C39">
      <w:pPr>
        <w:jc w:val="both"/>
        <w:rPr>
          <w:rFonts w:ascii="Times New Roman" w:hAnsi="Times New Roman" w:cs="Times New Roman"/>
          <w:color w:val="000000"/>
          <w:kern w:val="0"/>
          <w:sz w:val="20"/>
          <w:szCs w:val="20"/>
        </w:rPr>
      </w:pPr>
      <w:r w:rsidRPr="003D3C39">
        <w:rPr>
          <w:rFonts w:ascii="Times New Roman" w:hAnsi="Times New Roman" w:cs="Times New Roman"/>
          <w:sz w:val="20"/>
          <w:szCs w:val="20"/>
        </w:rPr>
        <w:t>A tőzsdén forgalmazott ingatlan ETF-ek (mint például a Vanguard termékei) valóban kínálnak ultra-alacsony, akár 0.10 százalékos éves költséghányadot, azonban az általuk biztosított kitettség minőségében és fókuszában összehasonlíthatatlanok a REX rendszerével. Egy globális ingatlan ETF jellemzően logisztikai központokat, irodaházakat és gigantikus kereskedelmi fejlesztéseket vásárol. Ezek a makroszintű eszközök erős korrelációt mutatnak a szélesebb gazdasági válságokkal és az intézményi bérleti piac összeomlásával, miközben teljesen érzéketlenek a lakossági ingatlanpiac organikus, lokális ármozgásaira. A REX másodlagos piacán alkalmazott 0.5 százalékos kereskedési díj és az AMM spread az az ár, amit az intézményi és lakossági befektetők a példátlan granularitásért és exkluzivitásért fizetnek. A REX az első olyan rendszer, amely lehetővé teszi a piac számára, hogy tisztán, működési és bérlői kockázatok nélkül vásárolja meg egy specifikus kerület, például egy varsói vagy budapesti mikrorégió lakóingatlan-piacának egy négyzetméterre vetített ármozgását. Az illikvid, egyedi lakóingatlan-tőke másodpercek alatt tranzaktálható szintetikus eszközzé alakítása olyan hatalmas pénzügyi innováció, amely technológiai és hozzáférhetőségi monopóliumot biztosít a platformnak, maximálisan indokolva és fenntarthatóvá téve a fixált, prémium díjstruktúrát.</w:t>
      </w:r>
      <w:r w:rsidR="002C4387" w:rsidRPr="004E2E10">
        <w:rPr>
          <w:rFonts w:ascii="Times New Roman" w:hAnsi="Times New Roman" w:cs="Times New Roman"/>
          <w:sz w:val="20"/>
          <w:szCs w:val="20"/>
        </w:rPr>
        <w:br w:type="page"/>
      </w:r>
    </w:p>
    <w:p w14:paraId="78D00117" w14:textId="12B41054" w:rsidR="00222749" w:rsidRPr="004E2E10" w:rsidRDefault="00222749" w:rsidP="004E2E10">
      <w:pPr>
        <w:pStyle w:val="Default"/>
        <w:numPr>
          <w:ilvl w:val="0"/>
          <w:numId w:val="2"/>
        </w:numPr>
        <w:ind w:left="0" w:firstLine="0"/>
        <w:jc w:val="both"/>
        <w:rPr>
          <w:sz w:val="20"/>
          <w:szCs w:val="20"/>
        </w:rPr>
      </w:pPr>
      <w:r w:rsidRPr="004E2E10">
        <w:rPr>
          <w:sz w:val="20"/>
          <w:szCs w:val="20"/>
        </w:rPr>
        <w:lastRenderedPageBreak/>
        <w:t xml:space="preserve">Piackutatás (PESTEL, SWOT, kereslet) </w:t>
      </w:r>
    </w:p>
    <w:p w14:paraId="4418E7A3" w14:textId="343EC91F" w:rsidR="002107D7" w:rsidRPr="004E2E10" w:rsidRDefault="002107D7" w:rsidP="004E2E10">
      <w:pPr>
        <w:jc w:val="both"/>
        <w:rPr>
          <w:rFonts w:ascii="Times New Roman" w:hAnsi="Times New Roman" w:cs="Times New Roman"/>
          <w:sz w:val="20"/>
          <w:szCs w:val="20"/>
        </w:rPr>
      </w:pPr>
    </w:p>
    <w:p w14:paraId="0F0A1D54"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REX architektúra piaci pozicionálását vizsgálva a politikai és szabályozói környezet jelenti a legnagyobb akadályt, de egyben a legszélesebb védvonalat is. A hagyományos Real Estate ETF-ek, mint a Vanguard VNQI, vagy a nyilvánosan forgalmazott REIT-ek a legszigorúbb tőzsdefelügyeleti keretek között működnek. Ezzel szemben a tokenizált lakossági ingatlantőke egy szabályozói szürkezónában mozog. A politikai nyomás kettős jellegű: egyrészt a kormányzatok a lakhatási válság és a magas kamatkörnyezet miatt támogatják a lakossági teherviselést csökkentő innovációkat, másrészt a hagyományos bankrendszer – amelynek a HELOC és a HELoan termékek masszív kamatbevételeket generálnak – erős lobbitevékenységet folytat az adósságmentes alternatívák ellen. A REX rendszernek politikai és jogi szinten kell bizonyítania, hogy a tokenizált részvények és az AMM poolokban forgó eszközök nem minősülnek engedély nélküli értékpapír-kibocsátásnak, hanem egy új, szabályozott szintetikus eszközosztályt képviselnek, amely transzparens, a nemzeti földhivatali rendszerekkel szinkronizálható jogi és adózási keretrendszerrel rendelkezik.</w:t>
      </w:r>
    </w:p>
    <w:p w14:paraId="1213D877"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jelenlegi makrogazdasági környezet a REX modell legfőbb katalizátora. A magas jegybanki alapkamatok drasztikusan megdrágították a hagyományos hiteltermékeket. Egy rulírozó HELOC vagy egy fix kamatozású HELoan jelenleg olyan magas kamatfelárat tartalmaz, amely a készpénzszegény lakástulajdonosok számára finanszírozhatatlanná teszi a tőkefelszabadítást, és növeli a kényszerlikvidáció kockázatát. A REX ezzel szemben kamat- és adósságmentes likviditást biztosít. Befektetői oldalon a makrogazdasági fókusz a hozamkeresésről a precíziós diverzifikációra tolódott. Míg a masszív REIT és ETF szektor elsősorban kereskedelmi ingatlan kitettséggel rendelkezik, amely erősen korrelál a gazdasági ciklusokkal, a REX a globális lakóingatlan-piac mikroszintű, inflációkövető ármozgásait teszi elérhetővé. Társadalmi szinten egyértelmű az eltolódás a digitális vagyonkezelés felé. Az idősebb generációk kénytelenek felszabadítani az ingatlanukban lévő tőkét anélkül, hogy elhagynák otthonukat, míg a fiatalabb befektetői rétegek a lassú, átláthatatlan zártvégű alapok helyett az azonnali elszámolású, tört részvényes alternatívákat keresik. A REX technológiai fölénye, az okosszerződések és az Automatizált Értékbecslő Rendszer alkalmazása teszi lehetővé, hogy ez a két demográfiai véglet egyetlen, közvetítők nélküli likviditási poolban találkozzon.</w:t>
      </w:r>
    </w:p>
    <w:p w14:paraId="1E640282"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REX rendszer stratégiai versenyelemzése és piaci potenciálja</w:t>
      </w:r>
    </w:p>
    <w:p w14:paraId="7DC0EE52"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platform stratégiai pozícióját vizsgálva a modell legfőbb erőssége az adósságmentes tőkefelszabadítás mechanizmusában rejlik. A hagyományos banki konstrukciókkal ellentétben a REX tisztán tőkealapú kockázatmegosztást alkalmaz, így nem terheli havi törlesztőrészlettel a tulajdonost, megszüntetve a kamatláb-kockázatot. Szintén hatalmas versenyelőny az illikvid eszközök azonnali likviddé tétele. Míg a nagy zártvégű REIT-ek havi vagy negyedéves szinten szigorúan limitálják a visszaváltásokat, a REX az automatizált árjegyzőkön keresztül folyamatos, azonnali elszámolású likviditást garantál. Intézményi szempontból a hiper-granuláris kitettség jelent paradigmaváltást: a rendszer lehetővé teszi, hogy a befektetők ne csak makroszintű portfóliókat vásároljanak, hanem akár egyetlen specifikus kerület lakóingatlan-piacának organikus hozamát is megszerezzék.</w:t>
      </w:r>
    </w:p>
    <w:p w14:paraId="6D83A95C" w14:textId="77777777" w:rsidR="002107D7" w:rsidRPr="002107D7" w:rsidRDefault="002107D7" w:rsidP="004E2E10">
      <w:pPr>
        <w:jc w:val="both"/>
        <w:rPr>
          <w:rFonts w:ascii="Times New Roman" w:hAnsi="Times New Roman" w:cs="Times New Roman"/>
          <w:sz w:val="20"/>
          <w:szCs w:val="20"/>
        </w:rPr>
      </w:pPr>
      <w:r w:rsidRPr="002107D7">
        <w:rPr>
          <w:rFonts w:ascii="Times New Roman" w:hAnsi="Times New Roman" w:cs="Times New Roman"/>
          <w:sz w:val="20"/>
          <w:szCs w:val="20"/>
        </w:rPr>
        <w:t>A rendszer gyengeségei között elsősorban az extrém kezdeti tőkeigényt kell megemlíteni. A garantált likviditáshoz és az elfogadható árfolyamcsúszás fenntartásához a Genezis Poolok masszív előfinanszírozott készpénztartalékot követelnek meg. További kockázatot jelent az AVM modell kitettsége; ha a gépi tanulási algoritmus szisztematikusan téved a lokális indexekhez képest, a kibocsátott részvények mögöttes fedezeti értéke sérülhet. Emellett a koncepció mély technológiai komplexitása komoly edukációs gátat képezhet a lakossági ügyfelek akvizíciója során. Ezen kihívások ellenére a piaci lehetőségek óriásiak. A hagyományos pénzügyi óriások, mint a BlackRock vagy a Fidelity, agresszíven keresik a lakossági alternatív eszközöket, ami a REX technológiai infrastruktúráját elsődleges felvásárlási célponttá teszi. A rendszer képes kannibalizálni a több tízmilliárd dolláros ingatlan-crowdfunding piacot is, amely jelenleg hosszú évekre köti le a befektetők tőkéjét. A legnagyobb fenyegetést egyértelműen a szabályozói szigorítások, a kereskedelmi bankok lobbitevékenysége, valamint egy esetleges globális ingatlanpiaci összeomlás jelenti, amely extrém tőkekivonási pánikot idézhet elő a likviditási poolokban, tesztelve a matematikai modell teherbírását.</w:t>
      </w:r>
    </w:p>
    <w:p w14:paraId="11B32E22" w14:textId="2F029DC8" w:rsidR="00787253" w:rsidRPr="006D56F2" w:rsidRDefault="00787253" w:rsidP="006D56F2">
      <w:pPr>
        <w:jc w:val="both"/>
        <w:rPr>
          <w:rFonts w:ascii="Times New Roman" w:hAnsi="Times New Roman" w:cs="Times New Roman"/>
          <w:color w:val="000000"/>
          <w:kern w:val="0"/>
          <w:sz w:val="20"/>
          <w:szCs w:val="20"/>
        </w:rPr>
      </w:pPr>
    </w:p>
    <w:sectPr w:rsidR="00787253" w:rsidRPr="006D56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996"/>
    <w:multiLevelType w:val="multilevel"/>
    <w:tmpl w:val="7116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1008D"/>
    <w:multiLevelType w:val="multilevel"/>
    <w:tmpl w:val="92601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C5857"/>
    <w:multiLevelType w:val="multilevel"/>
    <w:tmpl w:val="9D0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85E06"/>
    <w:multiLevelType w:val="hybridMultilevel"/>
    <w:tmpl w:val="3E0495E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37B85E13"/>
    <w:multiLevelType w:val="multilevel"/>
    <w:tmpl w:val="839C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319D4"/>
    <w:multiLevelType w:val="hybridMultilevel"/>
    <w:tmpl w:val="1D1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57731B4"/>
    <w:multiLevelType w:val="multilevel"/>
    <w:tmpl w:val="2992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47BD5"/>
    <w:multiLevelType w:val="multilevel"/>
    <w:tmpl w:val="C40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8F2E21"/>
    <w:multiLevelType w:val="hybridMultilevel"/>
    <w:tmpl w:val="AC167C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778A3C2D"/>
    <w:multiLevelType w:val="multilevel"/>
    <w:tmpl w:val="A5AE7F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6651244">
    <w:abstractNumId w:val="5"/>
  </w:num>
  <w:num w:numId="2" w16cid:durableId="372002358">
    <w:abstractNumId w:val="3"/>
  </w:num>
  <w:num w:numId="3" w16cid:durableId="1937057246">
    <w:abstractNumId w:val="8"/>
  </w:num>
  <w:num w:numId="4" w16cid:durableId="1236624971">
    <w:abstractNumId w:val="0"/>
  </w:num>
  <w:num w:numId="5" w16cid:durableId="1539774620">
    <w:abstractNumId w:val="2"/>
  </w:num>
  <w:num w:numId="6" w16cid:durableId="456798183">
    <w:abstractNumId w:val="6"/>
  </w:num>
  <w:num w:numId="7" w16cid:durableId="322663422">
    <w:abstractNumId w:val="7"/>
  </w:num>
  <w:num w:numId="8" w16cid:durableId="1045830084">
    <w:abstractNumId w:val="4"/>
  </w:num>
  <w:num w:numId="9" w16cid:durableId="1356886808">
    <w:abstractNumId w:val="1"/>
  </w:num>
  <w:num w:numId="10" w16cid:durableId="1010647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749"/>
    <w:rsid w:val="000505CA"/>
    <w:rsid w:val="00056481"/>
    <w:rsid w:val="00100B5D"/>
    <w:rsid w:val="00147BB3"/>
    <w:rsid w:val="00151B00"/>
    <w:rsid w:val="00197BE4"/>
    <w:rsid w:val="002107D7"/>
    <w:rsid w:val="00217BC6"/>
    <w:rsid w:val="00222749"/>
    <w:rsid w:val="00235888"/>
    <w:rsid w:val="0024720A"/>
    <w:rsid w:val="002C31AE"/>
    <w:rsid w:val="002C4387"/>
    <w:rsid w:val="003029E9"/>
    <w:rsid w:val="003D3C39"/>
    <w:rsid w:val="004E2E10"/>
    <w:rsid w:val="004E5E2B"/>
    <w:rsid w:val="0054256A"/>
    <w:rsid w:val="00550773"/>
    <w:rsid w:val="00553CEB"/>
    <w:rsid w:val="005A3CA0"/>
    <w:rsid w:val="005A47C0"/>
    <w:rsid w:val="005B09FF"/>
    <w:rsid w:val="00626DE1"/>
    <w:rsid w:val="006B56C7"/>
    <w:rsid w:val="006D25CD"/>
    <w:rsid w:val="006D56F2"/>
    <w:rsid w:val="006F5314"/>
    <w:rsid w:val="00787253"/>
    <w:rsid w:val="007A7B56"/>
    <w:rsid w:val="0081079B"/>
    <w:rsid w:val="0082722C"/>
    <w:rsid w:val="009A4FBD"/>
    <w:rsid w:val="00CD4705"/>
    <w:rsid w:val="00CE0701"/>
    <w:rsid w:val="00D22C12"/>
    <w:rsid w:val="00EA071C"/>
    <w:rsid w:val="00ED4F2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DD44"/>
  <w15:chartTrackingRefBased/>
  <w15:docId w15:val="{F801CA4C-8935-4B2B-BFC8-FDA4BD9BA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7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7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7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7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7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7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7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7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7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7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7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7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7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7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7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7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7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749"/>
    <w:rPr>
      <w:rFonts w:eastAsiaTheme="majorEastAsia" w:cstheme="majorBidi"/>
      <w:color w:val="272727" w:themeColor="text1" w:themeTint="D8"/>
    </w:rPr>
  </w:style>
  <w:style w:type="paragraph" w:styleId="Title">
    <w:name w:val="Title"/>
    <w:basedOn w:val="Normal"/>
    <w:next w:val="Normal"/>
    <w:link w:val="TitleChar"/>
    <w:uiPriority w:val="10"/>
    <w:qFormat/>
    <w:rsid w:val="002227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7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7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7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749"/>
    <w:pPr>
      <w:spacing w:before="160"/>
      <w:jc w:val="center"/>
    </w:pPr>
    <w:rPr>
      <w:i/>
      <w:iCs/>
      <w:color w:val="404040" w:themeColor="text1" w:themeTint="BF"/>
    </w:rPr>
  </w:style>
  <w:style w:type="character" w:customStyle="1" w:styleId="QuoteChar">
    <w:name w:val="Quote Char"/>
    <w:basedOn w:val="DefaultParagraphFont"/>
    <w:link w:val="Quote"/>
    <w:uiPriority w:val="29"/>
    <w:rsid w:val="00222749"/>
    <w:rPr>
      <w:i/>
      <w:iCs/>
      <w:color w:val="404040" w:themeColor="text1" w:themeTint="BF"/>
    </w:rPr>
  </w:style>
  <w:style w:type="paragraph" w:styleId="ListParagraph">
    <w:name w:val="List Paragraph"/>
    <w:basedOn w:val="Normal"/>
    <w:uiPriority w:val="34"/>
    <w:qFormat/>
    <w:rsid w:val="00222749"/>
    <w:pPr>
      <w:ind w:left="720"/>
      <w:contextualSpacing/>
    </w:pPr>
  </w:style>
  <w:style w:type="character" w:styleId="IntenseEmphasis">
    <w:name w:val="Intense Emphasis"/>
    <w:basedOn w:val="DefaultParagraphFont"/>
    <w:uiPriority w:val="21"/>
    <w:qFormat/>
    <w:rsid w:val="00222749"/>
    <w:rPr>
      <w:i/>
      <w:iCs/>
      <w:color w:val="0F4761" w:themeColor="accent1" w:themeShade="BF"/>
    </w:rPr>
  </w:style>
  <w:style w:type="paragraph" w:styleId="IntenseQuote">
    <w:name w:val="Intense Quote"/>
    <w:basedOn w:val="Normal"/>
    <w:next w:val="Normal"/>
    <w:link w:val="IntenseQuoteChar"/>
    <w:uiPriority w:val="30"/>
    <w:qFormat/>
    <w:rsid w:val="00222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749"/>
    <w:rPr>
      <w:i/>
      <w:iCs/>
      <w:color w:val="0F4761" w:themeColor="accent1" w:themeShade="BF"/>
    </w:rPr>
  </w:style>
  <w:style w:type="character" w:styleId="IntenseReference">
    <w:name w:val="Intense Reference"/>
    <w:basedOn w:val="DefaultParagraphFont"/>
    <w:uiPriority w:val="32"/>
    <w:qFormat/>
    <w:rsid w:val="00222749"/>
    <w:rPr>
      <w:b/>
      <w:bCs/>
      <w:smallCaps/>
      <w:color w:val="0F4761" w:themeColor="accent1" w:themeShade="BF"/>
      <w:spacing w:val="5"/>
    </w:rPr>
  </w:style>
  <w:style w:type="paragraph" w:customStyle="1" w:styleId="Default">
    <w:name w:val="Default"/>
    <w:rsid w:val="00222749"/>
    <w:pPr>
      <w:autoSpaceDE w:val="0"/>
      <w:autoSpaceDN w:val="0"/>
      <w:adjustRightInd w:val="0"/>
      <w:spacing w:after="0" w:line="240" w:lineRule="auto"/>
    </w:pPr>
    <w:rPr>
      <w:rFonts w:ascii="Times New Roman" w:hAnsi="Times New Roman" w:cs="Times New Roman"/>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4317</TotalTime>
  <Pages>10</Pages>
  <Words>4493</Words>
  <Characters>31008</Characters>
  <Application>Microsoft Office Word</Application>
  <DocSecurity>0</DocSecurity>
  <Lines>258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Kibédi Péter András</dc:creator>
  <cp:keywords/>
  <dc:description/>
  <cp:lastModifiedBy>Kibédi Péter András</cp:lastModifiedBy>
  <cp:revision>14</cp:revision>
  <dcterms:created xsi:type="dcterms:W3CDTF">2026-04-09T22:16:00Z</dcterms:created>
  <dcterms:modified xsi:type="dcterms:W3CDTF">2026-04-19T22:49:00Z</dcterms:modified>
</cp:coreProperties>
</file>