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LoreTokens for GPU &amp; Agent Makers: </w:t>
        <w:br w:type="textWrapping"/>
        <w:t xml:space="preserve">Technical &amp; Strategic Advantage</w:t>
      </w:r>
    </w:p>
    <w:p w:rsidR="00000000" w:rsidDel="00000000" w:rsidP="00000000" w:rsidRDefault="00000000" w:rsidRPr="00000000" w14:paraId="00000002">
      <w:pPr>
        <w:jc w:val="center"/>
        <w:rPr>
          <w:color w:val="ee0000"/>
        </w:rPr>
      </w:pPr>
      <w:r w:rsidDel="00000000" w:rsidR="00000000" w:rsidRPr="00000000">
        <w:rPr>
          <w:i w:val="1"/>
          <w:color w:val="ee0000"/>
          <w:rtl w:val="0"/>
        </w:rPr>
        <w:t xml:space="preserve">Confidential briefing — do not distribute without 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LoreTokens is a semantic compression and memory layer that reduces the size and bandwidth of AI working sets while keeping information usable in compressed form. For GPU manufacturers, integrating LoreTokens-aware tooling yields measurable gains in effective VRAM, interconnect efficiency, throughput-per-watt, and user-perceived performance—without requiring changes to the core driver model.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This document explains how a GPU vendor can integrate LoreTokens via user‑space SDKs, framework plugins, and custom kernels; what performance metrics will improve; and why a first mover will establish a durable ecosystem advantage over competitors.</w:t>
      </w:r>
    </w:p>
    <w:p w:rsidR="00000000" w:rsidDel="00000000" w:rsidP="00000000" w:rsidRDefault="00000000" w:rsidRPr="00000000" w14:paraId="0000000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The Bottlenecks GPUs Face Today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- Growing context windows and retrieval payloads bloat working sets beyond practical VRAM limits.</w:t>
        <w:br w:type="textWrapping"/>
        <w:t xml:space="preserve">- Interconnect bandwidth becomes a hard ceiling for latency and scale-out.</w:t>
        <w:br w:type="textWrapping"/>
        <w:t xml:space="preserve">- Power constraints cap FLOP utilization in real deployments, especially at the edge.</w:t>
        <w:br w:type="textWrapping"/>
        <w:t xml:space="preserve">- Data movement, not math, increasingly dominates end-to-end latency for modern AI workloads.</w:t>
      </w:r>
    </w:p>
    <w:p w:rsidR="00000000" w:rsidDel="00000000" w:rsidP="00000000" w:rsidRDefault="00000000" w:rsidRPr="00000000" w14:paraId="0000000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What LoreTokens Is (Brief)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LoreTokens compress meaning rather than just bytes. They are symbolic units with structure and provenance that models can use directly, minimizing de‑compression overhead. The pipeline compresses upstream (CPU/ingest), serves compact tokens, and only the relevant token slices traverse the interconnect and occupy VRAM. A lightweight GPU runtime interprets or maps tokens to the model’s internal representations for reasoning, conditioning, or retrieval.</w:t>
      </w:r>
    </w:p>
    <w:p w:rsidR="00000000" w:rsidDel="00000000" w:rsidP="00000000" w:rsidRDefault="00000000" w:rsidRPr="00000000" w14:paraId="0000000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Value to GPU Makers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Integrating LoreTokens-aware capabilities enables:</w:t>
      </w:r>
    </w:p>
    <w:p w:rsidR="00000000" w:rsidDel="00000000" w:rsidP="00000000" w:rsidRDefault="00000000" w:rsidRPr="00000000" w14:paraId="0000000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1) Higher Effective VRAM</w:t>
        <w:br w:type="textWrapping"/>
      </w:r>
      <w:r w:rsidDel="00000000" w:rsidR="00000000" w:rsidRPr="00000000">
        <w:rPr>
          <w:rtl w:val="0"/>
        </w:rPr>
        <w:t xml:space="preserve">• Smaller working sets =&gt; larger apparent context / batch sizes without additional memory.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• Fits bigger models or more concurrent streams on the same silicon.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2) Lower Interconnect Pressure</w:t>
        <w:br w:type="textWrapping"/>
      </w:r>
      <w:r w:rsidDel="00000000" w:rsidR="00000000" w:rsidRPr="00000000">
        <w:rPr>
          <w:rtl w:val="0"/>
        </w:rPr>
        <w:t xml:space="preserve">• Fewer bytes on device↔host and GPU↔GPU links =&gt; lower tail latencies and better scale-out.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• More deterministic pipelines under load; fewer stalls and retries.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3) Throughput‑per‑Watt Gains</w:t>
        <w:br w:type="textWrapping"/>
      </w:r>
      <w:r w:rsidDel="00000000" w:rsidR="00000000" w:rsidRPr="00000000">
        <w:rPr>
          <w:rtl w:val="0"/>
        </w:rPr>
        <w:t xml:space="preserve">• Less data movement + better cache/tiling =&gt; more useful work per Joule.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• Strong sustainability story for enterprise and public-sector buyers.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4) Edge Enablement</w:t>
        <w:br w:type="textWrapping"/>
      </w:r>
      <w:r w:rsidDel="00000000" w:rsidR="00000000" w:rsidRPr="00000000">
        <w:rPr>
          <w:rtl w:val="0"/>
        </w:rPr>
        <w:t xml:space="preserve">• Makes consumer and embedded GPUs viable for workloads previously confined to datacenters.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• Unlocks new markets (robotics, vehicles, industrial, healthcare, IoT).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5) SDK/Platform Differentiation</w:t>
        <w:br w:type="textWrapping"/>
      </w:r>
      <w:r w:rsidDel="00000000" w:rsidR="00000000" w:rsidRPr="00000000">
        <w:rPr>
          <w:rtl w:val="0"/>
        </w:rPr>
        <w:t xml:space="preserve">• Ship a LoreTokens-enabled SDK &amp; tooling that developers prefer because it simply runs faster &amp; cheaper.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• Improves benchmark leadership without wafer-scale cost or node shrinks.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9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6) Ecosystem &amp; Attach Rate</w:t>
        <w:br w:type="textWrapping"/>
      </w:r>
      <w:r w:rsidDel="00000000" w:rsidR="00000000" w:rsidRPr="00000000">
        <w:rPr>
          <w:rtl w:val="0"/>
        </w:rPr>
        <w:t xml:space="preserve">• New reasons to adopt toolchain; higher software attach and stickiness.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• Co-licensing opportunities (enterprise add-ons, support SKUs).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Integration Paths (No Driver Changes Required)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- User-space SDK: CPU encoder + token server; compact slices shipped to the device.</w:t>
        <w:br w:type="textWrapping"/>
        <w:t xml:space="preserve">- Framework Plugins: Extensions for major DL frameworks to ingest tokens and fuse conditioning ops.</w:t>
        <w:br w:type="textWrapping"/>
        <w:t xml:space="preserve">- Custom Kernels: Fast symbolic ops (packing/masking/scatter–gather on ragged structures).</w:t>
        <w:br w:type="textWrapping"/>
        <w:t xml:space="preserve">- Graph Execution: Pre-record the query→route→fuse sequence as a single graph for low overhead.</w:t>
        <w:br w:type="textWrapping"/>
        <w:t xml:space="preserve">- Direct Storage Path: Stream token pages from NVMe to VRAM to minimize CPU mediation.</w:t>
        <w:br w:type="textWrapping"/>
        <w:t xml:space="preserve">- Multi-GPU Aware: Efficient sharding/all-gather for token slices across devices.</w:t>
      </w:r>
    </w:p>
    <w:p w:rsidR="00000000" w:rsidDel="00000000" w:rsidP="00000000" w:rsidRDefault="00000000" w:rsidRPr="00000000" w14:paraId="0000001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What Improves (Key KPIs to Demonstrate)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• VRAM Headroom — 30–70% smaller working sets (effective capacity gain).</w:t>
        <w:br w:type="textWrapping"/>
        <w:t xml:space="preserve">• Interconnect Bytes — substantial reduction in bytes moved end-to-end.</w:t>
        <w:br w:type="textWrapping"/>
        <w:t xml:space="preserve">• Latency (P50/P95) — lower and more stable tail latencies under load.</w:t>
        <w:br w:type="textWrapping"/>
        <w:t xml:space="preserve">• Throughput-per-Watt — more useful tokens/sec per Joule.</w:t>
        <w:br w:type="textWrapping"/>
        <w:t xml:space="preserve">• Concurrency — more parallel sessions on the same silicon.</w:t>
      </w:r>
    </w:p>
    <w:p w:rsidR="00000000" w:rsidDel="00000000" w:rsidP="00000000" w:rsidRDefault="00000000" w:rsidRPr="00000000" w14:paraId="0000001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Why a First‑Mover GPU Vendor Wins Disproportionately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- Establishes a de facto standard SDK: developers ship to the stack that runs fastest and costs less.</w:t>
        <w:br w:type="textWrapping"/>
        <w:t xml:space="preserve">- Captures mindshare via benchmarks (latency, TCO, energy) that matter to procurement teams.</w:t>
        <w:br w:type="textWrapping"/>
        <w:t xml:space="preserve">- Locks in ecosystem integrations (framework plugins, ops tooling, profiling) that take rivals quarters to match.</w:t>
        <w:br w:type="textWrapping"/>
        <w:t xml:space="preserve">- Expands total addressable market by making edge/consumer SKUs viable for higher-value workloads.</w:t>
        <w:br w:type="textWrapping"/>
        <w:t xml:space="preserve">- Builds a sustainability narrative aligned with enterprise mandates.</w:t>
      </w:r>
    </w:p>
    <w:p w:rsidR="00000000" w:rsidDel="00000000" w:rsidP="00000000" w:rsidRDefault="00000000" w:rsidRPr="00000000" w14:paraId="0000001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Business &amp; Licensing Models (Illustrative)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 OEM licensing for LoreTokens runtime and developer SDK (per-device or per-tenant).</w:t>
        <w:br w:type="textWrapping"/>
        <w:t xml:space="preserve">- Enterprise support SLAs and certification program for token-aware applications.</w:t>
        <w:br w:type="textWrapping"/>
        <w:t xml:space="preserve">- Co-marketing with lighthouse customers showcasing energy and latency wins.</w:t>
        <w:br w:type="textWrapping"/>
        <w:t xml:space="preserve">- Optional IP cross‑license for kernel-level optimizations developed jointly.</w:t>
      </w:r>
    </w:p>
    <w:p w:rsidR="00000000" w:rsidDel="00000000" w:rsidP="00000000" w:rsidRDefault="00000000" w:rsidRPr="00000000" w14:paraId="0000001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Risks and Mitigations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• Model Compatibility: Mitigate with framework plugins and reference adapters for popular architectures.</w:t>
        <w:br w:type="textWrapping"/>
        <w:t xml:space="preserve">• Developer Adoption: Ship opinionated samples and profiling tools; minimize required code changes.</w:t>
        <w:br w:type="textWrapping"/>
        <w:t xml:space="preserve">• Verification: Provide reproducible benchmarks and golden-path test suites for CI/CD.</w:t>
        <w:br w:type="textWrapping"/>
        <w:t xml:space="preserve">• Governance: Watermark token streams; document provenance and safety controls for enterprise buyers.</w:t>
      </w:r>
    </w:p>
    <w:p w:rsidR="00000000" w:rsidDel="00000000" w:rsidP="00000000" w:rsidRDefault="00000000" w:rsidRPr="00000000" w14:paraId="0000001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Pilot an integration in three steps: (1) CPU-side tokenization + framework plugin; (2) custom kernels for on-device token ops; (3) graph execution and direct-storage path for production. Target a public benchmark and a private lighthouse deployment within 90 days of kickoff.</w:t>
      </w:r>
    </w:p>
    <w:p w:rsidR="00000000" w:rsidDel="00000000" w:rsidP="00000000" w:rsidRDefault="00000000" w:rsidRPr="00000000" w14:paraId="0000001E">
      <w:pPr>
        <w:jc w:val="both"/>
        <w:rPr>
          <w:b w:val="1"/>
          <w:color w:val="1155cc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Live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b w:val="1"/>
          <w:rtl w:val="0"/>
        </w:rPr>
        <w:t xml:space="preserve">Case A — 70B @ Q4 (≈32.6 GiB)</w:t>
      </w:r>
      <w:r w:rsidDel="00000000" w:rsidR="00000000" w:rsidRPr="00000000">
        <w:rPr>
          <w:rtl w:val="0"/>
        </w:rPr>
        <w:t xml:space="preserve">: Fits by </w:t>
      </w:r>
      <w:r w:rsidDel="00000000" w:rsidR="00000000" w:rsidRPr="00000000">
        <w:rPr>
          <w:b w:val="1"/>
          <w:rtl w:val="0"/>
        </w:rPr>
        <w:t xml:space="preserve">unevenly sharding</w:t>
      </w:r>
      <w:r w:rsidDel="00000000" w:rsidR="00000000" w:rsidRPr="00000000">
        <w:rPr>
          <w:rtl w:val="0"/>
        </w:rPr>
        <w:t xml:space="preserve"> the model across the two GPUs (e.g., ~70% of blocks on the 3090, ~30% on the 3060). No CPU paging; KV kept tiny thanks to LoreTokens.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rtl w:val="0"/>
        </w:rPr>
        <w:t xml:space="preserve">Case B — 110B @ Q4 (≈51.3 GiB)</w:t>
      </w:r>
      <w:r w:rsidDel="00000000" w:rsidR="00000000" w:rsidRPr="00000000">
        <w:rPr>
          <w:rtl w:val="0"/>
        </w:rPr>
        <w:t xml:space="preserve">: Combined VRAM (≈36 GiB) is short at straight q4, so that </w:t>
      </w:r>
      <w:r w:rsidDel="00000000" w:rsidR="00000000" w:rsidRPr="00000000">
        <w:rPr>
          <w:b w:val="1"/>
          <w:rtl w:val="0"/>
        </w:rPr>
        <w:t xml:space="preserve">no-CPU</w:t>
      </w:r>
      <w:r w:rsidDel="00000000" w:rsidR="00000000" w:rsidRPr="00000000">
        <w:rPr>
          <w:rtl w:val="0"/>
        </w:rPr>
        <w:t xml:space="preserve"> is still possible with one of: sub-q4 mixed precision, modest structured sparsity, and/or activation rematerialization + micro-batching.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b5394"/>
        </w:rPr>
      </w:pPr>
      <w:bookmarkStart w:colFirst="0" w:colLast="0" w:name="_heading=h.q6xwafsq5rte" w:id="0"/>
      <w:bookmarkEnd w:id="0"/>
      <w:r w:rsidDel="00000000" w:rsidR="00000000" w:rsidRPr="00000000">
        <w:rPr>
          <w:rFonts w:ascii="Cambria" w:cs="Cambria" w:eastAsia="Cambria" w:hAnsi="Cambria"/>
          <w:color w:val="0b5394"/>
          <w:rtl w:val="0"/>
        </w:rPr>
        <w:t xml:space="preserve">Practically Unlimited Context via SAIQL – For Agent Vendors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LLMs bog down as context windows grow. Latency, VRAM, and cost scale with sequence length because attention must “see” every token.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SAIQL’s approach:</w:t>
      </w:r>
      <w:r w:rsidDel="00000000" w:rsidR="00000000" w:rsidRPr="00000000">
        <w:rPr>
          <w:rtl w:val="0"/>
        </w:rPr>
        <w:t xml:space="preserve"> move “context” </w:t>
      </w:r>
      <w:r w:rsidDel="00000000" w:rsidR="00000000" w:rsidRPr="00000000">
        <w:rPr>
          <w:b w:val="1"/>
          <w:rtl w:val="0"/>
        </w:rPr>
        <w:t xml:space="preserve">out of the prompt</w:t>
      </w:r>
      <w:r w:rsidDel="00000000" w:rsidR="00000000" w:rsidRPr="00000000">
        <w:rPr>
          <w:rtl w:val="0"/>
        </w:rPr>
        <w:t xml:space="preserve"> and into a </w:t>
      </w:r>
      <w:r w:rsidDel="00000000" w:rsidR="00000000" w:rsidRPr="00000000">
        <w:rPr>
          <w:b w:val="1"/>
          <w:rtl w:val="0"/>
        </w:rPr>
        <w:t xml:space="preserve">symbolic memory layer</w:t>
      </w:r>
      <w:r w:rsidDel="00000000" w:rsidR="00000000" w:rsidRPr="00000000">
        <w:rPr>
          <w:rtl w:val="0"/>
        </w:rPr>
        <w:t xml:space="preserve"> you can query like a database. Instead of shoving everything into the window, you </w:t>
      </w:r>
      <w:r w:rsidDel="00000000" w:rsidR="00000000" w:rsidRPr="00000000">
        <w:rPr>
          <w:b w:val="1"/>
          <w:rtl w:val="0"/>
        </w:rPr>
        <w:t xml:space="preserve">ask</w:t>
      </w:r>
      <w:r w:rsidDel="00000000" w:rsidR="00000000" w:rsidRPr="00000000">
        <w:rPr>
          <w:rtl w:val="0"/>
        </w:rPr>
        <w:t xml:space="preserve"> for only the precise meaning you need—already compressed as LoreTokens—and condition the model with that compact result.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b5394"/>
          <w:sz w:val="28"/>
          <w:szCs w:val="28"/>
        </w:rPr>
      </w:pPr>
      <w:bookmarkStart w:colFirst="0" w:colLast="0" w:name="_heading=h.4oskwnvryzx7" w:id="1"/>
      <w:bookmarkEnd w:id="1"/>
      <w:r w:rsidDel="00000000" w:rsidR="00000000" w:rsidRPr="00000000">
        <w:rPr>
          <w:rFonts w:ascii="Cambria" w:cs="Cambria" w:eastAsia="Cambria" w:hAnsi="Cambria"/>
          <w:color w:val="0b5394"/>
          <w:sz w:val="28"/>
          <w:szCs w:val="28"/>
          <w:rtl w:val="0"/>
        </w:rPr>
        <w:t xml:space="preserve">How it works (mental model)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Ingest &amp; encode:</w:t>
      </w:r>
      <w:r w:rsidDel="00000000" w:rsidR="00000000" w:rsidRPr="00000000">
        <w:rPr>
          <w:rtl w:val="0"/>
        </w:rPr>
        <w:t xml:space="preserve"> Raw artifacts (docs, logs, code, telemetry) are </w:t>
      </w:r>
      <w:r w:rsidDel="00000000" w:rsidR="00000000" w:rsidRPr="00000000">
        <w:rPr>
          <w:b w:val="1"/>
          <w:rtl w:val="0"/>
        </w:rPr>
        <w:t xml:space="preserve">encoded into LoreTokens</w:t>
      </w:r>
      <w:r w:rsidDel="00000000" w:rsidR="00000000" w:rsidRPr="00000000">
        <w:rPr>
          <w:rtl w:val="0"/>
        </w:rPr>
        <w:t xml:space="preserve">—semantic units with structure, metadata, and provenance.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 &amp; address:</w:t>
      </w:r>
      <w:r w:rsidDel="00000000" w:rsidR="00000000" w:rsidRPr="00000000">
        <w:rPr>
          <w:rtl w:val="0"/>
        </w:rPr>
        <w:t xml:space="preserve"> SAIQL builds </w:t>
      </w:r>
      <w:r w:rsidDel="00000000" w:rsidR="00000000" w:rsidRPr="00000000">
        <w:rPr>
          <w:b w:val="1"/>
          <w:rtl w:val="0"/>
        </w:rPr>
        <w:t xml:space="preserve">symbolic indexes</w:t>
      </w:r>
      <w:r w:rsidDel="00000000" w:rsidR="00000000" w:rsidRPr="00000000">
        <w:rPr>
          <w:rtl w:val="0"/>
        </w:rPr>
        <w:t xml:space="preserve"> (entities, events, time, versions, relationships). Everything is </w:t>
      </w:r>
      <w:r w:rsidDel="00000000" w:rsidR="00000000" w:rsidRPr="00000000">
        <w:rPr>
          <w:b w:val="1"/>
          <w:rtl w:val="0"/>
        </w:rPr>
        <w:t xml:space="preserve">addressable</w:t>
      </w:r>
      <w:r w:rsidDel="00000000" w:rsidR="00000000" w:rsidRPr="00000000">
        <w:rPr>
          <w:rtl w:val="0"/>
        </w:rPr>
        <w:t xml:space="preserve"> (down to paragraph/function/snippet).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 plan:</w:t>
      </w:r>
      <w:r w:rsidDel="00000000" w:rsidR="00000000" w:rsidRPr="00000000">
        <w:rPr>
          <w:rtl w:val="0"/>
        </w:rPr>
        <w:t xml:space="preserve"> A prompt becomes a </w:t>
      </w:r>
      <w:r w:rsidDel="00000000" w:rsidR="00000000" w:rsidRPr="00000000">
        <w:rPr>
          <w:b w:val="1"/>
          <w:rtl w:val="0"/>
        </w:rPr>
        <w:t xml:space="preserve">SAIQL plan</w:t>
      </w:r>
      <w:r w:rsidDel="00000000" w:rsidR="00000000" w:rsidRPr="00000000">
        <w:rPr>
          <w:rtl w:val="0"/>
        </w:rPr>
        <w:t xml:space="preserve">: select → filter → join → rank → aggregate. Results are </w:t>
      </w:r>
      <w:r w:rsidDel="00000000" w:rsidR="00000000" w:rsidRPr="00000000">
        <w:rPr>
          <w:b w:val="1"/>
          <w:rtl w:val="0"/>
        </w:rPr>
        <w:t xml:space="preserve">small, relevant token slices</w:t>
      </w:r>
      <w:r w:rsidDel="00000000" w:rsidR="00000000" w:rsidRPr="00000000">
        <w:rPr>
          <w:rtl w:val="0"/>
        </w:rPr>
        <w:t xml:space="preserve">, not megabytes of text.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Condition the model:</w:t>
      </w:r>
      <w:r w:rsidDel="00000000" w:rsidR="00000000" w:rsidRPr="00000000">
        <w:rPr>
          <w:rtl w:val="0"/>
        </w:rPr>
        <w:t xml:space="preserve"> The model receives </w:t>
      </w:r>
      <w:r w:rsidDel="00000000" w:rsidR="00000000" w:rsidRPr="00000000">
        <w:rPr>
          <w:b w:val="1"/>
          <w:rtl w:val="0"/>
        </w:rPr>
        <w:t xml:space="preserve">compact symbolic payloads</w:t>
      </w:r>
      <w:r w:rsidDel="00000000" w:rsidR="00000000" w:rsidRPr="00000000">
        <w:rPr>
          <w:rtl w:val="0"/>
        </w:rPr>
        <w:t xml:space="preserve"> (and optional short natural-language summaries) that fit easily in the KV cache.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Iterate on demand:</w:t>
      </w:r>
      <w:r w:rsidDel="00000000" w:rsidR="00000000" w:rsidRPr="00000000">
        <w:rPr>
          <w:rtl w:val="0"/>
        </w:rPr>
        <w:t xml:space="preserve"> If the answer needs more depth, SAIQL </w:t>
      </w:r>
      <w:r w:rsidDel="00000000" w:rsidR="00000000" w:rsidRPr="00000000">
        <w:rPr>
          <w:b w:val="1"/>
          <w:rtl w:val="0"/>
        </w:rPr>
        <w:t xml:space="preserve">refines the query</w:t>
      </w:r>
      <w:r w:rsidDel="00000000" w:rsidR="00000000" w:rsidRPr="00000000">
        <w:rPr>
          <w:rtl w:val="0"/>
        </w:rPr>
        <w:t xml:space="preserve"> and streams in just the next bits—again, compact.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Context size is now a </w:t>
      </w:r>
      <w:r w:rsidDel="00000000" w:rsidR="00000000" w:rsidRPr="00000000">
        <w:rPr>
          <w:b w:val="1"/>
          <w:rtl w:val="0"/>
        </w:rPr>
        <w:t xml:space="preserve">storage/query</w:t>
      </w:r>
      <w:r w:rsidDel="00000000" w:rsidR="00000000" w:rsidRPr="00000000">
        <w:rPr>
          <w:rtl w:val="0"/>
        </w:rPr>
        <w:t xml:space="preserve"> problem, not a </w:t>
      </w:r>
      <w:r w:rsidDel="00000000" w:rsidR="00000000" w:rsidRPr="00000000">
        <w:rPr>
          <w:b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problem. As long as the corpus fits your storage, SAIQL can fetch from it—so “context” is </w:t>
      </w:r>
      <w:r w:rsidDel="00000000" w:rsidR="00000000" w:rsidRPr="00000000">
        <w:rPr>
          <w:b w:val="1"/>
          <w:rtl w:val="0"/>
        </w:rPr>
        <w:t xml:space="preserve">practically unlimited</w:t>
      </w:r>
      <w:r w:rsidDel="00000000" w:rsidR="00000000" w:rsidRPr="00000000">
        <w:rPr>
          <w:rtl w:val="0"/>
        </w:rPr>
        <w:t xml:space="preserve"> in scope while the model’s </w:t>
      </w:r>
      <w:r w:rsidDel="00000000" w:rsidR="00000000" w:rsidRPr="00000000">
        <w:rPr>
          <w:b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context stays small and fast.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b5394"/>
          <w:sz w:val="28"/>
          <w:szCs w:val="28"/>
        </w:rPr>
      </w:pPr>
      <w:bookmarkStart w:colFirst="0" w:colLast="0" w:name="_heading=h.qh6bigcuz4lq" w:id="2"/>
      <w:bookmarkEnd w:id="2"/>
      <w:r w:rsidDel="00000000" w:rsidR="00000000" w:rsidRPr="00000000">
        <w:rPr>
          <w:rFonts w:ascii="Cambria" w:cs="Cambria" w:eastAsia="Cambria" w:hAnsi="Cambria"/>
          <w:color w:val="0b5394"/>
          <w:sz w:val="28"/>
          <w:szCs w:val="28"/>
          <w:rtl w:val="0"/>
        </w:rPr>
        <w:t xml:space="preserve">Why this crushes long windows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Asymptotics:</w:t>
      </w:r>
      <w:r w:rsidDel="00000000" w:rsidR="00000000" w:rsidRPr="00000000">
        <w:rPr>
          <w:rtl w:val="0"/>
        </w:rPr>
        <w:t xml:space="preserve"> Attention cost grows with tokens (O(T²) or O(T·logT)); SAIQL keeps T </w:t>
      </w:r>
      <w:r w:rsidDel="00000000" w:rsidR="00000000" w:rsidRPr="00000000">
        <w:rPr>
          <w:b w:val="1"/>
          <w:rtl w:val="0"/>
        </w:rPr>
        <w:t xml:space="preserve">small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rtl w:val="0"/>
        </w:rPr>
        <w:t xml:space="preserve">pre-selecting</w:t>
      </w:r>
      <w:r w:rsidDel="00000000" w:rsidR="00000000" w:rsidRPr="00000000">
        <w:rPr>
          <w:rtl w:val="0"/>
        </w:rPr>
        <w:t xml:space="preserve"> only relevant meaning.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Bandwidth/VRAM:</w:t>
      </w:r>
      <w:r w:rsidDel="00000000" w:rsidR="00000000" w:rsidRPr="00000000">
        <w:rPr>
          <w:rtl w:val="0"/>
        </w:rPr>
        <w:t xml:space="preserve"> You move </w:t>
      </w:r>
      <w:r w:rsidDel="00000000" w:rsidR="00000000" w:rsidRPr="00000000">
        <w:rPr>
          <w:b w:val="1"/>
          <w:rtl w:val="0"/>
        </w:rPr>
        <w:t xml:space="preserve">kb’s</w:t>
      </w:r>
      <w:r w:rsidDel="00000000" w:rsidR="00000000" w:rsidRPr="00000000">
        <w:rPr>
          <w:rtl w:val="0"/>
        </w:rPr>
        <w:t xml:space="preserve"> of LoreTokens instead of </w:t>
      </w:r>
      <w:r w:rsidDel="00000000" w:rsidR="00000000" w:rsidRPr="00000000">
        <w:rPr>
          <w:b w:val="1"/>
          <w:rtl w:val="0"/>
        </w:rPr>
        <w:t xml:space="preserve">mb’s</w:t>
      </w:r>
      <w:r w:rsidDel="00000000" w:rsidR="00000000" w:rsidRPr="00000000">
        <w:rPr>
          <w:rtl w:val="0"/>
        </w:rPr>
        <w:t xml:space="preserve"> of raw text; KV stays tiny.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Determinism:</w:t>
      </w:r>
      <w:r w:rsidDel="00000000" w:rsidR="00000000" w:rsidRPr="00000000">
        <w:rPr>
          <w:rtl w:val="0"/>
        </w:rPr>
        <w:t xml:space="preserve"> Same query ⇒ same slices ⇒ reproducible answers (with provenance).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Query + compact conditioning beats megatoken prompts, especially at the edge.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b5394"/>
          <w:sz w:val="30"/>
          <w:szCs w:val="30"/>
        </w:rPr>
      </w:pPr>
      <w:bookmarkStart w:colFirst="0" w:colLast="0" w:name="_heading=h.hrcg4dvkxc1p" w:id="3"/>
      <w:bookmarkEnd w:id="3"/>
      <w:r w:rsidDel="00000000" w:rsidR="00000000" w:rsidRPr="00000000">
        <w:rPr>
          <w:rFonts w:ascii="Cambria" w:cs="Cambria" w:eastAsia="Cambria" w:hAnsi="Cambria"/>
          <w:color w:val="0b5394"/>
          <w:sz w:val="30"/>
          <w:szCs w:val="30"/>
          <w:rtl w:val="0"/>
        </w:rPr>
        <w:t xml:space="preserve">Guarantees &amp; guardrails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Provenance:</w:t>
      </w:r>
      <w:r w:rsidDel="00000000" w:rsidR="00000000" w:rsidRPr="00000000">
        <w:rPr>
          <w:rtl w:val="0"/>
        </w:rPr>
        <w:t xml:space="preserve"> Every slice carries </w:t>
      </w:r>
      <w:r w:rsidDel="00000000" w:rsidR="00000000" w:rsidRPr="00000000">
        <w:rPr>
          <w:b w:val="1"/>
          <w:rtl w:val="0"/>
        </w:rPr>
        <w:t xml:space="preserve">where/when</w:t>
      </w:r>
      <w:r w:rsidDel="00000000" w:rsidR="00000000" w:rsidRPr="00000000">
        <w:rPr>
          <w:rtl w:val="0"/>
        </w:rPr>
        <w:t xml:space="preserve"> it came from (source, version, hash).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Snapshots let you answer “as of March 2024” cleanly.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Policies:</w:t>
      </w:r>
      <w:r w:rsidDel="00000000" w:rsidR="00000000" w:rsidRPr="00000000">
        <w:rPr>
          <w:rtl w:val="0"/>
        </w:rPr>
        <w:t xml:space="preserve"> Row/column-level controls; redaction at the token level.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Audits:</w:t>
      </w:r>
      <w:r w:rsidDel="00000000" w:rsidR="00000000" w:rsidRPr="00000000">
        <w:rPr>
          <w:rtl w:val="0"/>
        </w:rPr>
        <w:t xml:space="preserve"> Full query logs and citation trails for diligence.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b5394"/>
          <w:sz w:val="28"/>
          <w:szCs w:val="28"/>
        </w:rPr>
      </w:pPr>
      <w:bookmarkStart w:colFirst="0" w:colLast="0" w:name="_heading=h.xpba5hygd5v8" w:id="4"/>
      <w:bookmarkEnd w:id="4"/>
      <w:r w:rsidDel="00000000" w:rsidR="00000000" w:rsidRPr="00000000">
        <w:rPr>
          <w:rFonts w:ascii="Cambria" w:cs="Cambria" w:eastAsia="Cambria" w:hAnsi="Cambria"/>
          <w:color w:val="0b5394"/>
          <w:sz w:val="28"/>
          <w:szCs w:val="28"/>
          <w:rtl w:val="0"/>
        </w:rPr>
        <w:t xml:space="preserve">Example flow (concrete)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“Summarize our safety incidents near Houston in 2019 and show what changed policy.”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SAIQL filters the </w:t>
      </w:r>
      <w:r w:rsidDel="00000000" w:rsidR="00000000" w:rsidRPr="00000000">
        <w:rPr>
          <w:b w:val="1"/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table: </w:t>
      </w:r>
      <w:sdt>
        <w:sdtPr>
          <w:id w:val="-2011372527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WHERE location≈Houston AND year=2019</w:t>
          </w:r>
        </w:sdtContent>
      </w:sdt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</w:t>
      </w:r>
      <w:r w:rsidDel="00000000" w:rsidR="00000000" w:rsidRPr="00000000">
        <w:rPr>
          <w:b w:val="1"/>
          <w:rtl w:val="0"/>
        </w:rPr>
        <w:t xml:space="preserve">PolicyChanges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PostMortems</w:t>
      </w:r>
      <w:r w:rsidDel="00000000" w:rsidR="00000000" w:rsidRPr="00000000">
        <w:rPr>
          <w:rtl w:val="0"/>
        </w:rPr>
        <w:t xml:space="preserve">; ranks by severity/impact.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rtl w:val="0"/>
        </w:rPr>
        <w:t xml:space="preserve">5–10 tiny LoreToken slices</w:t>
      </w:r>
      <w:r w:rsidDel="00000000" w:rsidR="00000000" w:rsidRPr="00000000">
        <w:rPr>
          <w:rtl w:val="0"/>
        </w:rPr>
        <w:t xml:space="preserve">: timelines, root causes, exact policy diffs.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conditions on those slices (plus a concise auto-summary) and drafts the answer.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asked “source?”, SAIQL reveals the </w:t>
      </w:r>
      <w:r w:rsidDel="00000000" w:rsidR="00000000" w:rsidRPr="00000000">
        <w:rPr>
          <w:b w:val="1"/>
          <w:rtl w:val="0"/>
        </w:rPr>
        <w:t xml:space="preserve">exact cited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b5394"/>
          <w:sz w:val="28"/>
          <w:szCs w:val="28"/>
        </w:rPr>
      </w:pPr>
      <w:bookmarkStart w:colFirst="0" w:colLast="0" w:name="_heading=h.1aguqwtfca48" w:id="5"/>
      <w:bookmarkEnd w:id="5"/>
      <w:r w:rsidDel="00000000" w:rsidR="00000000" w:rsidRPr="00000000">
        <w:rPr>
          <w:rFonts w:ascii="Cambria" w:cs="Cambria" w:eastAsia="Cambria" w:hAnsi="Cambria"/>
          <w:color w:val="0b5394"/>
          <w:sz w:val="28"/>
          <w:szCs w:val="28"/>
          <w:rtl w:val="0"/>
        </w:rPr>
        <w:t xml:space="preserve">KPIs to prove it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tokens saved/request</w:t>
      </w:r>
      <w:r w:rsidDel="00000000" w:rsidR="00000000" w:rsidRPr="00000000">
        <w:rPr>
          <w:rtl w:val="0"/>
        </w:rPr>
        <w:t xml:space="preserve"> (vs. naive RAG or long-window baselines)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Bytes moved over PCIe/NVLink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peak VRAM</w:t>
      </w:r>
      <w:r w:rsidDel="00000000" w:rsidR="00000000" w:rsidRPr="00000000">
        <w:rPr>
          <w:rtl w:val="0"/>
        </w:rPr>
        <w:t xml:space="preserve"> during Q&amp;A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Latency P50/P95</w:t>
      </w:r>
      <w:r w:rsidDel="00000000" w:rsidR="00000000" w:rsidRPr="00000000">
        <w:rPr>
          <w:rtl w:val="0"/>
        </w:rPr>
        <w:t xml:space="preserve"> with 10–100 concurrent sessions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Answer reproducibility</w:t>
      </w:r>
      <w:r w:rsidDel="00000000" w:rsidR="00000000" w:rsidRPr="00000000">
        <w:rPr>
          <w:rtl w:val="0"/>
        </w:rPr>
        <w:t xml:space="preserve"> (same query + same snapshot ⇒ identical variable slices)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Coverage/recall</w:t>
      </w:r>
      <w:r w:rsidDel="00000000" w:rsidR="00000000" w:rsidRPr="00000000">
        <w:rPr>
          <w:rtl w:val="0"/>
        </w:rPr>
        <w:t xml:space="preserve"> on large corpora (billions of tokens stored, kilobytes served)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b5394"/>
          <w:sz w:val="28"/>
          <w:szCs w:val="28"/>
        </w:rPr>
      </w:pPr>
      <w:bookmarkStart w:colFirst="0" w:colLast="0" w:name="_heading=h.9dw088k4etxx" w:id="6"/>
      <w:bookmarkEnd w:id="6"/>
      <w:r w:rsidDel="00000000" w:rsidR="00000000" w:rsidRPr="00000000">
        <w:rPr>
          <w:rFonts w:ascii="Cambria" w:cs="Cambria" w:eastAsia="Cambria" w:hAnsi="Cambria"/>
          <w:color w:val="0b5394"/>
          <w:sz w:val="28"/>
          <w:szCs w:val="28"/>
          <w:rtl w:val="0"/>
        </w:rPr>
        <w:t xml:space="preserve">What “</w:t>
      </w:r>
      <w:r w:rsidDel="00000000" w:rsidR="00000000" w:rsidRPr="00000000">
        <w:rPr>
          <w:rFonts w:ascii="Cambria" w:cs="Cambria" w:eastAsia="Cambria" w:hAnsi="Cambria"/>
          <w:i w:val="1"/>
          <w:color w:val="3c78d8"/>
          <w:sz w:val="28"/>
          <w:szCs w:val="28"/>
          <w:rtl w:val="0"/>
        </w:rPr>
        <w:t xml:space="preserve">practically unlimited</w:t>
      </w:r>
      <w:r w:rsidDel="00000000" w:rsidR="00000000" w:rsidRPr="00000000">
        <w:rPr>
          <w:rFonts w:ascii="Cambria" w:cs="Cambria" w:eastAsia="Cambria" w:hAnsi="Cambria"/>
          <w:color w:val="0b5394"/>
          <w:sz w:val="28"/>
          <w:szCs w:val="28"/>
          <w:rtl w:val="0"/>
        </w:rPr>
        <w:t xml:space="preserve">” means (honest note)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It’s bound by </w:t>
      </w:r>
      <w:r w:rsidDel="00000000" w:rsidR="00000000" w:rsidRPr="00000000">
        <w:rPr>
          <w:b w:val="1"/>
          <w:rtl w:val="0"/>
        </w:rPr>
        <w:t xml:space="preserve">how much you can store and index</w:t>
      </w:r>
      <w:r w:rsidDel="00000000" w:rsidR="00000000" w:rsidRPr="00000000">
        <w:rPr>
          <w:rtl w:val="0"/>
        </w:rPr>
        <w:t xml:space="preserve">, not by the model’s window. If your memory holds 10 TB of LoreTokens, SAIQL can address it; the model still sees only the </w:t>
      </w:r>
      <w:r w:rsidDel="00000000" w:rsidR="00000000" w:rsidRPr="00000000">
        <w:rPr>
          <w:b w:val="1"/>
          <w:rtl w:val="0"/>
        </w:rPr>
        <w:t xml:space="preserve">few KB</w:t>
      </w:r>
      <w:r w:rsidDel="00000000" w:rsidR="00000000" w:rsidRPr="00000000">
        <w:rPr>
          <w:rtl w:val="0"/>
        </w:rPr>
        <w:t xml:space="preserve"> it needs </w:t>
      </w:r>
      <w:r w:rsidDel="00000000" w:rsidR="00000000" w:rsidRPr="00000000">
        <w:rPr>
          <w:b w:val="1"/>
          <w:rtl w:val="0"/>
        </w:rPr>
        <w:t xml:space="preserve">right now, but is able to access SAIQL stored data as needed.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architecture also enables </w:t>
      </w:r>
      <w:r w:rsidDel="00000000" w:rsidR="00000000" w:rsidRPr="00000000">
        <w:rPr>
          <w:b w:val="1"/>
          <w:rtl w:val="0"/>
        </w:rPr>
        <w:t xml:space="preserve">deep, permanent cross-session memory</w:t>
      </w:r>
      <w:r w:rsidDel="00000000" w:rsidR="00000000" w:rsidRPr="00000000">
        <w:rPr>
          <w:rtl w:val="0"/>
        </w:rPr>
        <w:t xml:space="preserve">: knowledge is stored once, </w:t>
      </w:r>
      <w:r w:rsidDel="00000000" w:rsidR="00000000" w:rsidRPr="00000000">
        <w:rPr>
          <w:b w:val="1"/>
          <w:rtl w:val="0"/>
        </w:rPr>
        <w:t xml:space="preserve">versioned</w:t>
      </w:r>
      <w:r w:rsidDel="00000000" w:rsidR="00000000" w:rsidRPr="00000000">
        <w:rPr>
          <w:rtl w:val="0"/>
        </w:rPr>
        <w:t xml:space="preserve">, and recalled on demand—so the system </w:t>
      </w:r>
      <w:r w:rsidDel="00000000" w:rsidR="00000000" w:rsidRPr="00000000">
        <w:rPr>
          <w:b w:val="1"/>
          <w:rtl w:val="0"/>
        </w:rPr>
        <w:t xml:space="preserve">doesn’t forget</w:t>
      </w:r>
      <w:r w:rsidDel="00000000" w:rsidR="00000000" w:rsidRPr="00000000">
        <w:rPr>
          <w:rtl w:val="0"/>
        </w:rPr>
        <w:t xml:space="preserve"> across sessions. Identities, decisions, and rationale persist, making behavior </w:t>
      </w:r>
      <w:r w:rsidDel="00000000" w:rsidR="00000000" w:rsidRPr="00000000">
        <w:rPr>
          <w:b w:val="1"/>
          <w:rtl w:val="0"/>
        </w:rPr>
        <w:t xml:space="preserve">cumulative</w:t>
      </w:r>
      <w:r w:rsidDel="00000000" w:rsidR="00000000" w:rsidRPr="00000000">
        <w:rPr>
          <w:rtl w:val="0"/>
        </w:rPr>
        <w:t xml:space="preserve"> rather than reset-prone. And because SAIQL exposes a structured memory and query layer, developers can give agents </w:t>
      </w:r>
      <w:r w:rsidDel="00000000" w:rsidR="00000000" w:rsidRPr="00000000">
        <w:rPr>
          <w:b w:val="1"/>
          <w:rtl w:val="0"/>
        </w:rPr>
        <w:t xml:space="preserve">stronger reasoning and genuine reflection</w:t>
      </w:r>
      <w:r w:rsidDel="00000000" w:rsidR="00000000" w:rsidRPr="00000000">
        <w:rPr>
          <w:rtl w:val="0"/>
        </w:rPr>
        <w:t xml:space="preserve">—reviewing prior choices, tracing the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behind them, and updating policies based on outcomes—</w:t>
      </w:r>
      <w:r w:rsidDel="00000000" w:rsidR="00000000" w:rsidRPr="00000000">
        <w:rPr>
          <w:b w:val="1"/>
          <w:rtl w:val="0"/>
        </w:rPr>
        <w:t xml:space="preserve">closing a critical gap in modern 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Why SAIQL is uniquely capable:</w:t>
      </w:r>
      <w:r w:rsidDel="00000000" w:rsidR="00000000" w:rsidRPr="00000000">
        <w:rPr>
          <w:rtl w:val="0"/>
        </w:rPr>
        <w:t xml:space="preserve"> Unlike relational, document, key-value, or vector databases—which store bytes and return blobs—</w:t>
      </w:r>
      <w:r w:rsidDel="00000000" w:rsidR="00000000" w:rsidRPr="00000000">
        <w:rPr>
          <w:b w:val="1"/>
          <w:rtl w:val="0"/>
        </w:rPr>
        <w:t xml:space="preserve">SAIQL stores and queries </w:t>
      </w:r>
      <w:r w:rsidDel="00000000" w:rsidR="00000000" w:rsidRPr="00000000">
        <w:rPr>
          <w:b w:val="1"/>
          <w:i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. LoreTokens make knowledge </w:t>
      </w:r>
      <w:r w:rsidDel="00000000" w:rsidR="00000000" w:rsidRPr="00000000">
        <w:rPr>
          <w:b w:val="1"/>
          <w:rtl w:val="0"/>
        </w:rPr>
        <w:t xml:space="preserve">usable while compressed</w:t>
      </w:r>
      <w:r w:rsidDel="00000000" w:rsidR="00000000" w:rsidRPr="00000000">
        <w:rPr>
          <w:rtl w:val="0"/>
        </w:rPr>
        <w:t xml:space="preserve">, every fact is </w:t>
      </w:r>
      <w:r w:rsidDel="00000000" w:rsidR="00000000" w:rsidRPr="00000000">
        <w:rPr>
          <w:b w:val="1"/>
          <w:rtl w:val="0"/>
        </w:rPr>
        <w:t xml:space="preserve">entity–relation addressable</w:t>
      </w:r>
      <w:r w:rsidDel="00000000" w:rsidR="00000000" w:rsidRPr="00000000">
        <w:rPr>
          <w:rtl w:val="0"/>
        </w:rPr>
        <w:t xml:space="preserve">, and every write is </w:t>
      </w:r>
      <w:r w:rsidDel="00000000" w:rsidR="00000000" w:rsidRPr="00000000">
        <w:rPr>
          <w:b w:val="1"/>
          <w:rtl w:val="0"/>
        </w:rPr>
        <w:t xml:space="preserve">versioned with provenance</w:t>
      </w:r>
      <w:r w:rsidDel="00000000" w:rsidR="00000000" w:rsidRPr="00000000">
        <w:rPr>
          <w:rtl w:val="0"/>
        </w:rPr>
        <w:t xml:space="preserve">. Query plans compile straight into </w:t>
      </w:r>
      <w:r w:rsidDel="00000000" w:rsidR="00000000" w:rsidRPr="00000000">
        <w:rPr>
          <w:b w:val="1"/>
          <w:rtl w:val="0"/>
        </w:rPr>
        <w:t xml:space="preserve">compact conditioning payloads</w:t>
      </w:r>
      <w:r w:rsidDel="00000000" w:rsidR="00000000" w:rsidRPr="00000000">
        <w:rPr>
          <w:rtl w:val="0"/>
        </w:rPr>
        <w:t xml:space="preserve"> (not megatoken prompts), with built-in </w:t>
      </w:r>
      <w:r w:rsidDel="00000000" w:rsidR="00000000" w:rsidRPr="00000000">
        <w:rPr>
          <w:b w:val="1"/>
          <w:rtl w:val="0"/>
        </w:rPr>
        <w:t xml:space="preserve">temporal snapshots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policy/guardrails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citation trails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tight loop—</w:t>
      </w:r>
      <w:r w:rsidDel="00000000" w:rsidR="00000000" w:rsidRPr="00000000">
        <w:rPr>
          <w:b w:val="1"/>
          <w:rtl w:val="0"/>
        </w:rPr>
        <w:t xml:space="preserve">symbolic memory → query plan → tiny on-GPU conditioning → reflection hooks back into memory</w:t>
      </w:r>
      <w:r w:rsidDel="00000000" w:rsidR="00000000" w:rsidRPr="00000000">
        <w:rPr>
          <w:rtl w:val="0"/>
        </w:rPr>
        <w:t xml:space="preserve">—is what enables permanent cross-session recall </w:t>
      </w:r>
      <w:r w:rsidDel="00000000" w:rsidR="00000000" w:rsidRPr="00000000">
        <w:rPr>
          <w:i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iterative self-improvement. Traditional DBs can index or vectorize; </w:t>
      </w:r>
      <w:r w:rsidDel="00000000" w:rsidR="00000000" w:rsidRPr="00000000">
        <w:rPr>
          <w:b w:val="1"/>
          <w:rtl w:val="0"/>
        </w:rPr>
        <w:t xml:space="preserve">only SAIQL unifies semantic storage, deterministic retrieval, and model-ready conditioning in one engine</w:t>
      </w:r>
      <w:r w:rsidDel="00000000" w:rsidR="00000000" w:rsidRPr="00000000">
        <w:rPr>
          <w:rtl w:val="0"/>
        </w:rPr>
        <w:t xml:space="preserve">, making “never forget + reason over what was learned” actually work at production speed.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99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lnaJZ5RC4dZGhCMSJpSN7ti3gQ==">CgMxLjAaIwoBMBIeChwIB0IYCgtSb2JvdG8gTW9ubxIJTm92YSBNb25vMg5oLnE2eHdhZnNxNXJ0ZTIOaC40b3Nrd252cnl6eDcyDmgucWg2YmlnY3V6NGxxMg5oLmhyY2c0ZHZreGMxcDIOaC54cGJhNWh5Z2Q1djgyDmguMWFndXF3dGZjYTQ4Mg5oLjlkdzA4OGs0ZXR4eDgAciExOHhJbjFQcE9UNEFCTjhXWVR6bEFuWk1IZ19kd01qTGY=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