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2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Calibri" w:cs="Calibri" w:eastAsia="Calibri" w:hAnsi="Calibri"/>
          <w:b w:val="1"/>
          <w:bCs w:val="1"/>
          <w:color w:val="2d8c4e"/>
          <w:sz w:val="72"/>
          <w:szCs w:val="72"/>
          <w:rtl w:val="0"/>
        </w:rPr>
        <w:t xml:space="preserve">DSMarket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Calibri" w:cs="Calibri" w:eastAsia="Calibri" w:hAnsi="Calibri"/>
          <w:color w:val="1a5c34"/>
          <w:sz w:val="32"/>
          <w:szCs w:val="32"/>
          <w:rtl w:val="0"/>
        </w:rPr>
        <w:t xml:space="preserve">Trabajo Final de Máster — Data Science &amp; AI</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Calibri" w:cs="Calibri" w:eastAsia="Calibri" w:hAnsi="Calibri"/>
          <w:color w:val="888888"/>
          <w:sz w:val="24"/>
          <w:szCs w:val="24"/>
          <w:rtl w:val="0"/>
        </w:rPr>
        <w:t xml:space="preserve">Nuclio Digital School · 2025</w:t>
      </w: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5ee" w:val="clear"/>
            <w:tcMar>
              <w:top w:w="120.0" w:type="dxa"/>
              <w:left w:w="180.0" w:type="dxa"/>
              <w:bottom w:w="120.0" w:type="dxa"/>
              <w:right w:w="120.0" w:type="dxa"/>
            </w:tcMar>
          </w:tcPr>
          <w:p w:rsidR="00000000" w:rsidDel="00000000" w:rsidP="00000000" w:rsidRDefault="00000000" w:rsidRPr="00000000" w14:paraId="00000005">
            <w:pPr>
              <w:spacing w:after="60" w:lineRule="auto"/>
              <w:rPr/>
            </w:pPr>
            <w:r w:rsidDel="00000000" w:rsidR="00000000" w:rsidRPr="00000000">
              <w:rPr>
                <w:rFonts w:ascii="Calibri" w:cs="Calibri" w:eastAsia="Calibri" w:hAnsi="Calibri"/>
                <w:b w:val="1"/>
                <w:bCs w:val="1"/>
                <w:color w:val="1a5c34"/>
                <w:sz w:val="18"/>
                <w:szCs w:val="18"/>
                <w:rtl w:val="0"/>
              </w:rPr>
              <w:t xml:space="preserve">Autores</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color w:val="555555"/>
                <w:sz w:val="18"/>
                <w:szCs w:val="18"/>
                <w:rtl w:val="0"/>
              </w:rPr>
              <w:t xml:space="preserve">Alejandro Torregrosa</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color w:val="555555"/>
                <w:sz w:val="18"/>
                <w:szCs w:val="18"/>
                <w:rtl w:val="0"/>
              </w:rPr>
              <w:t xml:space="preserve">Jesús Durán</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color w:val="555555"/>
                <w:sz w:val="18"/>
                <w:szCs w:val="18"/>
                <w:rtl w:val="0"/>
              </w:rPr>
              <w:t xml:space="preserve">Mateo Pascual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5ee" w:val="clear"/>
            <w:tcMar>
              <w:top w:w="120.0" w:type="dxa"/>
              <w:left w:w="180.0" w:type="dxa"/>
              <w:bottom w:w="120.0" w:type="dxa"/>
              <w:right w:w="120.0" w:type="dxa"/>
            </w:tcMar>
          </w:tcPr>
          <w:p w:rsidR="00000000" w:rsidDel="00000000" w:rsidP="00000000" w:rsidRDefault="00000000" w:rsidRPr="00000000" w14:paraId="00000009">
            <w:pPr>
              <w:spacing w:after="60" w:lineRule="auto"/>
              <w:rPr/>
            </w:pPr>
            <w:r w:rsidDel="00000000" w:rsidR="00000000" w:rsidRPr="00000000">
              <w:rPr>
                <w:rFonts w:ascii="Calibri" w:cs="Calibri" w:eastAsia="Calibri" w:hAnsi="Calibri"/>
                <w:b w:val="1"/>
                <w:bCs w:val="1"/>
                <w:color w:val="1a5c34"/>
                <w:sz w:val="18"/>
                <w:szCs w:val="18"/>
                <w:rtl w:val="0"/>
              </w:rPr>
              <w:t xml:space="preserve">Tutores</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color w:val="555555"/>
                <w:sz w:val="18"/>
                <w:szCs w:val="18"/>
                <w:rtl w:val="0"/>
              </w:rPr>
              <w:t xml:space="preserve">Raquel Revilla Bous</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color w:val="555555"/>
                <w:sz w:val="18"/>
                <w:szCs w:val="18"/>
                <w:rtl w:val="0"/>
              </w:rPr>
              <w:t xml:space="preserve">Matías José Hermida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tbl>
      <w:tblPr>
        <w:tblStyle w:val="Table2"/>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E">
            <w:pPr>
              <w:spacing w:after="40" w:lineRule="auto"/>
              <w:rPr/>
            </w:pPr>
            <w:r w:rsidDel="00000000" w:rsidR="00000000" w:rsidRPr="00000000">
              <w:rPr>
                <w:rFonts w:ascii="Calibri" w:cs="Calibri" w:eastAsia="Calibri" w:hAnsi="Calibri"/>
                <w:b w:val="1"/>
                <w:bCs w:val="1"/>
                <w:color w:val="1a5c34"/>
                <w:sz w:val="18"/>
                <w:szCs w:val="18"/>
                <w:rtl w:val="0"/>
              </w:rPr>
              <w:t xml:space="preserve">Programa</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color w:val="555555"/>
                <w:sz w:val="18"/>
                <w:szCs w:val="18"/>
                <w:rtl w:val="0"/>
              </w:rPr>
              <w:t xml:space="preserve">Máster en Data Science &amp;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10">
            <w:pPr>
              <w:spacing w:after="40" w:lineRule="auto"/>
              <w:rPr/>
            </w:pPr>
            <w:r w:rsidDel="00000000" w:rsidR="00000000" w:rsidRPr="00000000">
              <w:rPr>
                <w:rFonts w:ascii="Calibri" w:cs="Calibri" w:eastAsia="Calibri" w:hAnsi="Calibri"/>
                <w:b w:val="1"/>
                <w:bCs w:val="1"/>
                <w:color w:val="1a5c34"/>
                <w:sz w:val="18"/>
                <w:szCs w:val="18"/>
                <w:rtl w:val="0"/>
              </w:rPr>
              <w:t xml:space="preserve">Fecha de entrega</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color w:val="555555"/>
                <w:sz w:val="18"/>
                <w:szCs w:val="18"/>
                <w:rtl w:val="0"/>
              </w:rPr>
              <w:t xml:space="preserve">Abril 202</w:t>
            </w:r>
            <w:r w:rsidDel="00000000" w:rsidR="00000000" w:rsidRPr="00000000">
              <w:rPr>
                <w:color w:val="555555"/>
                <w:sz w:val="18"/>
                <w:szCs w:val="18"/>
                <w:rtl w:val="0"/>
              </w:rPr>
              <w:t xml:space="preserve">6</w:t>
            </w:r>
            <w:r w:rsidDel="00000000" w:rsidR="00000000" w:rsidRPr="00000000">
              <w:rPr>
                <w:rtl w:val="0"/>
              </w:rPr>
            </w:r>
          </w:p>
        </w:tc>
      </w:tr>
    </w:tbl>
    <w:p w:rsidR="00000000" w:rsidDel="00000000" w:rsidP="00000000" w:rsidRDefault="00000000" w:rsidRPr="00000000" w14:paraId="00000012">
      <w:pPr>
        <w:spacing w:after="0" w:before="6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2d8c4e" w:space="4" w:sz="6" w:val="single"/>
        </w:pBdr>
        <w:spacing w:after="200" w:before="400" w:lineRule="auto"/>
        <w:rPr/>
      </w:pPr>
      <w:r w:rsidDel="00000000" w:rsidR="00000000" w:rsidRPr="00000000">
        <w:rPr>
          <w:rFonts w:ascii="Calibri" w:cs="Calibri" w:eastAsia="Calibri" w:hAnsi="Calibri"/>
          <w:b w:val="1"/>
          <w:bCs w:val="1"/>
          <w:color w:val="1a5c34"/>
          <w:sz w:val="32"/>
          <w:szCs w:val="32"/>
          <w:rtl w:val="0"/>
        </w:rPr>
        <w:t xml:space="preserve">Índice</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0"/>
        <w:gridCol w:w="1860"/>
        <w:tblGridChange w:id="0">
          <w:tblGrid>
            <w:gridCol w:w="7500"/>
            <w:gridCol w:w="1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6">
            <w:pPr>
              <w:rPr/>
            </w:pPr>
            <w:r w:rsidDel="00000000" w:rsidR="00000000" w:rsidRPr="00000000">
              <w:rPr>
                <w:rFonts w:ascii="Calibri" w:cs="Calibri" w:eastAsia="Calibri" w:hAnsi="Calibri"/>
                <w:color w:val="555555"/>
                <w:sz w:val="20"/>
                <w:szCs w:val="20"/>
                <w:rtl w:val="0"/>
              </w:rPr>
              <w:t xml:space="preserve">1. Introducción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7">
            <w:pPr>
              <w:jc w:val="right"/>
              <w:rPr/>
            </w:pPr>
            <w:r w:rsidDel="00000000" w:rsidR="00000000" w:rsidRPr="00000000">
              <w:rPr>
                <w:rFonts w:ascii="Calibri" w:cs="Calibri" w:eastAsia="Calibri" w:hAnsi="Calibri"/>
                <w:color w:val="888888"/>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8">
            <w:pPr>
              <w:rPr/>
            </w:pPr>
            <w:r w:rsidDel="00000000" w:rsidR="00000000" w:rsidRPr="00000000">
              <w:rPr>
                <w:rFonts w:ascii="Calibri" w:cs="Calibri" w:eastAsia="Calibri" w:hAnsi="Calibri"/>
                <w:color w:val="555555"/>
                <w:sz w:val="20"/>
                <w:szCs w:val="20"/>
                <w:rtl w:val="0"/>
              </w:rPr>
              <w:t xml:space="preserve">2. 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9">
            <w:pPr>
              <w:jc w:val="right"/>
              <w:rPr/>
            </w:pPr>
            <w:r w:rsidDel="00000000" w:rsidR="00000000" w:rsidRPr="00000000">
              <w:rPr>
                <w:rFonts w:ascii="Calibri" w:cs="Calibri" w:eastAsia="Calibri" w:hAnsi="Calibri"/>
                <w:color w:val="888888"/>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A">
            <w:pPr>
              <w:rPr/>
            </w:pPr>
            <w:r w:rsidDel="00000000" w:rsidR="00000000" w:rsidRPr="00000000">
              <w:rPr>
                <w:rFonts w:ascii="Calibri" w:cs="Calibri" w:eastAsia="Calibri" w:hAnsi="Calibri"/>
                <w:color w:val="555555"/>
                <w:sz w:val="20"/>
                <w:szCs w:val="20"/>
                <w:rtl w:val="0"/>
              </w:rPr>
              <w:t xml:space="preserve">3. Metodología empleada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B">
            <w:pPr>
              <w:jc w:val="right"/>
              <w:rPr/>
            </w:pPr>
            <w:r w:rsidDel="00000000" w:rsidR="00000000" w:rsidRPr="00000000">
              <w:rPr>
                <w:rFonts w:ascii="Calibri" w:cs="Calibri" w:eastAsia="Calibri" w:hAnsi="Calibri"/>
                <w:color w:val="888888"/>
                <w:sz w:val="20"/>
                <w:szCs w:val="20"/>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C">
            <w:pPr>
              <w:rPr/>
            </w:pPr>
            <w:r w:rsidDel="00000000" w:rsidR="00000000" w:rsidRPr="00000000">
              <w:rPr>
                <w:rFonts w:ascii="Calibri" w:cs="Calibri" w:eastAsia="Calibri" w:hAnsi="Calibri"/>
                <w:color w:val="555555"/>
                <w:sz w:val="20"/>
                <w:szCs w:val="20"/>
                <w:rtl w:val="0"/>
              </w:rPr>
              <w:t xml:space="preserve">   3.1 Dataset y fuente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D">
            <w:pPr>
              <w:jc w:val="right"/>
              <w:rPr/>
            </w:pPr>
            <w:r w:rsidDel="00000000" w:rsidR="00000000" w:rsidRPr="00000000">
              <w:rPr>
                <w:rFonts w:ascii="Calibri" w:cs="Calibri" w:eastAsia="Calibri" w:hAnsi="Calibri"/>
                <w:color w:val="888888"/>
                <w:sz w:val="20"/>
                <w:szCs w:val="20"/>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E">
            <w:pPr>
              <w:rPr/>
            </w:pPr>
            <w:r w:rsidDel="00000000" w:rsidR="00000000" w:rsidRPr="00000000">
              <w:rPr>
                <w:rFonts w:ascii="Calibri" w:cs="Calibri" w:eastAsia="Calibri" w:hAnsi="Calibri"/>
                <w:color w:val="555555"/>
                <w:sz w:val="20"/>
                <w:szCs w:val="20"/>
                <w:rtl w:val="0"/>
              </w:rPr>
              <w:t xml:space="preserve">   3.2 EDA e historia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F">
            <w:pPr>
              <w:jc w:val="right"/>
              <w:rPr/>
            </w:pPr>
            <w:r w:rsidDel="00000000" w:rsidR="00000000" w:rsidRPr="00000000">
              <w:rPr>
                <w:rFonts w:ascii="Calibri" w:cs="Calibri" w:eastAsia="Calibri" w:hAnsi="Calibri"/>
                <w:color w:val="888888"/>
                <w:sz w:val="20"/>
                <w:szCs w:val="20"/>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0">
            <w:pPr>
              <w:rPr/>
            </w:pPr>
            <w:r w:rsidDel="00000000" w:rsidR="00000000" w:rsidRPr="00000000">
              <w:rPr>
                <w:rFonts w:ascii="Calibri" w:cs="Calibri" w:eastAsia="Calibri" w:hAnsi="Calibri"/>
                <w:color w:val="555555"/>
                <w:sz w:val="20"/>
                <w:szCs w:val="20"/>
                <w:rtl w:val="0"/>
              </w:rPr>
              <w:t xml:space="preserve">   3.3 Clustering de productos y tiendas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1">
            <w:pPr>
              <w:jc w:val="right"/>
              <w:rPr/>
            </w:pPr>
            <w:r w:rsidDel="00000000" w:rsidR="00000000" w:rsidRPr="00000000">
              <w:rPr>
                <w:rFonts w:ascii="Calibri" w:cs="Calibri" w:eastAsia="Calibri" w:hAnsi="Calibri"/>
                <w:color w:val="888888"/>
                <w:sz w:val="20"/>
                <w:szCs w:val="20"/>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2">
            <w:pPr>
              <w:rPr/>
            </w:pPr>
            <w:r w:rsidDel="00000000" w:rsidR="00000000" w:rsidRPr="00000000">
              <w:rPr>
                <w:rFonts w:ascii="Calibri" w:cs="Calibri" w:eastAsia="Calibri" w:hAnsi="Calibri"/>
                <w:color w:val="555555"/>
                <w:sz w:val="20"/>
                <w:szCs w:val="20"/>
                <w:rtl w:val="0"/>
              </w:rPr>
              <w:t xml:space="preserve">   3.4 Forecasting de demanda (E1, E2, 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3">
            <w:pPr>
              <w:jc w:val="right"/>
              <w:rPr/>
            </w:pPr>
            <w:r w:rsidDel="00000000" w:rsidR="00000000" w:rsidRPr="00000000">
              <w:rPr>
                <w:rFonts w:ascii="Calibri" w:cs="Calibri" w:eastAsia="Calibri" w:hAnsi="Calibri"/>
                <w:color w:val="888888"/>
                <w:sz w:val="20"/>
                <w:szCs w:val="20"/>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4">
            <w:pPr>
              <w:rPr/>
            </w:pPr>
            <w:r w:rsidDel="00000000" w:rsidR="00000000" w:rsidRPr="00000000">
              <w:rPr>
                <w:rFonts w:ascii="Calibri" w:cs="Calibri" w:eastAsia="Calibri" w:hAnsi="Calibri"/>
                <w:color w:val="555555"/>
                <w:sz w:val="20"/>
                <w:szCs w:val="20"/>
                <w:rtl w:val="0"/>
              </w:rPr>
              <w:t xml:space="preserve">   3.5 Sistema de reposición inteligente de 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5">
            <w:pPr>
              <w:jc w:val="right"/>
              <w:rPr/>
            </w:pPr>
            <w:r w:rsidDel="00000000" w:rsidR="00000000" w:rsidRPr="00000000">
              <w:rPr>
                <w:rFonts w:ascii="Calibri" w:cs="Calibri" w:eastAsia="Calibri" w:hAnsi="Calibri"/>
                <w:color w:val="888888"/>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6">
            <w:pPr>
              <w:rPr/>
            </w:pPr>
            <w:r w:rsidDel="00000000" w:rsidR="00000000" w:rsidRPr="00000000">
              <w:rPr>
                <w:rFonts w:ascii="Calibri" w:cs="Calibri" w:eastAsia="Calibri" w:hAnsi="Calibri"/>
                <w:color w:val="555555"/>
                <w:sz w:val="20"/>
                <w:szCs w:val="20"/>
                <w:rtl w:val="0"/>
              </w:rPr>
              <w:t xml:space="preserve">   3.6 Pipeline y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7">
            <w:pPr>
              <w:jc w:val="right"/>
              <w:rPr/>
            </w:pPr>
            <w:r w:rsidDel="00000000" w:rsidR="00000000" w:rsidRPr="00000000">
              <w:rPr>
                <w:rFonts w:ascii="Calibri" w:cs="Calibri" w:eastAsia="Calibri" w:hAnsi="Calibri"/>
                <w:color w:val="888888"/>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8">
            <w:pPr>
              <w:rPr/>
            </w:pPr>
            <w:r w:rsidDel="00000000" w:rsidR="00000000" w:rsidRPr="00000000">
              <w:rPr>
                <w:rFonts w:ascii="Calibri" w:cs="Calibri" w:eastAsia="Calibri" w:hAnsi="Calibri"/>
                <w:color w:val="555555"/>
                <w:sz w:val="20"/>
                <w:szCs w:val="20"/>
                <w:rtl w:val="0"/>
              </w:rPr>
              <w:t xml:space="preserve">4. Resultados y Conclusiones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9">
            <w:pPr>
              <w:jc w:val="right"/>
              <w:rPr/>
            </w:pPr>
            <w:r w:rsidDel="00000000" w:rsidR="00000000" w:rsidRPr="00000000">
              <w:rPr>
                <w:rFonts w:ascii="Calibri" w:cs="Calibri" w:eastAsia="Calibri" w:hAnsi="Calibri"/>
                <w:color w:val="888888"/>
                <w:sz w:val="20"/>
                <w:szCs w:val="20"/>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A">
            <w:pPr>
              <w:rPr/>
            </w:pPr>
            <w:r w:rsidDel="00000000" w:rsidR="00000000" w:rsidRPr="00000000">
              <w:rPr>
                <w:rFonts w:ascii="Calibri" w:cs="Calibri" w:eastAsia="Calibri" w:hAnsi="Calibri"/>
                <w:color w:val="555555"/>
                <w:sz w:val="20"/>
                <w:szCs w:val="20"/>
                <w:rtl w:val="0"/>
              </w:rPr>
              <w:t xml:space="preserve">5. Referencias y Bibliografía (APA)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B">
            <w:pPr>
              <w:jc w:val="right"/>
              <w:rPr/>
            </w:pPr>
            <w:r w:rsidDel="00000000" w:rsidR="00000000" w:rsidRPr="00000000">
              <w:rPr>
                <w:rFonts w:ascii="Calibri" w:cs="Calibri" w:eastAsia="Calibri" w:hAnsi="Calibri"/>
                <w:color w:val="888888"/>
                <w:sz w:val="20"/>
                <w:szCs w:val="20"/>
                <w:rtl w:val="0"/>
              </w:rPr>
              <w:t xml:space="preserve">10</w:t>
            </w: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2d8c4e" w:space="4" w:sz="6" w:val="single"/>
        </w:pBdr>
        <w:spacing w:after="200" w:before="400" w:lineRule="auto"/>
        <w:rPr/>
      </w:pPr>
      <w:r w:rsidDel="00000000" w:rsidR="00000000" w:rsidRPr="00000000">
        <w:rPr>
          <w:rFonts w:ascii="Calibri" w:cs="Calibri" w:eastAsia="Calibri" w:hAnsi="Calibri"/>
          <w:b w:val="1"/>
          <w:bCs w:val="1"/>
          <w:color w:val="1a5c34"/>
          <w:sz w:val="32"/>
          <w:szCs w:val="32"/>
          <w:rtl w:val="0"/>
        </w:rPr>
        <w:t xml:space="preserve">1. Introducción</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spacing w:after="100" w:before="100" w:lineRule="auto"/>
        <w:jc w:val="both"/>
        <w:rPr/>
      </w:pPr>
      <w:r w:rsidDel="00000000" w:rsidR="00000000" w:rsidRPr="00000000">
        <w:rPr>
          <w:rFonts w:ascii="Calibri" w:cs="Calibri" w:eastAsia="Calibri" w:hAnsi="Calibri"/>
          <w:color w:val="555555"/>
          <w:sz w:val="22"/>
          <w:szCs w:val="22"/>
          <w:rtl w:val="0"/>
        </w:rPr>
        <w:t xml:space="preserve">DSMarket, anteriormente conocida como TradiStores, es una pequeña cadena de supermercados situada en Estados Unidos que se encuentra en una fase temprana de transformación digital. La empresa opera tiendas en tres ciudades —Nueva York, Boston y Philadelphia— y gestiona actualmente la reposición de stock mediante procesos manuales y reglas fijas, lo que genera de forma recurrente dos problemas operativos: roturas de stock en productos de alta demanda y exceso de inventario en artículos de baja rotación.</w:t>
      </w: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p w:rsidR="00000000" w:rsidDel="00000000" w:rsidP="00000000" w:rsidRDefault="00000000" w:rsidRPr="00000000" w14:paraId="00000031">
      <w:pPr>
        <w:spacing w:after="100" w:before="100" w:lineRule="auto"/>
        <w:jc w:val="both"/>
        <w:rPr/>
      </w:pPr>
      <w:r w:rsidDel="00000000" w:rsidR="00000000" w:rsidRPr="00000000">
        <w:rPr>
          <w:rFonts w:ascii="Calibri" w:cs="Calibri" w:eastAsia="Calibri" w:hAnsi="Calibri"/>
          <w:color w:val="555555"/>
          <w:sz w:val="22"/>
          <w:szCs w:val="22"/>
          <w:rtl w:val="0"/>
        </w:rPr>
        <w:t xml:space="preserve">Este Trabajo Final de Máster aborda un caso de uso centrado en la predicción de demanda y su aplicación a la reposición de stock en tiendas. El proyecto se plantea como un ejercicio de role-play en el que el equipo asume el papel de Nicole Chen, Data Scientist Sénior incorporada a la compañía para impulsar iniciativas analíticas prioritarias para el área financiera y operativa.</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8c4e" w:space="0" w:sz="8" w:val="single"/>
              <w:left w:color="2d8c4e" w:space="0" w:sz="24" w:val="single"/>
              <w:bottom w:color="000000" w:space="0" w:sz="0" w:val="nil"/>
              <w:right w:color="000000" w:space="0" w:sz="0" w:val="nil"/>
            </w:tcBorders>
            <w:shd w:fill="eaf5ee" w:val="clear"/>
            <w:tcMar>
              <w:top w:w="120.0" w:type="dxa"/>
              <w:left w:w="180.0" w:type="dxa"/>
              <w:bottom w:w="120.0" w:type="dxa"/>
              <w:right w:w="120.0" w:type="dxa"/>
            </w:tcMar>
          </w:tcPr>
          <w:p w:rsidR="00000000" w:rsidDel="00000000" w:rsidP="00000000" w:rsidRDefault="00000000" w:rsidRPr="00000000" w14:paraId="00000033">
            <w:pPr>
              <w:spacing w:after="80" w:before="0" w:lineRule="auto"/>
              <w:rPr/>
            </w:pPr>
            <w:r w:rsidDel="00000000" w:rsidR="00000000" w:rsidRPr="00000000">
              <w:rPr>
                <w:rFonts w:ascii="Calibri" w:cs="Calibri" w:eastAsia="Calibri" w:hAnsi="Calibri"/>
                <w:b w:val="1"/>
                <w:bCs w:val="1"/>
                <w:color w:val="1a5c34"/>
                <w:sz w:val="22"/>
                <w:szCs w:val="22"/>
                <w:rtl w:val="0"/>
              </w:rPr>
              <w:t xml:space="preserve">Contexto de negocio</w:t>
            </w: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Calibri" w:cs="Calibri" w:eastAsia="Calibri" w:hAnsi="Calibri"/>
                <w:color w:val="555555"/>
                <w:sz w:val="20"/>
                <w:szCs w:val="20"/>
                <w:rtl w:val="0"/>
              </w:rPr>
              <w:t xml:space="preserve">La empresa necesita evolucionar desde procesos manuales y predicciones rudimentarias hacia una toma de decisiones más estructurada, apoyada en datos y modelos predictivos. El análisis parte de un dataset histórico de ventas diarias a nivel tienda × producto, enriquecido con información de precios y eventos.</w:t>
            </w:r>
            <w:r w:rsidDel="00000000" w:rsidR="00000000" w:rsidRPr="00000000">
              <w:rPr>
                <w:rtl w:val="0"/>
              </w:rPr>
            </w:r>
          </w:p>
        </w:tc>
      </w:tr>
    </w:tbl>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spacing w:after="100" w:before="100" w:lineRule="auto"/>
        <w:jc w:val="both"/>
        <w:rPr/>
      </w:pPr>
      <w:r w:rsidDel="00000000" w:rsidR="00000000" w:rsidRPr="00000000">
        <w:rPr>
          <w:rFonts w:ascii="Calibri" w:cs="Calibri" w:eastAsia="Calibri" w:hAnsi="Calibri"/>
          <w:color w:val="555555"/>
          <w:sz w:val="22"/>
          <w:szCs w:val="22"/>
          <w:rtl w:val="0"/>
        </w:rPr>
        <w:t xml:space="preserve">El proyecto se articula alrededor de cuatro preguntas clave planteadas por la dirección de DSMarket: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¿Sigue siendo válido predecir a nivel tienda × producto y agregar después a niveles superiores?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¿Cómo construir un forecasting de demanda con horizonte de 28 días de forma razonable y defendible?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¿Cómo conectar ese forecasting con una lógica operativa de reposición de stock?</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¿Cómo plantear una vía realista de productivización mediante código modular y una API?</w:t>
      </w:r>
      <w:r w:rsidDel="00000000" w:rsidR="00000000" w:rsidRPr="00000000">
        <w:rPr>
          <w:rtl w:val="0"/>
        </w:rPr>
      </w:r>
    </w:p>
    <w:p w:rsidR="00000000" w:rsidDel="00000000" w:rsidP="00000000" w:rsidRDefault="00000000" w:rsidRPr="00000000" w14:paraId="0000003B">
      <w:pPr>
        <w:spacing w:after="0" w:before="80" w:lineRule="auto"/>
        <w:rPr/>
      </w:pPr>
      <w:r w:rsidDel="00000000" w:rsidR="00000000" w:rsidRPr="00000000">
        <w:rPr>
          <w:rtl w:val="0"/>
        </w:rPr>
      </w:r>
    </w:p>
    <w:p w:rsidR="00000000" w:rsidDel="00000000" w:rsidP="00000000" w:rsidRDefault="00000000" w:rsidRPr="00000000" w14:paraId="0000003C">
      <w:pPr>
        <w:spacing w:after="100" w:before="100" w:lineRule="auto"/>
        <w:jc w:val="both"/>
        <w:rPr/>
      </w:pPr>
      <w:r w:rsidDel="00000000" w:rsidR="00000000" w:rsidRPr="00000000">
        <w:rPr>
          <w:rFonts w:ascii="Calibri" w:cs="Calibri" w:eastAsia="Calibri" w:hAnsi="Calibri"/>
          <w:color w:val="555555"/>
          <w:sz w:val="22"/>
          <w:szCs w:val="22"/>
          <w:rtl w:val="0"/>
        </w:rPr>
        <w:t xml:space="preserve">El trabajo combina tres capas complementarias: lectura de negocio para entender el problema y sus implicaciones operativas; análisis y modelado para construir una solución predictiva razonable; y planteamiento técnico para mostrar cómo esta solución podría evolucionar hacia un uso más operativo.</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2d8c4e" w:space="4" w:sz="6" w:val="single"/>
        </w:pBdr>
        <w:spacing w:after="200" w:before="400" w:lineRule="auto"/>
        <w:rPr/>
      </w:pPr>
      <w:r w:rsidDel="00000000" w:rsidR="00000000" w:rsidRPr="00000000">
        <w:rPr>
          <w:rFonts w:ascii="Calibri" w:cs="Calibri" w:eastAsia="Calibri" w:hAnsi="Calibri"/>
          <w:b w:val="1"/>
          <w:bCs w:val="1"/>
          <w:color w:val="1a5c34"/>
          <w:sz w:val="32"/>
          <w:szCs w:val="32"/>
          <w:rtl w:val="0"/>
        </w:rPr>
        <w:t xml:space="preserve">2. Objetivos</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p w:rsidR="00000000" w:rsidDel="00000000" w:rsidP="00000000" w:rsidRDefault="00000000" w:rsidRPr="00000000" w14:paraId="00000040">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Objetivo general</w:t>
      </w:r>
      <w:r w:rsidDel="00000000" w:rsidR="00000000" w:rsidRPr="00000000">
        <w:rPr>
          <w:rtl w:val="0"/>
        </w:rPr>
      </w:r>
    </w:p>
    <w:p w:rsidR="00000000" w:rsidDel="00000000" w:rsidP="00000000" w:rsidRDefault="00000000" w:rsidRPr="00000000" w14:paraId="00000041">
      <w:pPr>
        <w:spacing w:after="100" w:before="100" w:lineRule="auto"/>
        <w:jc w:val="both"/>
        <w:rPr/>
      </w:pPr>
      <w:r w:rsidDel="00000000" w:rsidR="00000000" w:rsidRPr="00000000">
        <w:rPr>
          <w:rFonts w:ascii="Calibri" w:cs="Calibri" w:eastAsia="Calibri" w:hAnsi="Calibri"/>
          <w:color w:val="555555"/>
          <w:sz w:val="22"/>
          <w:szCs w:val="22"/>
          <w:rtl w:val="0"/>
        </w:rPr>
        <w:t xml:space="preserve">El objetivo general del proyecto es desarrollar un sistema de forecasting de demanda con horizonte de 28 días a nivel tienda × producto, y traducir ese resultado a una propuesta operativa de reposición inteligente de stock para la cadena DSMarket, demostrando además una vía realista de productivización de la solución.</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Objetivos específicos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Realizar un análisis exploratorio de datos orientado al negocio, identificando patrones temporales de ventas, diferencias por ciudad y categoría, y focos de riesgo operativo.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Construir una segmentación de productos mediante técnicas de clustering (K-Means) para enriquecer la lectura del surtido y apoyar el análisis contextual.</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Desarrollar y comparar varios modelos de forecasting (baselines, LightGBM con distintas variantes de features) evaluados mediante validación rolling sin leakage temporal.</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Seleccionar el modelo operativo más adecuado —considerando no solo las métricas técnicas sino también el comportamiento del sesgo en la predicción— e implementar una calibración en postproceso.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Diseñar una propuesta de sistema de reposición semanal basada en demanda esperada, safety stock y stock disponible, ajustable por nivel de servicio objetivo.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Plantear una arquitectura técnica modular (pipeline, API) que muestre cómo la solución podría consumirse en un entorno más productivo.</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2d8c4e" w:space="4" w:sz="6" w:val="single"/>
        </w:pBdr>
        <w:spacing w:after="200" w:before="400" w:lineRule="auto"/>
        <w:rPr/>
      </w:pPr>
      <w:r w:rsidDel="00000000" w:rsidR="00000000" w:rsidRPr="00000000">
        <w:rPr>
          <w:rFonts w:ascii="Calibri" w:cs="Calibri" w:eastAsia="Calibri" w:hAnsi="Calibri"/>
          <w:b w:val="1"/>
          <w:bCs w:val="1"/>
          <w:color w:val="1a5c34"/>
          <w:sz w:val="32"/>
          <w:szCs w:val="32"/>
          <w:rtl w:val="0"/>
        </w:rPr>
        <w:t xml:space="preserve">3. Metodología empleada</w:t>
      </w:r>
      <w:r w:rsidDel="00000000" w:rsidR="00000000" w:rsidRPr="00000000">
        <w:rPr>
          <w:rtl w:val="0"/>
        </w:rPr>
      </w:r>
    </w:p>
    <w:p w:rsidR="00000000" w:rsidDel="00000000" w:rsidP="00000000" w:rsidRDefault="00000000" w:rsidRPr="00000000" w14:paraId="0000004C">
      <w:pPr>
        <w:spacing w:after="0" w:before="80" w:lineRule="auto"/>
        <w:rPr/>
      </w:pPr>
      <w:r w:rsidDel="00000000" w:rsidR="00000000" w:rsidRPr="00000000">
        <w:rPr>
          <w:rtl w:val="0"/>
        </w:rPr>
      </w:r>
    </w:p>
    <w:p w:rsidR="00000000" w:rsidDel="00000000" w:rsidP="00000000" w:rsidRDefault="00000000" w:rsidRPr="00000000" w14:paraId="0000004D">
      <w:pPr>
        <w:spacing w:after="100" w:before="100" w:lineRule="auto"/>
        <w:jc w:val="both"/>
        <w:rPr/>
      </w:pPr>
      <w:r w:rsidDel="00000000" w:rsidR="00000000" w:rsidRPr="00000000">
        <w:rPr>
          <w:rFonts w:ascii="Calibri" w:cs="Calibri" w:eastAsia="Calibri" w:hAnsi="Calibri"/>
          <w:color w:val="555555"/>
          <w:sz w:val="22"/>
          <w:szCs w:val="22"/>
          <w:rtl w:val="0"/>
        </w:rPr>
        <w:t xml:space="preserve">El proyecto sigue un enfoque iterativo y orientado al negocio, estructurado en cinco fases claramente diferenciadas. Cada fase genera entregables que alimentan la siguiente, manteniendo en todo momento la trazabilidad entre los resultados técnicos y las implicaciones operativas para DSMarket.</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3.1 Dataset y fuente de datos</w:t>
      </w:r>
      <w:r w:rsidDel="00000000" w:rsidR="00000000" w:rsidRPr="00000000">
        <w:rPr>
          <w:rtl w:val="0"/>
        </w:rPr>
      </w:r>
    </w:p>
    <w:p w:rsidR="00000000" w:rsidDel="00000000" w:rsidP="00000000" w:rsidRDefault="00000000" w:rsidRPr="00000000" w14:paraId="00000050">
      <w:pPr>
        <w:spacing w:after="100" w:before="100" w:lineRule="auto"/>
        <w:jc w:val="both"/>
        <w:rPr/>
      </w:pPr>
      <w:r w:rsidDel="00000000" w:rsidR="00000000" w:rsidRPr="00000000">
        <w:rPr>
          <w:rFonts w:ascii="Calibri" w:cs="Calibri" w:eastAsia="Calibri" w:hAnsi="Calibri"/>
          <w:color w:val="555555"/>
          <w:sz w:val="22"/>
          <w:szCs w:val="22"/>
          <w:rtl w:val="0"/>
        </w:rPr>
        <w:t xml:space="preserve">El proyecto se desarrolla sobre el dataset público M5 Forecasting — Accuracy, disponible en Kaggle (Makridakis et al., 2020). Este dataset contiene datos históricos de ventas diarias de Walmart a nivel artículo × tienda, abarcando cinco años de datos (2011–2016) con información de ventas, precios de venta al público y calendario de eventos.</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spacing w:after="100" w:before="100" w:lineRule="auto"/>
        <w:jc w:val="both"/>
        <w:rPr/>
      </w:pPr>
      <w:r w:rsidDel="00000000" w:rsidR="00000000" w:rsidRPr="00000000">
        <w:rPr>
          <w:rFonts w:ascii="Calibri" w:cs="Calibri" w:eastAsia="Calibri" w:hAnsi="Calibri"/>
          <w:color w:val="555555"/>
          <w:sz w:val="22"/>
          <w:szCs w:val="22"/>
          <w:rtl w:val="0"/>
        </w:rPr>
        <w:t>Para el contexto de negocio del proyecto, el dataset se ha reinterpretado como si correspondiera a DSMarket (anteriormente TradiStores), seleccionando las tiendas ubicadas en los estados de Nueva York (identificador CA en el dataset), Boston (identificador TX) y Philadelphia (identificador WI), con tres categorías de producto: SUPERMARKET, HOME &amp; GARDEN y ACCESSORIES.</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0"/>
                <w:szCs w:val="20"/>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4"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1a5c34"/>
                <w:sz w:val="20"/>
                <w:szCs w:val="20"/>
                <w:rtl w:val="0"/>
              </w:rPr>
              <w:t xml:space="preserve">Fuente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color w:val="555555"/>
                <w:sz w:val="20"/>
                <w:szCs w:val="20"/>
                <w:rtl w:val="0"/>
              </w:rPr>
              <w:t xml:space="preserve">M5 Forecasting — Accuracy (Kaggle, 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1a5c34"/>
                <w:sz w:val="20"/>
                <w:szCs w:val="20"/>
                <w:rtl w:val="0"/>
              </w:rPr>
              <w:t xml:space="preserve">Período histórico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color w:val="555555"/>
                <w:sz w:val="20"/>
                <w:szCs w:val="20"/>
                <w:rtl w:val="0"/>
              </w:rPr>
              <w:t xml:space="preserve">2011–2016 (1.913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1a5c34"/>
                <w:sz w:val="20"/>
                <w:szCs w:val="20"/>
                <w:rtl w:val="0"/>
              </w:rPr>
              <w:t xml:space="preserve">Granularidad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color w:val="555555"/>
                <w:sz w:val="20"/>
                <w:szCs w:val="20"/>
                <w:rtl w:val="0"/>
              </w:rPr>
              <w:t xml:space="preserve">Tienda × producto × día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1a5c34"/>
                <w:sz w:val="20"/>
                <w:szCs w:val="20"/>
                <w:rtl w:val="0"/>
              </w:rPr>
              <w:t xml:space="preserve">Número de tiendas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color w:val="555555"/>
                <w:sz w:val="20"/>
                <w:szCs w:val="20"/>
                <w:rtl w:val="0"/>
              </w:rPr>
              <w:t xml:space="preserve">10 tiendas en 3 ciudades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1a5c34"/>
                <w:sz w:val="20"/>
                <w:szCs w:val="20"/>
                <w:rtl w:val="0"/>
              </w:rPr>
              <w:t xml:space="preserve">Categorías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color w:val="555555"/>
                <w:sz w:val="20"/>
                <w:szCs w:val="20"/>
                <w:rtl w:val="0"/>
              </w:rPr>
              <w:t xml:space="preserve">SUPERMARKET, HOME &amp; GARDEN, ACCESSORIES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1a5c34"/>
                <w:sz w:val="20"/>
                <w:szCs w:val="20"/>
                <w:rtl w:val="0"/>
              </w:rPr>
              <w:t xml:space="preserve">Variables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color w:val="555555"/>
                <w:sz w:val="20"/>
                <w:szCs w:val="20"/>
                <w:rtl w:val="0"/>
              </w:rPr>
              <w:t xml:space="preserve">Precios semanales, eventos de calendario</w:t>
            </w:r>
            <w:r w:rsidDel="00000000" w:rsidR="00000000" w:rsidRPr="00000000">
              <w:rPr>
                <w:rtl w:val="0"/>
              </w:rPr>
            </w:r>
          </w:p>
        </w:tc>
      </w:tr>
    </w:tbl>
    <w:p w:rsidR="00000000" w:rsidDel="00000000" w:rsidP="00000000" w:rsidRDefault="00000000" w:rsidRPr="00000000" w14:paraId="00000062">
      <w:pPr>
        <w:spacing w:after="0" w:before="160" w:lineRule="auto"/>
        <w:rPr/>
      </w:pPr>
      <w:r w:rsidDel="00000000" w:rsidR="00000000" w:rsidRPr="00000000">
        <w:rPr>
          <w:rtl w:val="0"/>
        </w:rPr>
      </w:r>
    </w:p>
    <w:p w:rsidR="00000000" w:rsidDel="00000000" w:rsidP="00000000" w:rsidRDefault="00000000" w:rsidRPr="00000000" w14:paraId="00000063">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3.2 EDA e historia de negocio</w:t>
      </w:r>
      <w:r w:rsidDel="00000000" w:rsidR="00000000" w:rsidRPr="00000000">
        <w:rPr>
          <w:rtl w:val="0"/>
        </w:rPr>
      </w:r>
    </w:p>
    <w:p w:rsidR="00000000" w:rsidDel="00000000" w:rsidP="00000000" w:rsidRDefault="00000000" w:rsidRPr="00000000" w14:paraId="00000064">
      <w:pPr>
        <w:spacing w:after="100" w:before="100" w:lineRule="auto"/>
        <w:jc w:val="both"/>
        <w:rPr/>
      </w:pPr>
      <w:r w:rsidDel="00000000" w:rsidR="00000000" w:rsidRPr="00000000">
        <w:rPr>
          <w:rFonts w:ascii="Calibri" w:cs="Calibri" w:eastAsia="Calibri" w:hAnsi="Calibri"/>
          <w:color w:val="555555"/>
          <w:sz w:val="22"/>
          <w:szCs w:val="22"/>
          <w:rtl w:val="0"/>
        </w:rPr>
        <w:t xml:space="preserve">La primera fase del proyecto consiste en un análisis exploratorio orientado al negocio. El objetivo es entender el comportamiento de la demanda antes de construir ningún modelo, identificando estructuras temporales, diferencias entre ciudades y categorías, y focos de mayor riesgo operativo e impacto económico.</w:t>
      </w:r>
      <w:r w:rsidDel="00000000" w:rsidR="00000000" w:rsidRPr="00000000">
        <w:rPr>
          <w:rtl w:val="0"/>
        </w:rPr>
      </w:r>
    </w:p>
    <w:p w:rsidR="00000000" w:rsidDel="00000000" w:rsidP="00000000" w:rsidRDefault="00000000" w:rsidRPr="00000000" w14:paraId="00000065">
      <w:pPr>
        <w:spacing w:after="0" w:before="80" w:lineRule="auto"/>
        <w:rPr/>
      </w:pPr>
      <w:r w:rsidDel="00000000" w:rsidR="00000000" w:rsidRPr="00000000">
        <w:rPr>
          <w:rtl w:val="0"/>
        </w:rPr>
      </w:r>
    </w:p>
    <w:p w:rsidR="00000000" w:rsidDel="00000000" w:rsidP="00000000" w:rsidRDefault="00000000" w:rsidRPr="00000000" w14:paraId="00000066">
      <w:pPr>
        <w:spacing w:after="100" w:before="100" w:lineRule="auto"/>
        <w:jc w:val="both"/>
        <w:rPr/>
      </w:pPr>
      <w:r w:rsidDel="00000000" w:rsidR="00000000" w:rsidRPr="00000000">
        <w:rPr>
          <w:rFonts w:ascii="Calibri" w:cs="Calibri" w:eastAsia="Calibri" w:hAnsi="Calibri"/>
          <w:color w:val="555555"/>
          <w:sz w:val="22"/>
          <w:szCs w:val="22"/>
          <w:rtl w:val="0"/>
        </w:rPr>
        <w:t xml:space="preserve">El análisis parte de la serie agregada global para verificar si la demanda presenta una estructura temporal reconocible. A continuación se desciende al patrón semanal de la demanda, al efecto de los eventos de calendario, y finalmente al nivel ciudad × categoría, donde se construye una matriz de priorización riesgo × impacto.</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8c4e" w:space="0" w:sz="8" w:val="single"/>
              <w:left w:color="2d8c4e" w:space="0" w:sz="24" w:val="single"/>
              <w:bottom w:color="000000" w:space="0" w:sz="0" w:val="nil"/>
              <w:right w:color="000000" w:space="0" w:sz="0" w:val="nil"/>
            </w:tcBorders>
            <w:shd w:fill="eaf5ee" w:val="clear"/>
            <w:tcMar>
              <w:top w:w="120.0" w:type="dxa"/>
              <w:left w:w="180.0" w:type="dxa"/>
              <w:bottom w:w="120.0" w:type="dxa"/>
              <w:right w:w="120.0" w:type="dxa"/>
            </w:tcMar>
          </w:tcPr>
          <w:p w:rsidR="00000000" w:rsidDel="00000000" w:rsidP="00000000" w:rsidRDefault="00000000" w:rsidRPr="00000000" w14:paraId="00000068">
            <w:pPr>
              <w:spacing w:after="80" w:before="0" w:lineRule="auto"/>
              <w:rPr/>
            </w:pPr>
            <w:r w:rsidDel="00000000" w:rsidR="00000000" w:rsidRPr="00000000">
              <w:rPr>
                <w:rFonts w:ascii="Calibri" w:cs="Calibri" w:eastAsia="Calibri" w:hAnsi="Calibri"/>
                <w:b w:val="1"/>
                <w:bCs w:val="1"/>
                <w:color w:val="1a5c34"/>
                <w:sz w:val="22"/>
                <w:szCs w:val="22"/>
                <w:rtl w:val="0"/>
              </w:rPr>
              <w:t xml:space="preserve">Hallazgos principales del EDA</w:t>
            </w:r>
            <w:r w:rsidDel="00000000" w:rsidR="00000000" w:rsidRPr="00000000">
              <w:rPr>
                <w:rtl w:val="0"/>
              </w:rPr>
            </w:r>
          </w:p>
          <w:p w:rsidR="00000000" w:rsidDel="00000000" w:rsidP="00000000" w:rsidRDefault="00000000" w:rsidRPr="00000000" w14:paraId="00000069">
            <w:pPr>
              <w:jc w:val="both"/>
              <w:rPr/>
            </w:pPr>
            <w:r w:rsidDel="00000000" w:rsidR="00000000" w:rsidRPr="00000000">
              <w:rPr>
                <w:rFonts w:ascii="Calibri" w:cs="Calibri" w:eastAsia="Calibri" w:hAnsi="Calibri"/>
                <w:color w:val="555555"/>
                <w:sz w:val="20"/>
                <w:szCs w:val="20"/>
                <w:rtl w:val="0"/>
              </w:rPr>
              <w:t xml:space="preserve">La demanda muestra una estructura temporal reconocible con una estacionalidad semanal clara y diferencias relevantes entre ciudades y categorías. El análisis de precio a nivel agregado sugiere prudencia: el precio medio semanal sirve como proxy ejecutivo, pero no es suficiente para explicar por sí solo la demanda. El análisis a nivel ciudad × categoría confirma que no conviene tratar toda la demanda como homogénea y permite identificar las combinaciones con mayor riesgo operativo.</w:t>
            </w:r>
            <w:r w:rsidDel="00000000" w:rsidR="00000000" w:rsidRPr="00000000">
              <w:rPr>
                <w:rtl w:val="0"/>
              </w:rPr>
            </w:r>
          </w:p>
        </w:tc>
      </w:tr>
    </w:tbl>
    <w:p w:rsidR="00000000" w:rsidDel="00000000" w:rsidP="00000000" w:rsidRDefault="00000000" w:rsidRPr="00000000" w14:paraId="0000006A">
      <w:pPr>
        <w:spacing w:after="0" w:before="160" w:lineRule="auto"/>
        <w:rPr/>
      </w:pPr>
      <w:r w:rsidDel="00000000" w:rsidR="00000000" w:rsidRPr="00000000">
        <w:rPr>
          <w:rtl w:val="0"/>
        </w:rPr>
      </w:r>
    </w:p>
    <w:p w:rsidR="00000000" w:rsidDel="00000000" w:rsidP="00000000" w:rsidRDefault="00000000" w:rsidRPr="00000000" w14:paraId="0000006B">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3.3 Clustering de productos y tiendas</w:t>
      </w:r>
      <w:r w:rsidDel="00000000" w:rsidR="00000000" w:rsidRPr="00000000">
        <w:rPr>
          <w:rtl w:val="0"/>
        </w:rPr>
      </w:r>
    </w:p>
    <w:p w:rsidR="00000000" w:rsidDel="00000000" w:rsidP="00000000" w:rsidRDefault="00000000" w:rsidRPr="00000000" w14:paraId="0000006C">
      <w:pPr>
        <w:spacing w:after="100" w:before="100" w:lineRule="auto"/>
        <w:jc w:val="both"/>
        <w:rPr/>
      </w:pPr>
      <w:r w:rsidDel="00000000" w:rsidR="00000000" w:rsidRPr="00000000">
        <w:rPr>
          <w:rFonts w:ascii="Calibri" w:cs="Calibri" w:eastAsia="Calibri" w:hAnsi="Calibri"/>
          <w:color w:val="555555"/>
          <w:sz w:val="22"/>
          <w:szCs w:val="22"/>
          <w:rtl w:val="0"/>
        </w:rPr>
        <w:t xml:space="preserve">La segunda fase aplica técnicas de segmentación no supervisada para identificar grupos de productos con comportamiento similar. El objetivo es construir una capa contextual que enriquezca el análisis del surtido y sirva de input opcional para el forecasting.</w:t>
      </w:r>
      <w:r w:rsidDel="00000000" w:rsidR="00000000" w:rsidRPr="00000000">
        <w:rPr>
          <w:rtl w:val="0"/>
        </w:rPr>
      </w:r>
    </w:p>
    <w:p w:rsidR="00000000" w:rsidDel="00000000" w:rsidP="00000000" w:rsidRDefault="00000000" w:rsidRPr="00000000" w14:paraId="0000006D">
      <w:pPr>
        <w:spacing w:after="0" w:before="80" w:lineRule="auto"/>
        <w:rPr/>
      </w:pPr>
      <w:r w:rsidDel="00000000" w:rsidR="00000000" w:rsidRPr="00000000">
        <w:rPr>
          <w:rtl w:val="0"/>
        </w:rPr>
      </w:r>
    </w:p>
    <w:p w:rsidR="00000000" w:rsidDel="00000000" w:rsidP="00000000" w:rsidRDefault="00000000" w:rsidRPr="00000000" w14:paraId="0000006E">
      <w:pPr>
        <w:spacing w:after="100" w:before="100" w:lineRule="auto"/>
        <w:jc w:val="both"/>
        <w:rPr/>
      </w:pPr>
      <w:r w:rsidDel="00000000" w:rsidR="00000000" w:rsidRPr="00000000">
        <w:rPr>
          <w:rFonts w:ascii="Calibri" w:cs="Calibri" w:eastAsia="Calibri" w:hAnsi="Calibri"/>
          <w:color w:val="555555"/>
          <w:sz w:val="22"/>
          <w:szCs w:val="22"/>
          <w:rtl w:val="0"/>
        </w:rPr>
        <w:t xml:space="preserve">Cada producto se resume en un conjunto de cinco features interpretables: volumen medio diario, volatilidad (desviación estándar), tendencia lineal, precio medio y estacionalidad. Dado el sesgo positivo de las distribuciones de volumen y dispersión, se aplica una transformación logarítmica (log1p) antes del escalado con StandardScaler.</w:t>
      </w: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p w:rsidR="00000000" w:rsidDel="00000000" w:rsidP="00000000" w:rsidRDefault="00000000" w:rsidRPr="00000000" w14:paraId="00000070">
      <w:pPr>
        <w:spacing w:after="100" w:before="100" w:lineRule="auto"/>
        <w:jc w:val="both"/>
        <w:rPr/>
      </w:pPr>
      <w:r w:rsidDel="00000000" w:rsidR="00000000" w:rsidRPr="00000000">
        <w:rPr>
          <w:rFonts w:ascii="Calibri" w:cs="Calibri" w:eastAsia="Calibri" w:hAnsi="Calibri"/>
          <w:color w:val="555555"/>
          <w:sz w:val="22"/>
          <w:szCs w:val="22"/>
          <w:rtl w:val="0"/>
        </w:rPr>
        <w:t xml:space="preserve">La selección del número óptimo de clusters K se realiza combinando el método del codo (reducción de inercia) y el coeficiente de silueta. Se selecciona K = 4 por ofrecer el mejor equilibrio entre separación estadística y utilidad interpretativa para negocio.</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color w:val="ffffff"/>
                <w:sz w:val="20"/>
                <w:szCs w:val="20"/>
                <w:rtl w:val="0"/>
              </w:rPr>
              <w:t xml:space="preserve">Características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color w:val="555555"/>
                <w:sz w:val="20"/>
                <w:szCs w:val="20"/>
                <w:rtl w:val="0"/>
              </w:rPr>
              <w:t xml:space="preserve">Cluster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1a5c34"/>
                <w:sz w:val="20"/>
                <w:szCs w:val="20"/>
                <w:rtl w:val="0"/>
              </w:rPr>
              <w:t xml:space="preserve">Básicos de alto volumen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color w:val="555555"/>
                <w:sz w:val="20"/>
                <w:szCs w:val="20"/>
                <w:rtl w:val="0"/>
              </w:rPr>
              <w:t xml:space="preserve">Alta rotación, baja volatilidad, precio ~$3.59. Núcleo estable del surtido.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color w:val="555555"/>
                <w:sz w:val="20"/>
                <w:szCs w:val="20"/>
                <w:rtl w:val="0"/>
              </w:rPr>
              <w:t xml:space="preserve">Cluster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1a5c34"/>
                <w:sz w:val="20"/>
                <w:szCs w:val="20"/>
                <w:rtl w:val="0"/>
              </w:rPr>
              <w:t xml:space="preserve">Estacionales volátiles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color w:val="555555"/>
                <w:sz w:val="20"/>
                <w:szCs w:val="20"/>
                <w:rtl w:val="0"/>
              </w:rPr>
              <w:t xml:space="preserve">Alta variabilidad y estacionalidad. Presente en SUPERMARKET y HOME &amp; GARDEN.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color w:val="555555"/>
                <w:sz w:val="20"/>
                <w:szCs w:val="20"/>
                <w:rtl w:val="0"/>
              </w:rPr>
              <w:t xml:space="preserve">Cluster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1a5c34"/>
                <w:sz w:val="20"/>
                <w:szCs w:val="20"/>
                <w:rtl w:val="0"/>
              </w:rPr>
              <w:t xml:space="preserve">Baja rotación volátil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color w:val="555555"/>
                <w:sz w:val="20"/>
                <w:szCs w:val="20"/>
                <w:rtl w:val="0"/>
              </w:rPr>
              <w:t xml:space="preserve">Baja rotación, alta volatilidad. Comportamiento poco consolidado.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color w:val="555555"/>
                <w:sz w:val="20"/>
                <w:szCs w:val="20"/>
                <w:rtl w:val="0"/>
              </w:rPr>
              <w:t xml:space="preserve">Cluster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1a5c34"/>
                <w:sz w:val="20"/>
                <w:szCs w:val="20"/>
                <w:rtl w:val="0"/>
              </w:rPr>
              <w:t xml:space="preserve">Nicho premium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color w:val="555555"/>
                <w:sz w:val="20"/>
                <w:szCs w:val="20"/>
                <w:rtl w:val="0"/>
              </w:rPr>
              <w:t xml:space="preserve">Precio alto (~$11), baja rotación, volatilidad moderada. Dominado por HOME &amp; GARDEN.</w:t>
            </w:r>
            <w:r w:rsidDel="00000000" w:rsidR="00000000" w:rsidRPr="00000000">
              <w:rPr>
                <w:rtl w:val="0"/>
              </w:rPr>
            </w:r>
          </w:p>
        </w:tc>
      </w:tr>
    </w:tbl>
    <w:p w:rsidR="00000000" w:rsidDel="00000000" w:rsidP="00000000" w:rsidRDefault="00000000" w:rsidRPr="00000000" w14:paraId="00000081">
      <w:pPr>
        <w:spacing w:after="0" w:before="160" w:lineRule="auto"/>
        <w:rPr/>
      </w:pPr>
      <w:r w:rsidDel="00000000" w:rsidR="00000000" w:rsidRPr="00000000">
        <w:rPr>
          <w:rtl w:val="0"/>
        </w:rPr>
      </w:r>
    </w:p>
    <w:p w:rsidR="00000000" w:rsidDel="00000000" w:rsidP="00000000" w:rsidRDefault="00000000" w:rsidRPr="00000000" w14:paraId="00000082">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3.4 Forecasting de demanda (E1, E2, E3)</w:t>
      </w:r>
      <w:r w:rsidDel="00000000" w:rsidR="00000000" w:rsidRPr="00000000">
        <w:rPr>
          <w:rtl w:val="0"/>
        </w:rPr>
      </w:r>
    </w:p>
    <w:p w:rsidR="00000000" w:rsidDel="00000000" w:rsidP="00000000" w:rsidRDefault="00000000" w:rsidRPr="00000000" w14:paraId="00000083">
      <w:pPr>
        <w:spacing w:after="100" w:before="100" w:lineRule="auto"/>
        <w:jc w:val="both"/>
        <w:rPr/>
      </w:pPr>
      <w:r w:rsidDel="00000000" w:rsidR="00000000" w:rsidRPr="00000000">
        <w:rPr>
          <w:rFonts w:ascii="Calibri" w:cs="Calibri" w:eastAsia="Calibri" w:hAnsi="Calibri"/>
          <w:color w:val="555555"/>
          <w:sz w:val="22"/>
          <w:szCs w:val="22"/>
          <w:rtl w:val="0"/>
        </w:rPr>
        <w:t xml:space="preserve">La tercera fase constituye el núcleo técnico del proyecto. El objetivo es construir un sistema de forecasting de demanda con horizonte de 28 días a nivel tienda × producto × día, evaluarlo frente a baselines simples y validar si el enfoque bottom-up es adecuado para agregar después a niveles superiores de negocio.</w:t>
      </w:r>
      <w:r w:rsidDel="00000000" w:rsidR="00000000" w:rsidRPr="00000000">
        <w:rPr>
          <w:rtl w:val="0"/>
        </w:rPr>
      </w:r>
    </w:p>
    <w:p w:rsidR="00000000" w:rsidDel="00000000" w:rsidP="00000000" w:rsidRDefault="00000000" w:rsidRPr="00000000" w14:paraId="00000084">
      <w:pPr>
        <w:spacing w:after="0" w:before="80" w:lineRule="auto"/>
        <w:rPr/>
      </w:pPr>
      <w:r w:rsidDel="00000000" w:rsidR="00000000" w:rsidRPr="00000000">
        <w:rPr>
          <w:rtl w:val="0"/>
        </w:rPr>
      </w:r>
    </w:p>
    <w:p w:rsidR="00000000" w:rsidDel="00000000" w:rsidP="00000000" w:rsidRDefault="00000000" w:rsidRPr="00000000" w14:paraId="00000085">
      <w:pPr>
        <w:pStyle w:val="Heading3"/>
        <w:spacing w:after="100" w:before="200" w:lineRule="auto"/>
        <w:rPr/>
      </w:pPr>
      <w:r w:rsidDel="00000000" w:rsidR="00000000" w:rsidRPr="00000000">
        <w:rPr>
          <w:rFonts w:ascii="Calibri" w:cs="Calibri" w:eastAsia="Calibri" w:hAnsi="Calibri"/>
          <w:b w:val="1"/>
          <w:bCs w:val="1"/>
          <w:color w:val="1a5c34"/>
          <w:sz w:val="22"/>
          <w:szCs w:val="22"/>
          <w:rtl w:val="0"/>
        </w:rPr>
        <w:t xml:space="preserve">Panel de datos y split temporal</w:t>
      </w:r>
      <w:r w:rsidDel="00000000" w:rsidR="00000000" w:rsidRPr="00000000">
        <w:rPr>
          <w:rtl w:val="0"/>
        </w:rPr>
      </w:r>
    </w:p>
    <w:p w:rsidR="00000000" w:rsidDel="00000000" w:rsidP="00000000" w:rsidRDefault="00000000" w:rsidRPr="00000000" w14:paraId="00000086">
      <w:pPr>
        <w:spacing w:after="100" w:before="100" w:lineRule="auto"/>
        <w:jc w:val="both"/>
        <w:rPr/>
      </w:pPr>
      <w:r w:rsidDel="00000000" w:rsidR="00000000" w:rsidRPr="00000000">
        <w:rPr>
          <w:rFonts w:ascii="Calibri" w:cs="Calibri" w:eastAsia="Calibri" w:hAnsi="Calibri"/>
          <w:color w:val="555555"/>
          <w:sz w:val="22"/>
          <w:szCs w:val="22"/>
          <w:rtl w:val="0"/>
        </w:rPr>
        <w:t xml:space="preserve">El dataset se transforma a formato largo (panel) a nivel tienda × producto × día. El split temporal se define antes de construir cualquier feature para evitar leakage: los últimos 28 días se reservan como test final, y se realizan 3 ventanas de validación rolling previas de 28 días.</w:t>
      </w:r>
      <w:r w:rsidDel="00000000" w:rsidR="00000000" w:rsidRPr="00000000">
        <w:rPr>
          <w:rtl w:val="0"/>
        </w:rPr>
      </w:r>
    </w:p>
    <w:p w:rsidR="00000000" w:rsidDel="00000000" w:rsidP="00000000" w:rsidRDefault="00000000" w:rsidRPr="00000000" w14:paraId="00000087">
      <w:pPr>
        <w:spacing w:after="0" w:before="80" w:lineRule="auto"/>
        <w:rPr/>
      </w:pPr>
      <w:r w:rsidDel="00000000" w:rsidR="00000000" w:rsidRPr="00000000">
        <w:rPr>
          <w:rtl w:val="0"/>
        </w:rPr>
      </w:r>
    </w:p>
    <w:p w:rsidR="00000000" w:rsidDel="00000000" w:rsidP="00000000" w:rsidRDefault="00000000" w:rsidRPr="00000000" w14:paraId="00000088">
      <w:pPr>
        <w:pStyle w:val="Heading3"/>
        <w:spacing w:after="100" w:before="200" w:lineRule="auto"/>
        <w:rPr/>
      </w:pPr>
      <w:r w:rsidDel="00000000" w:rsidR="00000000" w:rsidRPr="00000000">
        <w:rPr>
          <w:rFonts w:ascii="Calibri" w:cs="Calibri" w:eastAsia="Calibri" w:hAnsi="Calibri"/>
          <w:b w:val="1"/>
          <w:bCs w:val="1"/>
          <w:color w:val="1a5c34"/>
          <w:sz w:val="22"/>
          <w:szCs w:val="22"/>
          <w:rtl w:val="0"/>
        </w:rPr>
        <w:t xml:space="preserve">Baselines de referencia</w:t>
      </w:r>
      <w:r w:rsidDel="00000000" w:rsidR="00000000" w:rsidRPr="00000000">
        <w:rPr>
          <w:rtl w:val="0"/>
        </w:rPr>
      </w:r>
    </w:p>
    <w:p w:rsidR="00000000" w:rsidDel="00000000" w:rsidP="00000000" w:rsidRDefault="00000000" w:rsidRPr="00000000" w14:paraId="00000089">
      <w:pPr>
        <w:spacing w:after="100" w:before="100" w:lineRule="auto"/>
        <w:jc w:val="both"/>
        <w:rPr/>
      </w:pPr>
      <w:r w:rsidDel="00000000" w:rsidR="00000000" w:rsidRPr="00000000">
        <w:rPr>
          <w:rFonts w:ascii="Calibri" w:cs="Calibri" w:eastAsia="Calibri" w:hAnsi="Calibri"/>
          <w:color w:val="555555"/>
          <w:sz w:val="22"/>
          <w:szCs w:val="22"/>
          <w:rtl w:val="0"/>
        </w:rPr>
        <w:t xml:space="preserve">Se definen dos baselines simples como punto de comparación: E0a (media histórica de los últimos 28 días por tienda × producto) y E0b (media móvil de las últimas 4 semanas). Estos baselines sirven para establecer el umbral mínimo de calidad que debe superar cualquier modelo ML.</w:t>
      </w:r>
      <w:r w:rsidDel="00000000" w:rsidR="00000000" w:rsidRPr="00000000">
        <w:rPr>
          <w:rtl w:val="0"/>
        </w:rPr>
      </w:r>
    </w:p>
    <w:p w:rsidR="00000000" w:rsidDel="00000000" w:rsidP="00000000" w:rsidRDefault="00000000" w:rsidRPr="00000000" w14:paraId="0000008A">
      <w:pPr>
        <w:spacing w:after="0" w:before="80" w:lineRule="auto"/>
        <w:rPr/>
      </w:pPr>
      <w:r w:rsidDel="00000000" w:rsidR="00000000" w:rsidRPr="00000000">
        <w:rPr>
          <w:rtl w:val="0"/>
        </w:rPr>
      </w:r>
    </w:p>
    <w:p w:rsidR="00000000" w:rsidDel="00000000" w:rsidP="00000000" w:rsidRDefault="00000000" w:rsidRPr="00000000" w14:paraId="0000008B">
      <w:pPr>
        <w:pStyle w:val="Heading3"/>
        <w:spacing w:after="100" w:before="200" w:lineRule="auto"/>
        <w:rPr/>
      </w:pPr>
      <w:r w:rsidDel="00000000" w:rsidR="00000000" w:rsidRPr="00000000">
        <w:rPr>
          <w:rFonts w:ascii="Calibri" w:cs="Calibri" w:eastAsia="Calibri" w:hAnsi="Calibri"/>
          <w:b w:val="1"/>
          <w:bCs w:val="1"/>
          <w:color w:val="1a5c34"/>
          <w:sz w:val="22"/>
          <w:szCs w:val="22"/>
          <w:rtl w:val="0"/>
        </w:rPr>
        <w:t xml:space="preserve">Feature engineering</w:t>
      </w:r>
      <w:r w:rsidDel="00000000" w:rsidR="00000000" w:rsidRPr="00000000">
        <w:rPr>
          <w:rtl w:val="0"/>
        </w:rPr>
      </w:r>
    </w:p>
    <w:p w:rsidR="00000000" w:rsidDel="00000000" w:rsidP="00000000" w:rsidRDefault="00000000" w:rsidRPr="00000000" w14:paraId="0000008C">
      <w:pPr>
        <w:spacing w:after="100" w:before="100" w:lineRule="auto"/>
        <w:jc w:val="both"/>
        <w:rPr/>
      </w:pPr>
      <w:r w:rsidDel="00000000" w:rsidR="00000000" w:rsidRPr="00000000">
        <w:rPr>
          <w:rFonts w:ascii="Calibri" w:cs="Calibri" w:eastAsia="Calibri" w:hAnsi="Calibri"/>
          <w:color w:val="555555"/>
          <w:sz w:val="22"/>
          <w:szCs w:val="22"/>
          <w:rtl w:val="0"/>
        </w:rPr>
        <w:t>Para los modelos de ML se construyen tres grupos de features: variables de lag (ventas con retardo 7, 14, 21 y 28 días), rolling features (medias móviles de 7 y 28 días) y variables de calendario (día de la semana, semana del año, mes, indicador de fin de semana). El modelo E2 incorpora además variables exógenas futuras conocidas (precios y eventos), y E3 añade el cluster de producto.</w:t>
      </w:r>
      <w:r w:rsidDel="00000000" w:rsidR="00000000" w:rsidRPr="00000000">
        <w:rPr>
          <w:rtl w:val="0"/>
        </w:rPr>
      </w:r>
    </w:p>
    <w:p w:rsidR="00000000" w:rsidDel="00000000" w:rsidP="00000000" w:rsidRDefault="00000000" w:rsidRPr="00000000" w14:paraId="0000008D">
      <w:pPr>
        <w:spacing w:after="0" w:before="80" w:lineRule="auto"/>
        <w:rPr/>
      </w:pPr>
      <w:r w:rsidDel="00000000" w:rsidR="00000000" w:rsidRPr="00000000">
        <w:rPr>
          <w:rtl w:val="0"/>
        </w:rPr>
      </w:r>
    </w:p>
    <w:p w:rsidR="00000000" w:rsidDel="00000000" w:rsidP="00000000" w:rsidRDefault="00000000" w:rsidRPr="00000000" w14:paraId="0000008E">
      <w:pPr>
        <w:pStyle w:val="Heading3"/>
        <w:spacing w:after="100" w:before="200" w:lineRule="auto"/>
        <w:rPr/>
      </w:pPr>
      <w:r w:rsidDel="00000000" w:rsidR="00000000" w:rsidRPr="00000000">
        <w:rPr>
          <w:rFonts w:ascii="Calibri" w:cs="Calibri" w:eastAsia="Calibri" w:hAnsi="Calibri"/>
          <w:b w:val="1"/>
          <w:bCs w:val="1"/>
          <w:color w:val="1a5c34"/>
          <w:sz w:val="22"/>
          <w:szCs w:val="22"/>
          <w:rtl w:val="0"/>
        </w:rPr>
        <w:t xml:space="preserve">Modelos entrenados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sz w:val="20"/>
                <w:szCs w:val="20"/>
                <w:rtl w:val="0"/>
              </w:rPr>
              <w:t xml:space="preserve">Algoritmo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20"/>
                <w:szCs w:val="20"/>
                <w:rtl w:val="0"/>
              </w:rPr>
              <w:t xml:space="preserve">Features adicionales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color w:val="555555"/>
                <w:sz w:val="20"/>
                <w:szCs w:val="20"/>
                <w:rtl w:val="0"/>
              </w:rPr>
              <w:t xml:space="preserve">E0a / E0b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color w:val="555555"/>
                <w:sz w:val="20"/>
                <w:szCs w:val="20"/>
                <w:rtl w:val="0"/>
              </w:rPr>
              <w:t xml:space="preserve">Baseline (media histórica / media móvil)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color w:val="555555"/>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color w:val="555555"/>
                <w:sz w:val="20"/>
                <w:szCs w:val="20"/>
                <w:rtl w:val="0"/>
              </w:rPr>
              <w:t xml:space="preserve">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color w:val="555555"/>
                <w:sz w:val="20"/>
                <w:szCs w:val="20"/>
                <w:rtl w:val="0"/>
              </w:rPr>
              <w:t xml:space="preserve">LightGBM (gradient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color w:val="555555"/>
                <w:sz w:val="20"/>
                <w:szCs w:val="20"/>
                <w:rtl w:val="0"/>
              </w:rPr>
              <w:t xml:space="preserve">Lags + rolling + calendario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1a5c34"/>
                <w:sz w:val="20"/>
                <w:szCs w:val="20"/>
                <w:rtl w:val="0"/>
              </w:rPr>
              <w:t xml:space="preserve">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5ee"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1a5c34"/>
                <w:sz w:val="20"/>
                <w:szCs w:val="20"/>
                <w:rtl w:val="0"/>
              </w:rPr>
              <w:t xml:space="preserve">LightGBM (gradient boosting) ✓ GANADOR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555555"/>
                <w:sz w:val="20"/>
                <w:szCs w:val="20"/>
                <w:rtl w:val="0"/>
              </w:rPr>
              <w:t xml:space="preserve">E1 + exógenas futuras (precio + eventos)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color w:val="555555"/>
                <w:sz w:val="20"/>
                <w:szCs w:val="20"/>
                <w:rtl w:val="0"/>
              </w:rPr>
              <w:t xml:space="preserve">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555555"/>
                <w:sz w:val="20"/>
                <w:szCs w:val="20"/>
                <w:rtl w:val="0"/>
              </w:rPr>
              <w:t xml:space="preserve">LightGBM (gradient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555555"/>
                <w:sz w:val="20"/>
                <w:szCs w:val="20"/>
                <w:rtl w:val="0"/>
              </w:rPr>
              <w:t xml:space="preserve">E2 + cluster de producto</w:t>
            </w:r>
            <w:r w:rsidDel="00000000" w:rsidR="00000000" w:rsidRPr="00000000">
              <w:rPr>
                <w:rtl w:val="0"/>
              </w:rPr>
            </w:r>
          </w:p>
        </w:tc>
      </w:tr>
    </w:tbl>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Style w:val="Heading3"/>
        <w:spacing w:after="100" w:before="200" w:lineRule="auto"/>
        <w:rPr/>
      </w:pPr>
      <w:r w:rsidDel="00000000" w:rsidR="00000000" w:rsidRPr="00000000">
        <w:rPr>
          <w:rFonts w:ascii="Calibri" w:cs="Calibri" w:eastAsia="Calibri" w:hAnsi="Calibri"/>
          <w:b w:val="1"/>
          <w:bCs w:val="1"/>
          <w:color w:val="1a5c34"/>
          <w:sz w:val="22"/>
          <w:szCs w:val="22"/>
          <w:rtl w:val="0"/>
        </w:rPr>
        <w:t xml:space="preserve">Calibración del modelo</w:t>
      </w:r>
      <w:r w:rsidDel="00000000" w:rsidR="00000000" w:rsidRPr="00000000">
        <w:rPr>
          <w:rtl w:val="0"/>
        </w:rPr>
      </w:r>
    </w:p>
    <w:p w:rsidR="00000000" w:rsidDel="00000000" w:rsidP="00000000" w:rsidRDefault="00000000" w:rsidRPr="00000000" w14:paraId="000000A0">
      <w:pPr>
        <w:spacing w:after="100" w:before="100" w:lineRule="auto"/>
        <w:jc w:val="both"/>
        <w:rPr/>
      </w:pPr>
      <w:r w:rsidDel="00000000" w:rsidR="00000000" w:rsidRPr="00000000">
        <w:rPr>
          <w:rFonts w:ascii="Calibri" w:cs="Calibri" w:eastAsia="Calibri" w:hAnsi="Calibri"/>
          <w:color w:val="555555"/>
          <w:sz w:val="22"/>
          <w:szCs w:val="22"/>
          <w:rtl w:val="0"/>
        </w:rPr>
        <w:t xml:space="preserve">El diagnóstico del modelo E2 detectó un sesgo infra-predictivo sistemático en el período de test: el modelo predecía consistentemente por debajo del valor real, especialmente en las categorías ACCESSORIES y HOME &amp; GARDEN. Para corregir este comportamiento sin reentrenar el modelo, se aplica una calibración global en postproceso mediante un factor multiplicador (×1.3657) calculado a partir del ratio entre la predicción agregada y la demanda real observada. El resultado —denominado E2 calibrado— constituye la solución operativa recomendada del proyecto.</w:t>
      </w:r>
      <w:r w:rsidDel="00000000" w:rsidR="00000000" w:rsidRPr="00000000">
        <w:rPr>
          <w:rtl w:val="0"/>
        </w:rPr>
      </w:r>
    </w:p>
    <w:p w:rsidR="00000000" w:rsidDel="00000000" w:rsidP="00000000" w:rsidRDefault="00000000" w:rsidRPr="00000000" w14:paraId="000000A1">
      <w:pPr>
        <w:spacing w:after="0" w:before="160" w:lineRule="auto"/>
        <w:rPr/>
      </w:pPr>
      <w:r w:rsidDel="00000000" w:rsidR="00000000" w:rsidRPr="00000000">
        <w:rPr>
          <w:rtl w:val="0"/>
        </w:rPr>
      </w:r>
    </w:p>
    <w:p w:rsidR="00000000" w:rsidDel="00000000" w:rsidP="00000000" w:rsidRDefault="00000000" w:rsidRPr="00000000" w14:paraId="000000A2">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3.5 Sistema de reposición inteligente de stock</w:t>
      </w:r>
      <w:r w:rsidDel="00000000" w:rsidR="00000000" w:rsidRPr="00000000">
        <w:rPr>
          <w:rtl w:val="0"/>
        </w:rPr>
      </w:r>
    </w:p>
    <w:p w:rsidR="00000000" w:rsidDel="00000000" w:rsidP="00000000" w:rsidRDefault="00000000" w:rsidRPr="00000000" w14:paraId="000000A3">
      <w:pPr>
        <w:spacing w:after="100" w:before="100" w:lineRule="auto"/>
        <w:jc w:val="both"/>
        <w:rPr/>
      </w:pPr>
      <w:r w:rsidDel="00000000" w:rsidR="00000000" w:rsidRPr="00000000">
        <w:rPr>
          <w:rFonts w:ascii="Calibri" w:cs="Calibri" w:eastAsia="Calibri" w:hAnsi="Calibri"/>
          <w:color w:val="555555"/>
          <w:sz w:val="22"/>
          <w:szCs w:val="22"/>
          <w:rtl w:val="0"/>
        </w:rPr>
        <w:t xml:space="preserve">La cuarta fase traduce el resultado del forecasting a una propuesta operativa de reposición semanal. La propuesta no consiste en convertir directamente la predicción en una orden de compra, sino en combinar tres elementos: demanda calibrada esperada para los próximos 7 días, safety stock calculado a partir del error histórico del modelo, y stock disponible en tienda en el momento de lanzar la orden.</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spacing w:after="100" w:before="100" w:lineRule="auto"/>
        <w:jc w:val="both"/>
        <w:rPr/>
      </w:pPr>
      <w:r w:rsidDel="00000000" w:rsidR="00000000" w:rsidRPr="00000000">
        <w:rPr>
          <w:rFonts w:ascii="Calibri" w:cs="Calibri" w:eastAsia="Calibri" w:hAnsi="Calibri"/>
          <w:color w:val="555555"/>
          <w:sz w:val="22"/>
          <w:szCs w:val="22"/>
          <w:rtl w:val="0"/>
        </w:rPr>
        <w:t xml:space="preserve">La fórmula propuesta para el pedido recomendado por tienda × producto es la siguiente:</w:t>
      </w:r>
      <w:r w:rsidDel="00000000" w:rsidR="00000000" w:rsidRPr="00000000">
        <w:rPr>
          <w:rtl w:val="0"/>
        </w:rPr>
      </w:r>
    </w:p>
    <w:p w:rsidR="00000000" w:rsidDel="00000000" w:rsidP="00000000" w:rsidRDefault="00000000" w:rsidRPr="00000000" w14:paraId="000000A6">
      <w:pPr>
        <w:spacing w:after="0" w:before="80" w:lineRule="auto"/>
        <w:rPr/>
      </w:pPr>
      <w:r w:rsidDel="00000000" w:rsidR="00000000" w:rsidRPr="00000000">
        <w:rPr>
          <w:rtl w:val="0"/>
        </w:rPr>
      </w:r>
    </w:p>
    <w:p w:rsidR="00000000" w:rsidDel="00000000" w:rsidP="00000000" w:rsidRDefault="00000000" w:rsidRPr="00000000" w14:paraId="000000A7">
      <w:pPr>
        <w:spacing w:after="160" w:before="160" w:lineRule="auto"/>
        <w:jc w:val="center"/>
        <w:rPr/>
      </w:pPr>
      <w:sdt>
        <w:sdtPr>
          <w:id w:val="850826208"/>
          <w:tag w:val="goog_rdk_0"/>
        </w:sdtPr>
        <w:sdtContent>
          <w:r w:rsidDel="00000000" w:rsidR="00000000" w:rsidRPr="00000000">
            <w:rPr>
              <w:rFonts w:ascii="Gungsuh" w:cs="Gungsuh" w:eastAsia="Gungsuh" w:hAnsi="Gungsuh"/>
              <w:b w:val="1"/>
              <w:bCs w:val="1"/>
              <w:color w:val="1a5c34"/>
              <w:sz w:val="22"/>
              <w:szCs w:val="22"/>
              <w:rtl w:val="0"/>
            </w:rPr>
            <w:t xml:space="preserve">Pedido_recomendado = max(0, Demanda_calibrada_7d + Safety_stock − Stock_disponible)</w:t>
          </w:r>
        </w:sdtContent>
      </w:sdt>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p w:rsidR="00000000" w:rsidDel="00000000" w:rsidP="00000000" w:rsidRDefault="00000000" w:rsidRPr="00000000" w14:paraId="000000A9">
      <w:pPr>
        <w:spacing w:after="100" w:before="100" w:lineRule="auto"/>
        <w:jc w:val="both"/>
        <w:rPr/>
      </w:pPr>
      <w:r w:rsidDel="00000000" w:rsidR="00000000" w:rsidRPr="00000000">
        <w:rPr>
          <w:rFonts w:ascii="Calibri" w:cs="Calibri" w:eastAsia="Calibri" w:hAnsi="Calibri"/>
          <w:color w:val="555555"/>
          <w:sz w:val="22"/>
          <w:szCs w:val="22"/>
          <w:rtl w:val="0"/>
        </w:rPr>
        <w:t xml:space="preserve">El safety stock se calcula como z × σ_error × √L, donde z representa el nivel de servicio deseado, σ_error la desviación del error histórico del modelo, y L el lead time o período de cobertura. Este diseño permite ajustar la agresividad de la reposición según el perfil de criticidad de cada producto o categoría.</w:t>
      </w:r>
      <w:r w:rsidDel="00000000" w:rsidR="00000000" w:rsidRPr="00000000">
        <w:rPr>
          <w:rtl w:val="0"/>
        </w:rPr>
      </w:r>
    </w:p>
    <w:p w:rsidR="00000000" w:rsidDel="00000000" w:rsidP="00000000" w:rsidRDefault="00000000" w:rsidRPr="00000000" w14:paraId="000000AA">
      <w:pPr>
        <w:spacing w:after="0" w:before="160" w:lineRule="auto"/>
        <w:rPr/>
      </w:pPr>
      <w:r w:rsidDel="00000000" w:rsidR="00000000" w:rsidRPr="00000000">
        <w:rPr>
          <w:rtl w:val="0"/>
        </w:rPr>
      </w:r>
    </w:p>
    <w:p w:rsidR="00000000" w:rsidDel="00000000" w:rsidP="00000000" w:rsidRDefault="00000000" w:rsidRPr="00000000" w14:paraId="000000AB">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3.6 Pipeline y API</w:t>
      </w:r>
      <w:r w:rsidDel="00000000" w:rsidR="00000000" w:rsidRPr="00000000">
        <w:rPr>
          <w:rtl w:val="0"/>
        </w:rPr>
      </w:r>
    </w:p>
    <w:p w:rsidR="00000000" w:rsidDel="00000000" w:rsidP="00000000" w:rsidRDefault="00000000" w:rsidRPr="00000000" w14:paraId="000000AC">
      <w:pPr>
        <w:spacing w:after="100" w:before="100" w:lineRule="auto"/>
        <w:jc w:val="both"/>
        <w:rPr/>
      </w:pPr>
      <w:r w:rsidDel="00000000" w:rsidR="00000000" w:rsidRPr="00000000">
        <w:rPr>
          <w:rFonts w:ascii="Calibri" w:cs="Calibri" w:eastAsia="Calibri" w:hAnsi="Calibri"/>
          <w:color w:val="555555"/>
          <w:sz w:val="22"/>
          <w:szCs w:val="22"/>
          <w:rtl w:val="0"/>
        </w:rPr>
        <w:t xml:space="preserve">La última fase plantea cómo la solución analítica podría evolucionar hacia un uso más operativo. Se diseña una arquitectura modular en Python con separación de responsabilidades: preprocesado, forecasting, reposición y servicio de API. La demostración técnica incluye un endpoint que recibe un contexto de tienda × producto y devuelve la predicción de demanda y la recomendación de pedido correspondiente.</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pBdr>
          <w:bottom w:color="2d8c4e" w:space="4" w:sz="6" w:val="single"/>
        </w:pBdr>
        <w:spacing w:after="200" w:before="400" w:lineRule="auto"/>
        <w:rPr/>
      </w:pPr>
      <w:r w:rsidDel="00000000" w:rsidR="00000000" w:rsidRPr="00000000">
        <w:rPr>
          <w:rFonts w:ascii="Calibri" w:cs="Calibri" w:eastAsia="Calibri" w:hAnsi="Calibri"/>
          <w:b w:val="1"/>
          <w:bCs w:val="1"/>
          <w:color w:val="1a5c34"/>
          <w:sz w:val="32"/>
          <w:szCs w:val="32"/>
          <w:rtl w:val="0"/>
        </w:rPr>
        <w:t xml:space="preserve">4. Resultados y Conclusiones</w:t>
      </w:r>
      <w:r w:rsidDel="00000000" w:rsidR="00000000" w:rsidRPr="00000000">
        <w:rPr>
          <w:rtl w:val="0"/>
        </w:rPr>
      </w:r>
    </w:p>
    <w:p w:rsidR="00000000" w:rsidDel="00000000" w:rsidP="00000000" w:rsidRDefault="00000000" w:rsidRPr="00000000" w14:paraId="000000AF">
      <w:pPr>
        <w:spacing w:after="0" w:before="80" w:lineRule="auto"/>
        <w:rPr/>
      </w:pPr>
      <w:r w:rsidDel="00000000" w:rsidR="00000000" w:rsidRPr="00000000">
        <w:rPr>
          <w:rtl w:val="0"/>
        </w:rPr>
      </w:r>
    </w:p>
    <w:p w:rsidR="00000000" w:rsidDel="00000000" w:rsidP="00000000" w:rsidRDefault="00000000" w:rsidRPr="00000000" w14:paraId="000000B0">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4.1 Resultados del EDA</w:t>
      </w:r>
      <w:r w:rsidDel="00000000" w:rsidR="00000000" w:rsidRPr="00000000">
        <w:rPr>
          <w:rtl w:val="0"/>
        </w:rPr>
      </w:r>
    </w:p>
    <w:p w:rsidR="00000000" w:rsidDel="00000000" w:rsidP="00000000" w:rsidRDefault="00000000" w:rsidRPr="00000000" w14:paraId="000000B1">
      <w:pPr>
        <w:spacing w:after="100" w:before="100" w:lineRule="auto"/>
        <w:jc w:val="both"/>
        <w:rPr/>
      </w:pPr>
      <w:r w:rsidDel="00000000" w:rsidR="00000000" w:rsidRPr="00000000">
        <w:rPr>
          <w:rFonts w:ascii="Calibri" w:cs="Calibri" w:eastAsia="Calibri" w:hAnsi="Calibri"/>
          <w:color w:val="555555"/>
          <w:sz w:val="22"/>
          <w:szCs w:val="22"/>
          <w:rtl w:val="0"/>
        </w:rPr>
        <w:t xml:space="preserve">La demanda de DSMarket presenta una estructura temporal reconocible con un patrón semanal estable: las ventas son más bajas los lunes y crecen progresivamente hacia el fin de semana. A nivel ciudad, existen diferencias claras en volumen y peso operativo. A nivel ciudad × categoría, se identifican combinaciones con distinto perfil de riesgo e impacto económico proxy, lo que refuerza la necesidad de trabajar con un nivel de segmentación adecuado antes de construir predicciones.</w:t>
      </w:r>
      <w:r w:rsidDel="00000000" w:rsidR="00000000" w:rsidRPr="00000000">
        <w:rPr>
          <w:rtl w:val="0"/>
        </w:rPr>
      </w:r>
    </w:p>
    <w:p w:rsidR="00000000" w:rsidDel="00000000" w:rsidP="00000000" w:rsidRDefault="00000000" w:rsidRPr="00000000" w14:paraId="000000B2">
      <w:pPr>
        <w:spacing w:after="0" w:before="80" w:lineRule="auto"/>
        <w:rPr/>
      </w:pPr>
      <w:r w:rsidDel="00000000" w:rsidR="00000000" w:rsidRPr="00000000">
        <w:rPr>
          <w:rtl w:val="0"/>
        </w:rPr>
      </w:r>
    </w:p>
    <w:p w:rsidR="00000000" w:rsidDel="00000000" w:rsidP="00000000" w:rsidRDefault="00000000" w:rsidRPr="00000000" w14:paraId="000000B3">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4.2 Resultados del Clustering</w:t>
      </w:r>
      <w:r w:rsidDel="00000000" w:rsidR="00000000" w:rsidRPr="00000000">
        <w:rPr>
          <w:rtl w:val="0"/>
        </w:rPr>
      </w:r>
    </w:p>
    <w:p w:rsidR="00000000" w:rsidDel="00000000" w:rsidP="00000000" w:rsidRDefault="00000000" w:rsidRPr="00000000" w14:paraId="000000B4">
      <w:pPr>
        <w:spacing w:after="100" w:before="100" w:lineRule="auto"/>
        <w:jc w:val="both"/>
        <w:rPr/>
      </w:pPr>
      <w:r w:rsidDel="00000000" w:rsidR="00000000" w:rsidRPr="00000000">
        <w:rPr>
          <w:rFonts w:ascii="Calibri" w:cs="Calibri" w:eastAsia="Calibri" w:hAnsi="Calibri"/>
          <w:color w:val="555555"/>
          <w:sz w:val="22"/>
          <w:szCs w:val="22"/>
          <w:rtl w:val="0"/>
        </w:rPr>
        <w:t xml:space="preserve">La segmentación en 4 clusters produce una clasificación interpretable y útil para negocio. El cluster de básicos de alto volumen concentra el 47% del catálogo y representa el núcleo más estable del surtido. Los productos premium (21%) tienen un ticket unitario claramente superior (~$11) y un comportamiento predecible. Los clusters de estacionales volátiles y baja rotación representan los segmentos de mayor riesgo operativo y menor predictibilidad.</w:t>
      </w:r>
      <w:r w:rsidDel="00000000" w:rsidR="00000000" w:rsidRPr="00000000">
        <w:rPr>
          <w:rtl w:val="0"/>
        </w:rPr>
      </w:r>
    </w:p>
    <w:p w:rsidR="00000000" w:rsidDel="00000000" w:rsidP="00000000" w:rsidRDefault="00000000" w:rsidRPr="00000000" w14:paraId="000000B5">
      <w:pPr>
        <w:spacing w:after="0" w:before="80" w:lineRule="auto"/>
        <w:rPr/>
      </w:pPr>
      <w:r w:rsidDel="00000000" w:rsidR="00000000" w:rsidRPr="00000000">
        <w:rPr>
          <w:rtl w:val="0"/>
        </w:rPr>
      </w:r>
    </w:p>
    <w:p w:rsidR="00000000" w:rsidDel="00000000" w:rsidP="00000000" w:rsidRDefault="00000000" w:rsidRPr="00000000" w14:paraId="000000B6">
      <w:pPr>
        <w:spacing w:after="100" w:before="100" w:lineRule="auto"/>
        <w:jc w:val="both"/>
        <w:rPr/>
      </w:pPr>
      <w:r w:rsidDel="00000000" w:rsidR="00000000" w:rsidRPr="00000000">
        <w:rPr>
          <w:rFonts w:ascii="Calibri" w:cs="Calibri" w:eastAsia="Calibri" w:hAnsi="Calibri"/>
          <w:color w:val="555555"/>
          <w:sz w:val="22"/>
          <w:szCs w:val="22"/>
          <w:rtl w:val="0"/>
        </w:rPr>
        <w:t xml:space="preserve">La validación por categoría muestra que los clusters no son una simple copia de la taxonomía del surtido: capturan comportamiento de demanda transversal a las categorías, lo que valida su utilidad como variable contextual en el modelo de forecasting.</w:t>
      </w:r>
      <w:r w:rsidDel="00000000" w:rsidR="00000000" w:rsidRPr="00000000">
        <w:rPr>
          <w:rtl w:val="0"/>
        </w:rPr>
      </w:r>
    </w:p>
    <w:p w:rsidR="00000000" w:rsidDel="00000000" w:rsidP="00000000" w:rsidRDefault="00000000" w:rsidRPr="00000000" w14:paraId="000000B7">
      <w:pPr>
        <w:spacing w:after="0" w:before="80" w:lineRule="auto"/>
        <w:rPr/>
      </w:pPr>
      <w:r w:rsidDel="00000000" w:rsidR="00000000" w:rsidRPr="00000000">
        <w:rPr>
          <w:rtl w:val="0"/>
        </w:rPr>
      </w:r>
    </w:p>
    <w:p w:rsidR="00000000" w:rsidDel="00000000" w:rsidP="00000000" w:rsidRDefault="00000000" w:rsidRPr="00000000" w14:paraId="000000B8">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4.3 Resultados del Forecasting</w:t>
      </w:r>
      <w:r w:rsidDel="00000000" w:rsidR="00000000" w:rsidRPr="00000000">
        <w:rPr>
          <w:rtl w:val="0"/>
        </w:rPr>
      </w:r>
    </w:p>
    <w:p w:rsidR="00000000" w:rsidDel="00000000" w:rsidP="00000000" w:rsidRDefault="00000000" w:rsidRPr="00000000" w14:paraId="000000B9">
      <w:pPr>
        <w:spacing w:after="100" w:before="100" w:lineRule="auto"/>
        <w:jc w:val="both"/>
        <w:rPr/>
      </w:pPr>
      <w:r w:rsidDel="00000000" w:rsidR="00000000" w:rsidRPr="00000000">
        <w:rPr>
          <w:rFonts w:ascii="Calibri" w:cs="Calibri" w:eastAsia="Calibri" w:hAnsi="Calibri"/>
          <w:color w:val="555555"/>
          <w:sz w:val="22"/>
          <w:szCs w:val="22"/>
          <w:rtl w:val="0"/>
        </w:rPr>
        <w:t xml:space="preserve">En el período de test, E2 (LightGBM con variables exógenas futuras conocidas) fue el mejor modelo desde el punto de vista técnico, superando a los baselines y a las demás variantes en las métricas de evaluación. Sin embargo, el diagnóstico reveló un sesgo infra-predictivo sistemático que hacía necesaria una corrección antes de usar el modelo en producción.</w:t>
      </w:r>
      <w:r w:rsidDel="00000000" w:rsidR="00000000" w:rsidRPr="00000000">
        <w:rPr>
          <w:rtl w:val="0"/>
        </w:rPr>
      </w:r>
    </w:p>
    <w:p w:rsidR="00000000" w:rsidDel="00000000" w:rsidP="00000000" w:rsidRDefault="00000000" w:rsidRPr="00000000" w14:paraId="000000BA">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20"/>
                <w:szCs w:val="20"/>
                <w:rtl w:val="0"/>
              </w:rPr>
              <w:t xml:space="preserve">vs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ffffff"/>
                <w:sz w:val="20"/>
                <w:szCs w:val="20"/>
                <w:rtl w:val="0"/>
              </w:rPr>
              <w:t xml:space="preserve">Sesgo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c4e"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ffffff"/>
                <w:sz w:val="20"/>
                <w:szCs w:val="20"/>
                <w:rtl w:val="0"/>
              </w:rPr>
              <w:t xml:space="preserve">Uso 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color w:val="555555"/>
                <w:sz w:val="20"/>
                <w:szCs w:val="20"/>
                <w:rtl w:val="0"/>
              </w:rPr>
              <w:t xml:space="preserve">E2 (LightGBM + exógenas)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color w:val="555555"/>
                <w:sz w:val="20"/>
                <w:szCs w:val="20"/>
                <w:rtl w:val="0"/>
              </w:rPr>
              <w:t xml:space="preserve">Mejor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color w:val="555555"/>
                <w:sz w:val="20"/>
                <w:szCs w:val="20"/>
                <w:rtl w:val="0"/>
              </w:rPr>
              <w:t xml:space="preserve">Infra-predicción sistemática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color w:val="555555"/>
                <w:sz w:val="20"/>
                <w:szCs w:val="20"/>
                <w:rtl w:val="0"/>
              </w:rPr>
              <w:t xml:space="preserve">No sin calibrar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5ee"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1a5c34"/>
                <w:sz w:val="20"/>
                <w:szCs w:val="20"/>
                <w:rtl w:val="0"/>
              </w:rPr>
              <w:t xml:space="preserve">E2 Calibrado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5ee"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1a5c34"/>
                <w:sz w:val="20"/>
                <w:szCs w:val="20"/>
                <w:rtl w:val="0"/>
              </w:rPr>
              <w:t xml:space="preserve">Mejor operativo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5ee"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color w:val="1a5c34"/>
                <w:sz w:val="20"/>
                <w:szCs w:val="20"/>
                <w:rtl w:val="0"/>
              </w:rPr>
              <w:t xml:space="preserve">Corregido ×1.3657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5ee"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b w:val="1"/>
                <w:bCs w:val="1"/>
                <w:color w:val="1a5c34"/>
                <w:sz w:val="20"/>
                <w:szCs w:val="20"/>
                <w:rtl w:val="0"/>
              </w:rPr>
              <w:t xml:space="preserve">Reposición de stock</w:t>
            </w:r>
            <w:r w:rsidDel="00000000" w:rsidR="00000000" w:rsidRPr="00000000">
              <w:rPr>
                <w:rtl w:val="0"/>
              </w:rPr>
            </w:r>
          </w:p>
        </w:tc>
      </w:tr>
    </w:tbl>
    <w:p w:rsidR="00000000" w:rsidDel="00000000" w:rsidP="00000000" w:rsidRDefault="00000000" w:rsidRPr="00000000" w14:paraId="000000C7">
      <w:pPr>
        <w:spacing w:after="0" w:before="160" w:lineRule="auto"/>
        <w:rPr/>
      </w:pPr>
      <w:r w:rsidDel="00000000" w:rsidR="00000000" w:rsidRPr="00000000">
        <w:rPr>
          <w:rtl w:val="0"/>
        </w:rPr>
      </w:r>
    </w:p>
    <w:p w:rsidR="00000000" w:rsidDel="00000000" w:rsidP="00000000" w:rsidRDefault="00000000" w:rsidRPr="00000000" w14:paraId="000000C8">
      <w:pPr>
        <w:spacing w:after="100" w:before="100" w:lineRule="auto"/>
        <w:jc w:val="both"/>
        <w:rPr/>
      </w:pPr>
      <w:r w:rsidDel="00000000" w:rsidR="00000000" w:rsidRPr="00000000">
        <w:rPr>
          <w:rFonts w:ascii="Calibri" w:cs="Calibri" w:eastAsia="Calibri" w:hAnsi="Calibri"/>
          <w:color w:val="555555"/>
          <w:sz w:val="22"/>
          <w:szCs w:val="22"/>
          <w:rtl w:val="0"/>
        </w:rPr>
        <w:t xml:space="preserve">La calibración global corrige el sesgo agregado y acerca la predicción semanal al nivel real de demanda, reduciendo significativamente el riesgo de rotura de stock si se usa en reposición. El diagnóstico también identifica que el sesgo varía por categoría (más severo en ACCESSORIES, menos en SUPERMARKET), lo que justifica como mejora futura una calibración por categoría.</w:t>
      </w:r>
      <w:r w:rsidDel="00000000" w:rsidR="00000000" w:rsidRPr="00000000">
        <w:rPr>
          <w:rtl w:val="0"/>
        </w:rPr>
      </w:r>
    </w:p>
    <w:p w:rsidR="00000000" w:rsidDel="00000000" w:rsidP="00000000" w:rsidRDefault="00000000" w:rsidRPr="00000000" w14:paraId="000000C9">
      <w:pPr>
        <w:spacing w:after="0" w:before="80" w:lineRule="auto"/>
        <w:rPr/>
      </w:pPr>
      <w:r w:rsidDel="00000000" w:rsidR="00000000" w:rsidRPr="00000000">
        <w:rPr>
          <w:rtl w:val="0"/>
        </w:rPr>
      </w:r>
    </w:p>
    <w:p w:rsidR="00000000" w:rsidDel="00000000" w:rsidP="00000000" w:rsidRDefault="00000000" w:rsidRPr="00000000" w14:paraId="000000CA">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4.4 Resultados de la Propuesta de Reposición</w:t>
      </w:r>
      <w:r w:rsidDel="00000000" w:rsidR="00000000" w:rsidRPr="00000000">
        <w:rPr>
          <w:rtl w:val="0"/>
        </w:rPr>
      </w:r>
    </w:p>
    <w:p w:rsidR="00000000" w:rsidDel="00000000" w:rsidP="00000000" w:rsidRDefault="00000000" w:rsidRPr="00000000" w14:paraId="000000CB">
      <w:pPr>
        <w:spacing w:after="100" w:before="100" w:lineRule="auto"/>
        <w:jc w:val="both"/>
        <w:rPr/>
      </w:pPr>
      <w:r w:rsidDel="00000000" w:rsidR="00000000" w:rsidRPr="00000000">
        <w:rPr>
          <w:rFonts w:ascii="Calibri" w:cs="Calibri" w:eastAsia="Calibri" w:hAnsi="Calibri"/>
          <w:color w:val="555555"/>
          <w:sz w:val="22"/>
          <w:szCs w:val="22"/>
          <w:rtl w:val="0"/>
        </w:rPr>
        <w:t xml:space="preserve">La propuesta de reposición traduce E2 calibrado a órdenes de compra semanales por tienda × producto. El sistema incorpora safety stock como colchón frente a la incertidumbre residual del modelo, calibrable según el nivel de servicio objetivo de cada segmento. La fórmula propuesta separa correctamente el problema de predicción (forecasting) del problema de decisión (reposición con tolerancia al riesgo).</w:t>
      </w:r>
      <w:r w:rsidDel="00000000" w:rsidR="00000000" w:rsidRPr="00000000">
        <w:rPr>
          <w:rtl w:val="0"/>
        </w:rPr>
      </w:r>
    </w:p>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spacing w:after="100" w:before="100" w:lineRule="auto"/>
        <w:jc w:val="both"/>
        <w:rPr/>
      </w:pPr>
      <w:r w:rsidDel="00000000" w:rsidR="00000000" w:rsidRPr="00000000">
        <w:rPr>
          <w:rFonts w:ascii="Calibri" w:cs="Calibri" w:eastAsia="Calibri" w:hAnsi="Calibri"/>
          <w:color w:val="555555"/>
          <w:sz w:val="22"/>
          <w:szCs w:val="22"/>
          <w:rtl w:val="0"/>
        </w:rPr>
        <w:t xml:space="preserve">Se identifican además cuatro extensiones técnicas prioritarias antes de un despliegue robusto: objetivo Tweedie para el tratamiento del exceso de ceros (56.3% del dataset), incorporación de variables de identidad de serie como features, calibración por categoría, e intervalos de predicción mediante regresión cuantílica. De estas mejoras, la calibración por categoría se identifica como la de mayor impacto con menor coste de implementación.</w:t>
      </w:r>
      <w:r w:rsidDel="00000000" w:rsidR="00000000" w:rsidRPr="00000000">
        <w:rPr>
          <w:rtl w:val="0"/>
        </w:rPr>
      </w:r>
    </w:p>
    <w:p w:rsidR="00000000" w:rsidDel="00000000" w:rsidP="00000000" w:rsidRDefault="00000000" w:rsidRPr="00000000" w14:paraId="000000CE">
      <w:pPr>
        <w:spacing w:after="0" w:before="80" w:lineRule="auto"/>
        <w:rPr/>
      </w:pPr>
      <w:r w:rsidDel="00000000" w:rsidR="00000000" w:rsidRPr="00000000">
        <w:rPr>
          <w:rtl w:val="0"/>
        </w:rPr>
      </w:r>
    </w:p>
    <w:p w:rsidR="00000000" w:rsidDel="00000000" w:rsidP="00000000" w:rsidRDefault="00000000" w:rsidRPr="00000000" w14:paraId="000000CF">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4.5 Conclusiones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8c4e" w:space="0" w:sz="8" w:val="single"/>
              <w:left w:color="2d8c4e" w:space="0" w:sz="24" w:val="single"/>
              <w:bottom w:color="000000" w:space="0" w:sz="0" w:val="nil"/>
              <w:right w:color="000000" w:space="0" w:sz="0" w:val="nil"/>
            </w:tcBorders>
            <w:shd w:fill="eaf5ee" w:val="clear"/>
            <w:tcMar>
              <w:top w:w="120.0" w:type="dxa"/>
              <w:left w:w="180.0" w:type="dxa"/>
              <w:bottom w:w="120.0" w:type="dxa"/>
              <w:right w:w="120.0" w:type="dxa"/>
            </w:tcMar>
          </w:tcPr>
          <w:p w:rsidR="00000000" w:rsidDel="00000000" w:rsidP="00000000" w:rsidRDefault="00000000" w:rsidRPr="00000000" w14:paraId="000000D0">
            <w:pPr>
              <w:spacing w:after="80" w:before="0" w:lineRule="auto"/>
              <w:rPr/>
            </w:pPr>
            <w:r w:rsidDel="00000000" w:rsidR="00000000" w:rsidRPr="00000000">
              <w:rPr>
                <w:rFonts w:ascii="Calibri" w:cs="Calibri" w:eastAsia="Calibri" w:hAnsi="Calibri"/>
                <w:b w:val="1"/>
                <w:bCs w:val="1"/>
                <w:color w:val="1a5c34"/>
                <w:sz w:val="22"/>
                <w:szCs w:val="22"/>
                <w:rtl w:val="0"/>
              </w:rPr>
              <w:t xml:space="preserve">Conclusión principal</w:t>
            </w:r>
            <w:r w:rsidDel="00000000" w:rsidR="00000000" w:rsidRPr="00000000">
              <w:rPr>
                <w:rtl w:val="0"/>
              </w:rPr>
            </w:r>
          </w:p>
          <w:p w:rsidR="00000000" w:rsidDel="00000000" w:rsidP="00000000" w:rsidRDefault="00000000" w:rsidRPr="00000000" w14:paraId="000000D1">
            <w:pPr>
              <w:jc w:val="both"/>
              <w:rPr/>
            </w:pPr>
            <w:r w:rsidDel="00000000" w:rsidR="00000000" w:rsidRPr="00000000">
              <w:rPr>
                <w:rFonts w:ascii="Calibri" w:cs="Calibri" w:eastAsia="Calibri" w:hAnsi="Calibri"/>
                <w:color w:val="555555"/>
                <w:sz w:val="20"/>
                <w:szCs w:val="20"/>
                <w:rtl w:val="0"/>
              </w:rPr>
              <w:t xml:space="preserve">El enfoque bottom-up es válido para DSMarket: predecir a nivel tienda × producto × día y agregar después a niveles superiores produce resultados coherentes y defendibles para negocio. El modelo operativo recomendado es E2 calibrado, que combina LightGBM con variables exógenas futuras y una corrección global del sesgo infra-predictivo.</w:t>
            </w:r>
            <w:r w:rsidDel="00000000" w:rsidR="00000000" w:rsidRPr="00000000">
              <w:rPr>
                <w:rtl w:val="0"/>
              </w:rPr>
            </w:r>
          </w:p>
        </w:tc>
      </w:tr>
    </w:tbl>
    <w:p w:rsidR="00000000" w:rsidDel="00000000" w:rsidP="00000000" w:rsidRDefault="00000000" w:rsidRPr="00000000" w14:paraId="000000D2">
      <w:pPr>
        <w:spacing w:after="0" w:before="80" w:lineRule="auto"/>
        <w:rPr/>
      </w:pPr>
      <w:r w:rsidDel="00000000" w:rsidR="00000000" w:rsidRPr="00000000">
        <w:rPr>
          <w:rtl w:val="0"/>
        </w:rPr>
      </w:r>
    </w:p>
    <w:p w:rsidR="00000000" w:rsidDel="00000000" w:rsidP="00000000" w:rsidRDefault="00000000" w:rsidRPr="00000000" w14:paraId="000000D3">
      <w:pPr>
        <w:spacing w:after="100" w:before="100" w:lineRule="auto"/>
        <w:jc w:val="both"/>
        <w:rPr/>
      </w:pPr>
      <w:r w:rsidDel="00000000" w:rsidR="00000000" w:rsidRPr="00000000">
        <w:rPr>
          <w:rFonts w:ascii="Calibri" w:cs="Calibri" w:eastAsia="Calibri" w:hAnsi="Calibri"/>
          <w:color w:val="555555"/>
          <w:sz w:val="22"/>
          <w:szCs w:val="22"/>
          <w:rtl w:val="0"/>
        </w:rPr>
        <w:t xml:space="preserve">El proyecto demuestra que es posible construir una solución analítica de forecasting y reposición de stock para una cadena retail de tamaño medio, combinando datos históricos, técnicas de ML y criterio de negocio, con una vía técnica realista de productivización. Las mejoras identificadas (calibración por categoría, objetivo Tweedie, intervalos de predicción) representan una hoja de ruta clara para evolucionar la solución hacia un sistema más robusto en producción.</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pBdr>
          <w:bottom w:color="2d8c4e" w:space="4" w:sz="6" w:val="single"/>
        </w:pBdr>
        <w:spacing w:after="200" w:before="400" w:lineRule="auto"/>
        <w:rPr/>
      </w:pPr>
      <w:r w:rsidDel="00000000" w:rsidR="00000000" w:rsidRPr="00000000">
        <w:rPr>
          <w:rFonts w:ascii="Calibri" w:cs="Calibri" w:eastAsia="Calibri" w:hAnsi="Calibri"/>
          <w:b w:val="1"/>
          <w:bCs w:val="1"/>
          <w:color w:val="1a5c34"/>
          <w:sz w:val="32"/>
          <w:szCs w:val="32"/>
          <w:rtl w:val="0"/>
        </w:rPr>
        <w:t xml:space="preserve">5. Referencias y Bibliografía</w:t>
      </w:r>
      <w:r w:rsidDel="00000000" w:rsidR="00000000" w:rsidRPr="00000000">
        <w:rPr>
          <w:rtl w:val="0"/>
        </w:rPr>
      </w:r>
    </w:p>
    <w:p w:rsidR="00000000" w:rsidDel="00000000" w:rsidP="00000000" w:rsidRDefault="00000000" w:rsidRPr="00000000" w14:paraId="000000D6">
      <w:pPr>
        <w:spacing w:after="0" w:before="80" w:lineRule="auto"/>
        <w:rPr/>
      </w:pPr>
      <w:r w:rsidDel="00000000" w:rsidR="00000000" w:rsidRPr="00000000">
        <w:rPr>
          <w:rtl w:val="0"/>
        </w:rPr>
      </w:r>
    </w:p>
    <w:p w:rsidR="00000000" w:rsidDel="00000000" w:rsidP="00000000" w:rsidRDefault="00000000" w:rsidRPr="00000000" w14:paraId="000000D7">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Dataset principal</w:t>
      </w:r>
      <w:r w:rsidDel="00000000" w:rsidR="00000000" w:rsidRPr="00000000">
        <w:rPr>
          <w:rtl w:val="0"/>
        </w:rPr>
      </w:r>
    </w:p>
    <w:p w:rsidR="00000000" w:rsidDel="00000000" w:rsidP="00000000" w:rsidRDefault="00000000" w:rsidRPr="00000000" w14:paraId="000000D8">
      <w:pPr>
        <w:spacing w:after="100" w:before="100" w:lineRule="auto"/>
        <w:jc w:val="both"/>
        <w:rPr/>
      </w:pPr>
      <w:r w:rsidDel="00000000" w:rsidR="00000000" w:rsidRPr="00000000">
        <w:rPr>
          <w:rFonts w:ascii="Calibri" w:cs="Calibri" w:eastAsia="Calibri" w:hAnsi="Calibri"/>
          <w:color w:val="555555"/>
          <w:sz w:val="22"/>
          <w:szCs w:val="22"/>
          <w:rtl w:val="0"/>
        </w:rPr>
        <w:t xml:space="preserve">Makridakis, S., Spiliotis, E., &amp; Assimakopoulos, V. (2020). The M5 Accuracy Competition: Results, Findings and Conclusions. Kaggle. https://www.kaggle.com/competitions/m5-forecasting-accuracy</w:t>
      </w:r>
      <w:r w:rsidDel="00000000" w:rsidR="00000000" w:rsidRPr="00000000">
        <w:rPr>
          <w:rtl w:val="0"/>
        </w:rPr>
      </w:r>
    </w:p>
    <w:p w:rsidR="00000000" w:rsidDel="00000000" w:rsidP="00000000" w:rsidRDefault="00000000" w:rsidRPr="00000000" w14:paraId="000000D9">
      <w:pPr>
        <w:spacing w:after="0" w:before="160" w:lineRule="auto"/>
        <w:rPr/>
      </w:pPr>
      <w:r w:rsidDel="00000000" w:rsidR="00000000" w:rsidRPr="00000000">
        <w:rPr>
          <w:rtl w:val="0"/>
        </w:rPr>
      </w:r>
    </w:p>
    <w:p w:rsidR="00000000" w:rsidDel="00000000" w:rsidP="00000000" w:rsidRDefault="00000000" w:rsidRPr="00000000" w14:paraId="000000DA">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Librerías y frameworks</w:t>
      </w:r>
      <w:r w:rsidDel="00000000" w:rsidR="00000000" w:rsidRPr="00000000">
        <w:rPr>
          <w:rtl w:val="0"/>
        </w:rPr>
      </w:r>
    </w:p>
    <w:p w:rsidR="00000000" w:rsidDel="00000000" w:rsidP="00000000" w:rsidRDefault="00000000" w:rsidRPr="00000000" w14:paraId="000000DB">
      <w:pPr>
        <w:spacing w:after="100" w:before="100" w:lineRule="auto"/>
        <w:jc w:val="both"/>
        <w:rPr/>
      </w:pPr>
      <w:r w:rsidDel="00000000" w:rsidR="00000000" w:rsidRPr="00000000">
        <w:rPr>
          <w:rFonts w:ascii="Calibri" w:cs="Calibri" w:eastAsia="Calibri" w:hAnsi="Calibri"/>
          <w:color w:val="555555"/>
          <w:sz w:val="22"/>
          <w:szCs w:val="22"/>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0DC">
      <w:pPr>
        <w:spacing w:after="0" w:before="80" w:lineRule="auto"/>
        <w:rPr/>
      </w:pPr>
      <w:r w:rsidDel="00000000" w:rsidR="00000000" w:rsidRPr="00000000">
        <w:rPr>
          <w:rtl w:val="0"/>
        </w:rPr>
      </w:r>
    </w:p>
    <w:p w:rsidR="00000000" w:rsidDel="00000000" w:rsidP="00000000" w:rsidRDefault="00000000" w:rsidRPr="00000000" w14:paraId="000000DD">
      <w:pPr>
        <w:spacing w:after="100" w:before="100" w:lineRule="auto"/>
        <w:jc w:val="both"/>
        <w:rPr/>
      </w:pPr>
      <w:r w:rsidDel="00000000" w:rsidR="00000000" w:rsidRPr="00000000">
        <w:rPr>
          <w:rFonts w:ascii="Calibri" w:cs="Calibri" w:eastAsia="Calibri" w:hAnsi="Calibri"/>
          <w:color w:val="555555"/>
          <w:sz w:val="22"/>
          <w:szCs w:val="22"/>
          <w:rtl w:val="0"/>
        </w:rPr>
        <w:t xml:space="preserve">Ke, G., Meng, Q., Finley, T., Wang, T., Chen, W., Ma, W., Ye, Q., &amp; Liu, T.-Y. (2017). LightGBM: A highly efficient gradient boosting decision tree. Advances in Neural Information Processing Systems, 30.</w:t>
      </w:r>
      <w:r w:rsidDel="00000000" w:rsidR="00000000" w:rsidRPr="00000000">
        <w:rPr>
          <w:rtl w:val="0"/>
        </w:rPr>
      </w:r>
    </w:p>
    <w:p w:rsidR="00000000" w:rsidDel="00000000" w:rsidP="00000000" w:rsidRDefault="00000000" w:rsidRPr="00000000" w14:paraId="000000DE">
      <w:pPr>
        <w:spacing w:after="0" w:before="80" w:lineRule="auto"/>
        <w:rPr/>
      </w:pPr>
      <w:r w:rsidDel="00000000" w:rsidR="00000000" w:rsidRPr="00000000">
        <w:rPr>
          <w:rtl w:val="0"/>
        </w:rPr>
      </w:r>
    </w:p>
    <w:p w:rsidR="00000000" w:rsidDel="00000000" w:rsidP="00000000" w:rsidRDefault="00000000" w:rsidRPr="00000000" w14:paraId="000000DF">
      <w:pPr>
        <w:spacing w:after="100" w:before="100" w:lineRule="auto"/>
        <w:jc w:val="both"/>
        <w:rPr/>
      </w:pPr>
      <w:r w:rsidDel="00000000" w:rsidR="00000000" w:rsidRPr="00000000">
        <w:rPr>
          <w:rFonts w:ascii="Calibri" w:cs="Calibri" w:eastAsia="Calibri" w:hAnsi="Calibri"/>
          <w:color w:val="555555"/>
          <w:sz w:val="22"/>
          <w:szCs w:val="22"/>
          <w:rtl w:val="0"/>
        </w:rPr>
        <w:t xml:space="preserve">McKinney, W. (2010). Data structures for statistical computing in Python. Proceedings of the 9th Python in Science Conference, 56–61. https://pandas.pydata.org</w:t>
      </w:r>
      <w:r w:rsidDel="00000000" w:rsidR="00000000" w:rsidRPr="00000000">
        <w:rPr>
          <w:rtl w:val="0"/>
        </w:rPr>
      </w:r>
    </w:p>
    <w:p w:rsidR="00000000" w:rsidDel="00000000" w:rsidP="00000000" w:rsidRDefault="00000000" w:rsidRPr="00000000" w14:paraId="000000E0">
      <w:pPr>
        <w:spacing w:after="0" w:before="80" w:lineRule="auto"/>
        <w:rPr/>
      </w:pPr>
      <w:r w:rsidDel="00000000" w:rsidR="00000000" w:rsidRPr="00000000">
        <w:rPr>
          <w:rtl w:val="0"/>
        </w:rPr>
      </w:r>
    </w:p>
    <w:p w:rsidR="00000000" w:rsidDel="00000000" w:rsidP="00000000" w:rsidRDefault="00000000" w:rsidRPr="00000000" w14:paraId="000000E1">
      <w:pPr>
        <w:spacing w:after="100" w:before="100" w:lineRule="auto"/>
        <w:jc w:val="both"/>
        <w:rPr/>
      </w:pPr>
      <w:r w:rsidDel="00000000" w:rsidR="00000000" w:rsidRPr="00000000">
        <w:rPr>
          <w:rFonts w:ascii="Calibri" w:cs="Calibri" w:eastAsia="Calibri" w:hAnsi="Calibri"/>
          <w:color w:val="555555"/>
          <w:sz w:val="22"/>
          <w:szCs w:val="22"/>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 https://scikit-learn.org</w:t>
      </w:r>
      <w:r w:rsidDel="00000000" w:rsidR="00000000" w:rsidRPr="00000000">
        <w:rPr>
          <w:rtl w:val="0"/>
        </w:rPr>
      </w:r>
    </w:p>
    <w:p w:rsidR="00000000" w:rsidDel="00000000" w:rsidP="00000000" w:rsidRDefault="00000000" w:rsidRPr="00000000" w14:paraId="000000E2">
      <w:pPr>
        <w:spacing w:after="0" w:before="80" w:lineRule="auto"/>
        <w:rPr/>
      </w:pPr>
      <w:r w:rsidDel="00000000" w:rsidR="00000000" w:rsidRPr="00000000">
        <w:rPr>
          <w:rtl w:val="0"/>
        </w:rPr>
      </w:r>
    </w:p>
    <w:p w:rsidR="00000000" w:rsidDel="00000000" w:rsidP="00000000" w:rsidRDefault="00000000" w:rsidRPr="00000000" w14:paraId="000000E3">
      <w:pPr>
        <w:spacing w:after="100" w:before="100" w:lineRule="auto"/>
        <w:jc w:val="both"/>
        <w:rPr/>
      </w:pPr>
      <w:r w:rsidDel="00000000" w:rsidR="00000000" w:rsidRPr="00000000">
        <w:rPr>
          <w:rFonts w:ascii="Calibri" w:cs="Calibri" w:eastAsia="Calibri" w:hAnsi="Calibri"/>
          <w:color w:val="555555"/>
          <w:sz w:val="22"/>
          <w:szCs w:val="22"/>
          <w:rtl w:val="0"/>
        </w:rPr>
        <w:t xml:space="preserve">Harris, C. R., Millman, K. J., van der Walt, S. J., Gommers, R., Virtanen, P., Cournapeau, D., Wieser, E., Taylor, J., Berg, S., Smith, N. J., Kern, R., Picus, M., Hoyer, S., van Kerkwijk, M. H., Brett, M., Haldane, A., del Río, J. F., Wiebe, M., Peterson, P., … Oliphant, T. E. (2020). Array programming with NumPy. Nature, 585, 357–362. https://numpy.org</w:t>
      </w:r>
      <w:r w:rsidDel="00000000" w:rsidR="00000000" w:rsidRPr="00000000">
        <w:rPr>
          <w:rtl w:val="0"/>
        </w:rPr>
      </w:r>
    </w:p>
    <w:p w:rsidR="00000000" w:rsidDel="00000000" w:rsidP="00000000" w:rsidRDefault="00000000" w:rsidRPr="00000000" w14:paraId="000000E4">
      <w:pPr>
        <w:spacing w:after="0" w:before="160" w:lineRule="auto"/>
        <w:rPr/>
      </w:pPr>
      <w:r w:rsidDel="00000000" w:rsidR="00000000" w:rsidRPr="00000000">
        <w:rPr>
          <w:rtl w:val="0"/>
        </w:rPr>
      </w:r>
    </w:p>
    <w:p w:rsidR="00000000" w:rsidDel="00000000" w:rsidP="00000000" w:rsidRDefault="00000000" w:rsidRPr="00000000" w14:paraId="000000E5">
      <w:pPr>
        <w:pStyle w:val="Heading2"/>
        <w:spacing w:after="150" w:before="300" w:lineRule="auto"/>
        <w:rPr/>
      </w:pPr>
      <w:r w:rsidDel="00000000" w:rsidR="00000000" w:rsidRPr="00000000">
        <w:rPr>
          <w:rFonts w:ascii="Calibri" w:cs="Calibri" w:eastAsia="Calibri" w:hAnsi="Calibri"/>
          <w:b w:val="1"/>
          <w:bCs w:val="1"/>
          <w:color w:val="2d8c4e"/>
          <w:sz w:val="26"/>
          <w:szCs w:val="26"/>
          <w:rtl w:val="0"/>
        </w:rPr>
        <w:t xml:space="preserve">Referencias metodológicas</w:t>
      </w:r>
      <w:r w:rsidDel="00000000" w:rsidR="00000000" w:rsidRPr="00000000">
        <w:rPr>
          <w:rtl w:val="0"/>
        </w:rPr>
      </w:r>
    </w:p>
    <w:p w:rsidR="00000000" w:rsidDel="00000000" w:rsidP="00000000" w:rsidRDefault="00000000" w:rsidRPr="00000000" w14:paraId="000000E6">
      <w:pPr>
        <w:spacing w:after="100" w:before="100" w:lineRule="auto"/>
        <w:jc w:val="both"/>
        <w:rPr/>
      </w:pPr>
      <w:r w:rsidDel="00000000" w:rsidR="00000000" w:rsidRPr="00000000">
        <w:rPr>
          <w:rFonts w:ascii="Calibri" w:cs="Calibri" w:eastAsia="Calibri" w:hAnsi="Calibri"/>
          <w:color w:val="555555"/>
          <w:sz w:val="22"/>
          <w:szCs w:val="22"/>
          <w:rtl w:val="0"/>
        </w:rPr>
        <w:t xml:space="preserve">Hyndman, R. J., &amp; Athanasopoulos, G. (2021). Forecasting: Principles and practice (3rd ed.). OTexts. https://otexts.com/fpp3/</w:t>
      </w:r>
      <w:r w:rsidDel="00000000" w:rsidR="00000000" w:rsidRPr="00000000">
        <w:rPr>
          <w:rtl w:val="0"/>
        </w:rPr>
      </w:r>
    </w:p>
    <w:p w:rsidR="00000000" w:rsidDel="00000000" w:rsidP="00000000" w:rsidRDefault="00000000" w:rsidRPr="00000000" w14:paraId="000000E7">
      <w:pPr>
        <w:spacing w:after="0" w:before="80" w:lineRule="auto"/>
        <w:rPr/>
      </w:pPr>
      <w:r w:rsidDel="00000000" w:rsidR="00000000" w:rsidRPr="00000000">
        <w:rPr>
          <w:rtl w:val="0"/>
        </w:rPr>
      </w:r>
    </w:p>
    <w:p w:rsidR="00000000" w:rsidDel="00000000" w:rsidP="00000000" w:rsidRDefault="00000000" w:rsidRPr="00000000" w14:paraId="000000E8">
      <w:pPr>
        <w:spacing w:after="100" w:before="100" w:lineRule="auto"/>
        <w:jc w:val="both"/>
        <w:rPr/>
      </w:pPr>
      <w:r w:rsidDel="00000000" w:rsidR="00000000" w:rsidRPr="00000000">
        <w:rPr>
          <w:rFonts w:ascii="Calibri" w:cs="Calibri" w:eastAsia="Calibri" w:hAnsi="Calibri"/>
          <w:color w:val="555555"/>
          <w:sz w:val="22"/>
          <w:szCs w:val="22"/>
          <w:rtl w:val="0"/>
        </w:rPr>
        <w:t xml:space="preserve">Silver, E. A., Pyke, D. F., &amp; Thomas, D. J. (2017). Inventory and production management in supply chains (4th ed.). CRC Press.</w:t>
      </w:r>
      <w:r w:rsidDel="00000000" w:rsidR="00000000" w:rsidRPr="00000000">
        <w:rPr>
          <w:rtl w:val="0"/>
        </w:rPr>
      </w:r>
    </w:p>
    <w:p w:rsidR="00000000" w:rsidDel="00000000" w:rsidP="00000000" w:rsidRDefault="00000000" w:rsidRPr="00000000" w14:paraId="000000E9">
      <w:pPr>
        <w:spacing w:after="0" w:before="80" w:lineRule="auto"/>
        <w:rPr/>
      </w:pPr>
      <w:r w:rsidDel="00000000" w:rsidR="00000000" w:rsidRPr="00000000">
        <w:rPr>
          <w:rtl w:val="0"/>
        </w:rPr>
      </w:r>
    </w:p>
    <w:p w:rsidR="00000000" w:rsidDel="00000000" w:rsidP="00000000" w:rsidRDefault="00000000" w:rsidRPr="00000000" w14:paraId="000000EA">
      <w:pPr>
        <w:spacing w:after="100" w:before="100" w:lineRule="auto"/>
        <w:jc w:val="both"/>
        <w:rPr/>
      </w:pPr>
      <w:r w:rsidDel="00000000" w:rsidR="00000000" w:rsidRPr="00000000">
        <w:rPr>
          <w:rFonts w:ascii="Calibri" w:cs="Calibri" w:eastAsia="Calibri" w:hAnsi="Calibri"/>
          <w:color w:val="555555"/>
          <w:sz w:val="22"/>
          <w:szCs w:val="22"/>
          <w:rtl w:val="0"/>
        </w:rPr>
        <w:t xml:space="preserve">Tweedie, M. C. K. (1984). An index which distinguishes between some important exponential families. Statistics: Applications and New Directions. Proceedings of the Indian Statistical Institute Golden Jubilee International Conference, 579–604.</w:t>
      </w:r>
      <w:r w:rsidDel="00000000" w:rsidR="00000000" w:rsidRPr="00000000">
        <w:rPr>
          <w:rtl w:val="0"/>
        </w:rPr>
      </w:r>
    </w:p>
    <w:p w:rsidR="00000000" w:rsidDel="00000000" w:rsidP="00000000" w:rsidRDefault="00000000" w:rsidRPr="00000000" w14:paraId="000000EB">
      <w:pPr>
        <w:spacing w:after="0" w:before="16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color="cccccc" w:space="4" w:sz="4" w:val="single"/>
      </w:pBdr>
      <w:rPr/>
    </w:pPr>
    <w:r w:rsidDel="00000000" w:rsidR="00000000" w:rsidRPr="00000000">
      <w:rPr>
        <w:rFonts w:ascii="Calibri" w:cs="Calibri" w:eastAsia="Calibri" w:hAnsi="Calibri"/>
        <w:color w:val="888888"/>
        <w:sz w:val="16"/>
        <w:szCs w:val="16"/>
        <w:rtl w:val="0"/>
      </w:rPr>
      <w:t xml:space="preserve">Torregrosa · Durán · Pascual  |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bottom w:color="cccccc" w:space="4" w:sz="4" w:val="single"/>
      </w:pBdr>
      <w:rPr/>
    </w:pPr>
    <w:r w:rsidDel="00000000" w:rsidR="00000000" w:rsidRPr="00000000">
      <w:rPr>
        <w:rFonts w:ascii="Calibri" w:cs="Calibri" w:eastAsia="Calibri" w:hAnsi="Calibri"/>
        <w:color w:val="888888"/>
        <w:sz w:val="16"/>
        <w:szCs w:val="16"/>
        <w:rtl w:val="0"/>
      </w:rPr>
      <w:t xml:space="preserve">DSMarket — TFM Máster en Data Science &amp; AI · Nuclio Digital School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a5c3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d8c4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a5c3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c6VL/F4E+0vtQ9Gi+qDNaAU6WA==">CgMxLjAaIQoBMBIcChoIB0IWCgtDb3VyaWVyIE5ldxIHR3VuZ3N1aDgAciExZy0tS2FSa1o5aWU3UWFKS2loUHRfZDh1SkFtdWt4OEI=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2026-03-23T19:05:45.892Z</dcterms:created>
  <dc:creator>Un-named</dc:creator>
</cp:coreProperties>
</file>

<file path=docProps/custom.xml><?xml version="1.0" encoding="utf-8"?>
<Properties xmlns="http://schemas.openxmlformats.org/officeDocument/2006/custom-properties" xmlns:vt="http://schemas.openxmlformats.org/officeDocument/2006/docPropsVTypes"/>
</file>