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both"/>
      </w:pPr>
      <w:r>
        <w:rPr>
          <w:rFonts w:ascii="Calibri" w:hAnsi="Calibri"/>
          <w:b/>
          <w:color w:val="0B2545"/>
          <w:sz w:val="48"/>
        </w:rPr>
        <w:t>LoanConnect Voice AI Cost Proposal</w:t>
      </w:r>
    </w:p>
    <w:p>
      <w:pPr>
        <w:spacing w:after="320"/>
        <w:jc w:val="both"/>
      </w:pPr>
      <w:r>
        <w:rPr>
          <w:rFonts w:ascii="Calibri" w:hAnsi="Calibri"/>
          <w:color w:val="475569"/>
          <w:sz w:val="26"/>
        </w:rPr>
        <w:t>Sarvam AI + Exotel cost model for conversational lending voice campaigns</w:t>
      </w:r>
    </w:p>
    <w:tbl>
      <w:tblPr>
        <w:tblW w:type="dxa" w:w="9360"/>
        <w:jc w:val="center"/>
        <w:tblLayout w:type="fixed"/>
        <w:tblLook w:firstColumn="1" w:firstRow="1" w:lastColumn="0" w:lastRow="0" w:noHBand="0" w:noVBand="1" w:val="04A0"/>
        <w:tblInd w:w="120" w:type="dxa"/>
      </w:tblPr>
      <w:tblGrid>
        <w:gridCol w:w="2300"/>
        <w:gridCol w:w="2200"/>
        <w:gridCol w:w="1700"/>
        <w:gridCol w:w="3160"/>
      </w:tblGrid>
      <w:tr>
        <w:tc>
          <w:tcPr>
            <w:tcW w:type="dxa" w:w="23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shd w:fill="E8EEF5"/>
          </w:tcPr>
          <w:p>
            <w:pPr>
              <w:spacing w:after="0" w:line="252" w:lineRule="auto"/>
            </w:pPr>
            <w:r>
              <w:rPr>
                <w:rFonts w:ascii="Calibri" w:hAnsi="Calibri"/>
                <w:b/>
                <w:color w:val="0B2545"/>
                <w:sz w:val="18"/>
              </w:rPr>
              <w:t>Prepared for</w:t>
            </w:r>
          </w:p>
        </w:tc>
        <w:tc>
          <w:tcPr>
            <w:tcW w:type="dxa" w:w="22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shd w:fill="E8EEF5"/>
          </w:tcPr>
          <w:p>
            <w:pPr>
              <w:spacing w:after="0" w:line="252" w:lineRule="auto"/>
            </w:pPr>
            <w:r>
              <w:rPr>
                <w:rFonts w:ascii="Calibri" w:hAnsi="Calibri"/>
                <w:b/>
                <w:color w:val="0B2545"/>
                <w:sz w:val="18"/>
              </w:rPr>
              <w:t>Prepared by</w:t>
            </w:r>
          </w:p>
        </w:tc>
        <w:tc>
          <w:tcPr>
            <w:tcW w:type="dxa" w:w="17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shd w:fill="E8EEF5"/>
          </w:tcPr>
          <w:p>
            <w:pPr>
              <w:spacing w:after="0" w:line="252" w:lineRule="auto"/>
            </w:pPr>
            <w:r>
              <w:rPr>
                <w:rFonts w:ascii="Calibri" w:hAnsi="Calibri"/>
                <w:b/>
                <w:color w:val="0B2545"/>
                <w:sz w:val="18"/>
              </w:rPr>
              <w:t>Date</w:t>
            </w:r>
          </w:p>
        </w:tc>
        <w:tc>
          <w:tcPr>
            <w:tcW w:type="dxa" w:w="3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shd w:fill="E8EEF5"/>
          </w:tcPr>
          <w:p>
            <w:pPr>
              <w:spacing w:after="0" w:line="252" w:lineRule="auto"/>
            </w:pPr>
            <w:r>
              <w:rPr>
                <w:rFonts w:ascii="Calibri" w:hAnsi="Calibri"/>
                <w:b/>
                <w:color w:val="0B2545"/>
                <w:sz w:val="18"/>
              </w:rPr>
              <w:t>Modelled Volume</w:t>
            </w:r>
          </w:p>
        </w:tc>
      </w:tr>
      <w:tr>
        <w:tc>
          <w:tcPr>
            <w:tcW w:type="dxa" w:w="23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Investor / Commercial Review</w:t>
            </w:r>
          </w:p>
        </w:tc>
        <w:tc>
          <w:tcPr>
            <w:tcW w:type="dxa" w:w="22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LoanConnect AI</w:t>
            </w:r>
          </w:p>
        </w:tc>
        <w:tc>
          <w:tcPr>
            <w:tcW w:type="dxa" w:w="17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14 June 2026</w:t>
            </w:r>
          </w:p>
        </w:tc>
        <w:tc>
          <w:tcPr>
            <w:tcW w:type="dxa" w:w="3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25,000 outbound call minutes per month</w:t>
            </w:r>
          </w:p>
        </w:tc>
      </w:tr>
    </w:tbl>
    <w:tbl>
      <w:tblPr>
        <w:tblW w:type="dxa" w:w="9200"/>
        <w:jc w:val="center"/>
        <w:tblLayout w:type="fixed"/>
        <w:tblLook w:firstColumn="1" w:firstRow="1" w:lastColumn="0" w:lastRow="0" w:noHBand="0" w:noVBand="1" w:val="04A0"/>
        <w:tblInd w:w="120" w:type="dxa"/>
      </w:tblPr>
      <w:tblGrid>
        <w:gridCol w:w="9200"/>
      </w:tblGrid>
      <w:tr>
        <w:tc>
          <w:tcPr>
            <w:tcW w:type="dxa" w:w="92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AF7EF"/>
          </w:tcPr>
          <w:p>
            <w:pPr>
              <w:spacing w:after="80" w:line="269" w:lineRule="auto"/>
            </w:pPr>
            <w:r>
              <w:rPr>
                <w:b/>
                <w:color w:val="0B2545"/>
              </w:rPr>
              <w:t>Executive takeaway</w:t>
            </w:r>
          </w:p>
          <w:p>
            <w:pPr>
              <w:spacing w:after="0"/>
            </w:pPr>
            <w:r>
              <w:rPr>
                <w:sz w:val="20"/>
              </w:rPr>
              <w:t>The expected all-in cost of service is approximately Rs. 3.36 per connected call minute after GST, using Exotel for PSTN calling and Sarvam for STT, LLM, and TTS. At 25,000 minutes per month, expected monthly operating cost is approximately Rs. 84,121 including GST. The largest variable cost driver is Sarvam TTS characters spoken by the bot, not LLM tokens.</w:t>
            </w:r>
          </w:p>
        </w:tc>
      </w:tr>
    </w:tbl>
    <w:p>
      <w:pPr>
        <w:jc w:val="both"/>
      </w:pPr>
      <w:r>
        <w:rPr>
          <w:rFonts w:ascii="Calibri" w:hAnsi="Calibri"/>
        </w:rPr>
        <w:t>This proposal explains the cost structure of LoanConnect AI for outbound lending voice campaigns. It separates telecom connectivity, AI speech components, LLM token usage, infrastructure, GST, and client pricing guidance. The purpose is to make the unit economics transparent enough for investor diligence and pricing decisions.</w:t>
      </w:r>
    </w:p>
    <w:p>
      <w:pPr>
        <w:pStyle w:val="Heading1"/>
        <w:jc w:val="left"/>
      </w:pPr>
      <w:r>
        <w:rPr>
          <w:rFonts w:ascii="Calibri" w:hAnsi="Calibri"/>
        </w:rPr>
        <w:t>1. Cost Summary</w:t>
      </w:r>
    </w:p>
    <w:tbl>
      <w:tblPr>
        <w:tblW w:type="dxa" w:w="9360"/>
        <w:jc w:val="center"/>
        <w:tblLayout w:type="fixed"/>
        <w:tblLook w:firstColumn="1" w:firstRow="1" w:lastColumn="0" w:lastRow="0" w:noHBand="0" w:noVBand="1" w:val="04A0"/>
        <w:tblInd w:w="120" w:type="dxa"/>
      </w:tblPr>
      <w:tblGrid>
        <w:gridCol w:w="2300"/>
        <w:gridCol w:w="4700"/>
        <w:gridCol w:w="2360"/>
      </w:tblGrid>
      <w:tr>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Cost component</w:t>
            </w:r>
          </w:p>
        </w:tc>
        <w:tc>
          <w:tcPr>
            <w:tcW w:type="dxa" w:w="4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Basis</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Expected cost per minute</w:t>
            </w:r>
          </w:p>
        </w:tc>
      </w:tr>
      <w:tr>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Exotel telecom</w:t>
            </w:r>
          </w:p>
        </w:tc>
        <w:tc>
          <w:tcPr>
            <w:tcW w:type="dxa" w:w="4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Effective monthly minimum spread over 25,000 minutes</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0.80</w:t>
            </w:r>
          </w:p>
        </w:tc>
      </w:tr>
      <w:tr>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STT</w:t>
            </w:r>
          </w:p>
        </w:tc>
        <w:tc>
          <w:tcPr>
            <w:tcW w:type="dxa" w:w="4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Speech to Text at Rs. 30/hour</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0.50</w:t>
            </w:r>
          </w:p>
        </w:tc>
      </w:tr>
      <w:tr>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TTS</w:t>
            </w:r>
          </w:p>
        </w:tc>
        <w:tc>
          <w:tcPr>
            <w:tcW w:type="dxa" w:w="4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Bulbul v3 at 500 characters/minute</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1.50</w:t>
            </w:r>
          </w:p>
        </w:tc>
      </w:tr>
      <w:tr>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LLM</w:t>
            </w:r>
          </w:p>
        </w:tc>
        <w:tc>
          <w:tcPr>
            <w:tcW w:type="dxa" w:w="4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4,500 input + 350 output tokens/minute on 105B</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0.02</w:t>
            </w:r>
          </w:p>
        </w:tc>
      </w:tr>
      <w:tr>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Railway + domain</w:t>
            </w:r>
          </w:p>
        </w:tc>
        <w:tc>
          <w:tcPr>
            <w:tcW w:type="dxa" w:w="4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599 Railway + Rs. 100 domain allocation over 25,000 minutes</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0.03</w:t>
            </w:r>
          </w:p>
        </w:tc>
      </w:tr>
      <w:tr>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Total before GST</w:t>
            </w:r>
          </w:p>
        </w:tc>
        <w:tc>
          <w:tcPr>
            <w:tcW w:type="dxa" w:w="4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Operating COGS before GST</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2.85</w:t>
            </w:r>
          </w:p>
        </w:tc>
      </w:tr>
      <w:tr>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Total after GST</w:t>
            </w:r>
          </w:p>
        </w:tc>
        <w:tc>
          <w:tcPr>
            <w:tcW w:type="dxa" w:w="4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18% GST applied</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3.36</w:t>
            </w:r>
          </w:p>
        </w:tc>
      </w:tr>
    </w:tbl>
    <w:p>
      <w:pPr>
        <w:jc w:val="both"/>
      </w:pPr>
      <w:r>
        <w:rPr>
          <w:rFonts w:ascii="Calibri" w:hAnsi="Calibri"/>
        </w:rPr>
        <w:t>At the expected case, Sarvam contributes roughly Rs. 2.38/minute after GST. Exotel contributes roughly Rs. 0.94/minute after GST when its minimum monthly billing is allocated across 25,000 minutes. Infrastructure is small at roughly Rs. 0.03/minute before GST.</w:t>
      </w:r>
    </w:p>
    <w:p>
      <w:pPr>
        <w:pStyle w:val="Heading1"/>
        <w:jc w:val="left"/>
      </w:pPr>
      <w:r>
        <w:rPr>
          <w:rFonts w:ascii="Calibri" w:hAnsi="Calibri"/>
        </w:rPr>
        <w:t>2. Sarvam AI Detailed Cost Model</w:t>
      </w:r>
    </w:p>
    <w:p>
      <w:pPr>
        <w:jc w:val="both"/>
      </w:pPr>
      <w:r>
        <w:rPr>
          <w:rFonts w:ascii="Calibri" w:hAnsi="Calibri"/>
        </w:rPr>
        <w:t>Sarvam AI is modelled as the full voice-AI stack: Speech to Text, chat LLM, and Text to Speech. STT is billed by audio duration; TTS is billed by characters generated; LLM is billed by tokens. In practice, the LLM token cost is very small compared with TTS.</w:t>
      </w:r>
    </w:p>
    <w:p>
      <w:pPr>
        <w:pStyle w:val="Heading2"/>
        <w:jc w:val="left"/>
      </w:pPr>
      <w:r>
        <w:rPr>
          <w:rFonts w:ascii="Calibri" w:hAnsi="Calibri"/>
        </w:rPr>
        <w:t>2.1 Published Sarvam API Rates Used</w:t>
      </w:r>
    </w:p>
    <w:tbl>
      <w:tblPr>
        <w:tblW w:type="dxa" w:w="9360"/>
        <w:jc w:val="center"/>
        <w:tblLayout w:type="fixed"/>
        <w:tblLook w:firstColumn="1" w:firstRow="1" w:lastColumn="0" w:lastRow="0" w:noHBand="0" w:noVBand="1" w:val="04A0"/>
        <w:tblInd w:w="120" w:type="dxa"/>
      </w:tblPr>
      <w:tblGrid>
        <w:gridCol w:w="2800"/>
        <w:gridCol w:w="3600"/>
        <w:gridCol w:w="2960"/>
      </w:tblGrid>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shd w:fill="E8EEF5"/>
          </w:tcPr>
          <w:p>
            <w:pPr>
              <w:spacing w:after="0" w:line="252" w:lineRule="auto"/>
            </w:pPr>
            <w:r>
              <w:rPr>
                <w:rFonts w:ascii="Calibri" w:hAnsi="Calibri"/>
                <w:b/>
                <w:color w:val="0B2545"/>
                <w:sz w:val="18"/>
              </w:rPr>
              <w:t>Sarvam service</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shd w:fill="E8EEF5"/>
          </w:tcPr>
          <w:p>
            <w:pPr>
              <w:spacing w:after="0" w:line="252" w:lineRule="auto"/>
            </w:pPr>
            <w:r>
              <w:rPr>
                <w:rFonts w:ascii="Calibri" w:hAnsi="Calibri"/>
                <w:b/>
                <w:color w:val="0B2545"/>
                <w:sz w:val="18"/>
              </w:rPr>
              <w:t>Billing unit</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shd w:fill="E8EEF5"/>
          </w:tcPr>
          <w:p>
            <w:pPr>
              <w:spacing w:after="0" w:line="252" w:lineRule="auto"/>
            </w:pPr>
            <w:r>
              <w:rPr>
                <w:rFonts w:ascii="Calibri" w:hAnsi="Calibri"/>
                <w:b/>
                <w:color w:val="0B2545"/>
                <w:sz w:val="18"/>
              </w:rPr>
              <w:t>Published rate used</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Speech to Text</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Audio time, rounded to the nearest second</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30/hour</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Speech to Text with Diarization</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Audio time with speaker identification</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45/hour</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Speech to Text &amp; Translate</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Audio time</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30/hour</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Speech to Text, Translate &amp; Diarization</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Audio time</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45/hour</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Text to Speech Bulbul v3</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Characters generated</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30/10,000 characters</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Text to Speech Bulbul v2</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Characters generated</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15/10,000 characters</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Sarvam-105B Chat</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Input / cached input / output tokens</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4 / Rs. 2.5 / Rs. 16 per 1M tokens</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Sarvam-30B Chat</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Input / cached input / output tokens</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2.5 / Rs. 1.5 / Rs. 10 per 1M tokens</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Translate / Transliterate</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Characters</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20/10,000 characters</w:t>
            </w:r>
          </w:p>
        </w:tc>
      </w:tr>
      <w:tr>
        <w:tc>
          <w:tcPr>
            <w:tcW w:type="dxa" w:w="28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Language Identification</w:t>
            </w:r>
          </w:p>
        </w:tc>
        <w:tc>
          <w:tcPr>
            <w:tcW w:type="dxa" w:w="36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Characters</w:t>
            </w:r>
          </w:p>
        </w:tc>
        <w:tc>
          <w:tcPr>
            <w:tcW w:type="dxa" w:w="29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3.5/10,000 characters</w:t>
            </w:r>
          </w:p>
        </w:tc>
      </w:tr>
    </w:tbl>
    <w:tbl>
      <w:tblPr>
        <w:tblW w:type="dxa" w:w="9200"/>
        <w:jc w:val="center"/>
        <w:tblLayout w:type="fixed"/>
        <w:tblLook w:firstColumn="1" w:firstRow="1" w:lastColumn="0" w:lastRow="0" w:noHBand="0" w:noVBand="1" w:val="04A0"/>
        <w:tblInd w:w="120" w:type="dxa"/>
      </w:tblPr>
      <w:tblGrid>
        <w:gridCol w:w="9200"/>
      </w:tblGrid>
      <w:tr>
        <w:tc>
          <w:tcPr>
            <w:tcW w:type="dxa" w:w="92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FFF7E0"/>
          </w:tcPr>
          <w:p>
            <w:pPr>
              <w:spacing w:after="80" w:line="269" w:lineRule="auto"/>
            </w:pPr>
            <w:r>
              <w:rPr>
                <w:b/>
                <w:color w:val="0B2545"/>
              </w:rPr>
              <w:t>Pricing note</w:t>
            </w:r>
          </w:p>
          <w:p>
            <w:pPr>
              <w:spacing w:after="0"/>
            </w:pPr>
            <w:r>
              <w:rPr>
                <w:sz w:val="20"/>
              </w:rPr>
              <w:t>Sarvam pricing page currently shows a summary line stating Sarvam 105B and Sarvam 30B chat are free per token, while the detailed API pricing table lists paid token rates. This model intentionally uses the paid token table for conservative investor-grade costing. If free chat-token pricing applies, the total saving is only about Rs. 0.02/minute in the expected scenario.</w:t>
            </w:r>
          </w:p>
        </w:tc>
      </w:tr>
    </w:tbl>
    <w:p>
      <w:pPr>
        <w:pStyle w:val="Heading2"/>
        <w:jc w:val="left"/>
      </w:pPr>
      <w:r>
        <w:rPr>
          <w:rFonts w:ascii="Calibri" w:hAnsi="Calibri"/>
        </w:rPr>
        <w:t>2.2 Token Usage Assumptions</w:t>
      </w:r>
    </w:p>
    <w:tbl>
      <w:tblPr>
        <w:tblW w:type="dxa" w:w="9360"/>
        <w:jc w:val="center"/>
        <w:tblLayout w:type="fixed"/>
        <w:tblLook w:firstColumn="1" w:firstRow="1" w:lastColumn="0" w:lastRow="0" w:noHBand="0" w:noVBand="1" w:val="04A0"/>
        <w:tblInd w:w="120" w:type="dxa"/>
      </w:tblPr>
      <w:tblGrid>
        <w:gridCol w:w="1500"/>
        <w:gridCol w:w="1700"/>
        <w:gridCol w:w="1900"/>
        <w:gridCol w:w="1900"/>
        <w:gridCol w:w="2360"/>
      </w:tblGrid>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Scenario</w:t>
            </w:r>
          </w:p>
        </w:tc>
        <w:tc>
          <w:tcPr>
            <w:tcW w:type="dxa" w:w="1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LLM turns/minute</w:t>
            </w:r>
          </w:p>
        </w:tc>
        <w:tc>
          <w:tcPr>
            <w:tcW w:type="dxa" w:w="1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Input tokens/minute</w:t>
            </w:r>
          </w:p>
        </w:tc>
        <w:tc>
          <w:tcPr>
            <w:tcW w:type="dxa" w:w="1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Output tokens/minute</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Use case</w:t>
            </w:r>
          </w:p>
        </w:tc>
      </w:tr>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Optimized</w:t>
            </w:r>
          </w:p>
        </w:tc>
        <w:tc>
          <w:tcPr>
            <w:tcW w:type="dxa" w:w="1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2</w:t>
            </w:r>
          </w:p>
        </w:tc>
        <w:tc>
          <w:tcPr>
            <w:tcW w:type="dxa" w:w="1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1,800-2,600</w:t>
            </w:r>
          </w:p>
        </w:tc>
        <w:tc>
          <w:tcPr>
            <w:tcW w:type="dxa" w:w="1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120-180</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Short answers, tight context window, minimal repetition</w:t>
            </w:r>
          </w:p>
        </w:tc>
      </w:tr>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Expected</w:t>
            </w:r>
          </w:p>
        </w:tc>
        <w:tc>
          <w:tcPr>
            <w:tcW w:type="dxa" w:w="1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3</w:t>
            </w:r>
          </w:p>
        </w:tc>
        <w:tc>
          <w:tcPr>
            <w:tcW w:type="dxa" w:w="1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3,600-5,400</w:t>
            </w:r>
          </w:p>
        </w:tc>
        <w:tc>
          <w:tcPr>
            <w:tcW w:type="dxa" w:w="1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240-390</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Normal human-like lending conversation with playbook memory</w:t>
            </w:r>
          </w:p>
        </w:tc>
      </w:tr>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Heavy / verbose</w:t>
            </w:r>
          </w:p>
        </w:tc>
        <w:tc>
          <w:tcPr>
            <w:tcW w:type="dxa" w:w="1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4-5</w:t>
            </w:r>
          </w:p>
        </w:tc>
        <w:tc>
          <w:tcPr>
            <w:tcW w:type="dxa" w:w="1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8,000-15,000</w:t>
            </w:r>
          </w:p>
        </w:tc>
        <w:tc>
          <w:tcPr>
            <w:tcW w:type="dxa" w:w="1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600-1,100</w:t>
            </w:r>
          </w:p>
        </w:tc>
        <w:tc>
          <w:tcPr>
            <w:tcW w:type="dxa" w:w="23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Long answers, repeated offer details, larger context passed each turn</w:t>
            </w:r>
          </w:p>
        </w:tc>
      </w:tr>
    </w:tbl>
    <w:p>
      <w:pPr>
        <w:jc w:val="both"/>
      </w:pPr>
      <w:r>
        <w:rPr>
          <w:rFonts w:ascii="Calibri" w:hAnsi="Calibri"/>
        </w:rPr>
        <w:t>The expected model uses 4,500 input tokens and 350 output tokens per minute. This assumes three conversational turns per minute, each turn sending recent transcript, lead context, playbook guidance, safety constraints, and short conversation memory. The bot reply is intentionally concise to reduce latency and TTS cost.</w:t>
      </w:r>
    </w:p>
    <w:p>
      <w:pPr>
        <w:pStyle w:val="Heading2"/>
        <w:jc w:val="left"/>
      </w:pPr>
      <w:r>
        <w:rPr>
          <w:rFonts w:ascii="Calibri" w:hAnsi="Calibri"/>
        </w:rPr>
        <w:t>2.3 LLM Token Cost Per Minute</w:t>
      </w:r>
    </w:p>
    <w:tbl>
      <w:tblPr>
        <w:tblW w:type="dxa" w:w="9360"/>
        <w:jc w:val="center"/>
        <w:tblLayout w:type="fixed"/>
        <w:tblLook w:firstColumn="1" w:firstRow="1" w:lastColumn="0" w:lastRow="0" w:noHBand="0" w:noVBand="1" w:val="04A0"/>
        <w:tblInd w:w="120" w:type="dxa"/>
      </w:tblPr>
      <w:tblGrid>
        <w:gridCol w:w="1500"/>
        <w:gridCol w:w="1600"/>
        <w:gridCol w:w="1600"/>
        <w:gridCol w:w="1600"/>
        <w:gridCol w:w="1600"/>
        <w:gridCol w:w="1460"/>
      </w:tblGrid>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Model</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Input tokens/min</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Output tokens/min</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Input cost/min</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Output cost/min</w:t>
            </w:r>
          </w:p>
        </w:tc>
        <w:tc>
          <w:tcPr>
            <w:tcW w:type="dxa" w:w="1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Total LLM cost/min</w:t>
            </w:r>
          </w:p>
        </w:tc>
      </w:tr>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105B</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4,500</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350</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0.02</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0.01</w:t>
            </w:r>
          </w:p>
        </w:tc>
        <w:tc>
          <w:tcPr>
            <w:tcW w:type="dxa" w:w="1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0.02</w:t>
            </w:r>
          </w:p>
        </w:tc>
      </w:tr>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30B</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4,500</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350</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0.01</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0.00</w:t>
            </w:r>
          </w:p>
        </w:tc>
        <w:tc>
          <w:tcPr>
            <w:tcW w:type="dxa" w:w="1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0.01</w:t>
            </w:r>
          </w:p>
        </w:tc>
      </w:tr>
    </w:tbl>
    <w:p>
      <w:pPr>
        <w:jc w:val="both"/>
      </w:pPr>
      <w:r>
        <w:rPr>
          <w:rFonts w:ascii="Calibri" w:hAnsi="Calibri"/>
        </w:rPr>
        <w:t>The token cost is negligible: about two paise per minute on Sarvam 105B. For commercial planning, token optimization is still useful for latency and quality, but it is not the main cost lever.</w:t>
      </w:r>
    </w:p>
    <w:p>
      <w:pPr>
        <w:pStyle w:val="Heading2"/>
        <w:jc w:val="left"/>
      </w:pPr>
      <w:r>
        <w:rPr>
          <w:rFonts w:ascii="Calibri" w:hAnsi="Calibri"/>
        </w:rPr>
        <w:t>2.4 Sarvam Per-Minute Cost</w:t>
      </w:r>
    </w:p>
    <w:tbl>
      <w:tblPr>
        <w:tblW w:type="dxa" w:w="9360"/>
        <w:jc w:val="center"/>
        <w:tblLayout w:type="fixed"/>
        <w:tblLook w:firstColumn="1" w:firstRow="1" w:lastColumn="0" w:lastRow="0" w:noHBand="0" w:noVBand="1" w:val="04A0"/>
        <w:tblInd w:w="120" w:type="dxa"/>
      </w:tblPr>
      <w:tblGrid>
        <w:gridCol w:w="2200"/>
        <w:gridCol w:w="3900"/>
        <w:gridCol w:w="1600"/>
        <w:gridCol w:w="1660"/>
      </w:tblGrid>
      <w:tr>
        <w:tc>
          <w:tcPr>
            <w:tcW w:type="dxa" w:w="22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Sarvam component</w:t>
            </w:r>
          </w:p>
        </w:tc>
        <w:tc>
          <w:tcPr>
            <w:tcW w:type="dxa" w:w="3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Usage assumption</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Cost before GST / min</w:t>
            </w:r>
          </w:p>
        </w:tc>
        <w:tc>
          <w:tcPr>
            <w:tcW w:type="dxa" w:w="1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Cost after GST / min</w:t>
            </w:r>
          </w:p>
        </w:tc>
      </w:tr>
      <w:tr>
        <w:tc>
          <w:tcPr>
            <w:tcW w:type="dxa" w:w="22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STT</w:t>
            </w:r>
          </w:p>
        </w:tc>
        <w:tc>
          <w:tcPr>
            <w:tcW w:type="dxa" w:w="3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60 seconds of audio</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0.50</w:t>
            </w:r>
          </w:p>
        </w:tc>
        <w:tc>
          <w:tcPr>
            <w:tcW w:type="dxa" w:w="1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0.59</w:t>
            </w:r>
          </w:p>
        </w:tc>
      </w:tr>
      <w:tr>
        <w:tc>
          <w:tcPr>
            <w:tcW w:type="dxa" w:w="22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Bulbul v3 TTS</w:t>
            </w:r>
          </w:p>
        </w:tc>
        <w:tc>
          <w:tcPr>
            <w:tcW w:type="dxa" w:w="3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500 characters spoken by bot</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1.50</w:t>
            </w:r>
          </w:p>
        </w:tc>
        <w:tc>
          <w:tcPr>
            <w:tcW w:type="dxa" w:w="1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1.77</w:t>
            </w:r>
          </w:p>
        </w:tc>
      </w:tr>
      <w:tr>
        <w:tc>
          <w:tcPr>
            <w:tcW w:type="dxa" w:w="22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105B LLM</w:t>
            </w:r>
          </w:p>
        </w:tc>
        <w:tc>
          <w:tcPr>
            <w:tcW w:type="dxa" w:w="3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4,500 input + 350 output tokens</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0.02</w:t>
            </w:r>
          </w:p>
        </w:tc>
        <w:tc>
          <w:tcPr>
            <w:tcW w:type="dxa" w:w="1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0.03</w:t>
            </w:r>
          </w:p>
        </w:tc>
      </w:tr>
      <w:tr>
        <w:tc>
          <w:tcPr>
            <w:tcW w:type="dxa" w:w="22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subtotal</w:t>
            </w:r>
          </w:p>
        </w:tc>
        <w:tc>
          <w:tcPr>
            <w:tcW w:type="dxa" w:w="39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Expected operating case</w:t>
            </w:r>
          </w:p>
        </w:tc>
        <w:tc>
          <w:tcPr>
            <w:tcW w:type="dxa" w:w="1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2.02</w:t>
            </w:r>
          </w:p>
        </w:tc>
        <w:tc>
          <w:tcPr>
            <w:tcW w:type="dxa" w:w="1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2.39</w:t>
            </w:r>
          </w:p>
        </w:tc>
      </w:tr>
    </w:tbl>
    <w:p>
      <w:pPr>
        <w:pStyle w:val="Heading2"/>
        <w:jc w:val="left"/>
      </w:pPr>
      <w:r>
        <w:rPr>
          <w:rFonts w:ascii="Calibri" w:hAnsi="Calibri"/>
        </w:rPr>
        <w:t>2.5 Sarvam Monthly Cost at 25,000 Minutes</w:t>
      </w:r>
    </w:p>
    <w:tbl>
      <w:tblPr>
        <w:tblW w:type="dxa" w:w="9360"/>
        <w:jc w:val="center"/>
        <w:tblLayout w:type="fixed"/>
        <w:tblLook w:firstColumn="1" w:firstRow="1" w:lastColumn="0" w:lastRow="0" w:noHBand="0" w:noVBand="1" w:val="04A0"/>
        <w:tblInd w:w="120" w:type="dxa"/>
      </w:tblPr>
      <w:tblGrid>
        <w:gridCol w:w="2700"/>
        <w:gridCol w:w="3500"/>
        <w:gridCol w:w="3160"/>
      </w:tblGrid>
      <w:tr>
        <w:tc>
          <w:tcPr>
            <w:tcW w:type="dxa" w:w="2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Sarvam component</w:t>
            </w:r>
          </w:p>
        </w:tc>
        <w:tc>
          <w:tcPr>
            <w:tcW w:type="dxa" w:w="3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Monthly usage</w:t>
            </w:r>
          </w:p>
        </w:tc>
        <w:tc>
          <w:tcPr>
            <w:tcW w:type="dxa" w:w="31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Monthly cost before GST</w:t>
            </w:r>
          </w:p>
        </w:tc>
      </w:tr>
      <w:tr>
        <w:tc>
          <w:tcPr>
            <w:tcW w:type="dxa" w:w="2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STT</w:t>
            </w:r>
          </w:p>
        </w:tc>
        <w:tc>
          <w:tcPr>
            <w:tcW w:type="dxa" w:w="3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25,000 minutes</w:t>
            </w:r>
          </w:p>
        </w:tc>
        <w:tc>
          <w:tcPr>
            <w:tcW w:type="dxa" w:w="31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12,500</w:t>
            </w:r>
          </w:p>
        </w:tc>
      </w:tr>
      <w:tr>
        <w:tc>
          <w:tcPr>
            <w:tcW w:type="dxa" w:w="2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Bulbul v3 TTS</w:t>
            </w:r>
          </w:p>
        </w:tc>
        <w:tc>
          <w:tcPr>
            <w:tcW w:type="dxa" w:w="3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12.5M characters</w:t>
            </w:r>
          </w:p>
        </w:tc>
        <w:tc>
          <w:tcPr>
            <w:tcW w:type="dxa" w:w="31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37,500</w:t>
            </w:r>
          </w:p>
        </w:tc>
      </w:tr>
      <w:tr>
        <w:tc>
          <w:tcPr>
            <w:tcW w:type="dxa" w:w="2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105B input tokens</w:t>
            </w:r>
          </w:p>
        </w:tc>
        <w:tc>
          <w:tcPr>
            <w:tcW w:type="dxa" w:w="3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112.5M input tokens</w:t>
            </w:r>
          </w:p>
        </w:tc>
        <w:tc>
          <w:tcPr>
            <w:tcW w:type="dxa" w:w="31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450</w:t>
            </w:r>
          </w:p>
        </w:tc>
      </w:tr>
      <w:tr>
        <w:tc>
          <w:tcPr>
            <w:tcW w:type="dxa" w:w="2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105B output tokens</w:t>
            </w:r>
          </w:p>
        </w:tc>
        <w:tc>
          <w:tcPr>
            <w:tcW w:type="dxa" w:w="3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8.75M output tokens</w:t>
            </w:r>
          </w:p>
        </w:tc>
        <w:tc>
          <w:tcPr>
            <w:tcW w:type="dxa" w:w="31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140</w:t>
            </w:r>
          </w:p>
        </w:tc>
      </w:tr>
      <w:tr>
        <w:tc>
          <w:tcPr>
            <w:tcW w:type="dxa" w:w="2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subtotal</w:t>
            </w:r>
          </w:p>
        </w:tc>
        <w:tc>
          <w:tcPr>
            <w:tcW w:type="dxa" w:w="3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Before GST</w:t>
            </w:r>
          </w:p>
        </w:tc>
        <w:tc>
          <w:tcPr>
            <w:tcW w:type="dxa" w:w="31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50,590</w:t>
            </w:r>
          </w:p>
        </w:tc>
      </w:tr>
      <w:tr>
        <w:tc>
          <w:tcPr>
            <w:tcW w:type="dxa" w:w="2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GST</w:t>
            </w:r>
          </w:p>
        </w:tc>
        <w:tc>
          <w:tcPr>
            <w:tcW w:type="dxa" w:w="3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18%</w:t>
            </w:r>
          </w:p>
        </w:tc>
        <w:tc>
          <w:tcPr>
            <w:tcW w:type="dxa" w:w="31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9,106</w:t>
            </w:r>
          </w:p>
        </w:tc>
      </w:tr>
      <w:tr>
        <w:tc>
          <w:tcPr>
            <w:tcW w:type="dxa" w:w="27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total</w:t>
            </w:r>
          </w:p>
        </w:tc>
        <w:tc>
          <w:tcPr>
            <w:tcW w:type="dxa" w:w="3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After GST</w:t>
            </w:r>
          </w:p>
        </w:tc>
        <w:tc>
          <w:tcPr>
            <w:tcW w:type="dxa" w:w="31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59,696</w:t>
            </w:r>
          </w:p>
        </w:tc>
      </w:tr>
    </w:tbl>
    <w:p>
      <w:pPr>
        <w:pStyle w:val="Heading2"/>
        <w:jc w:val="left"/>
      </w:pPr>
      <w:r>
        <w:rPr>
          <w:rFonts w:ascii="Calibri" w:hAnsi="Calibri"/>
        </w:rPr>
        <w:t>2.6 Sensitivity: Bot Speaking Volume</w:t>
      </w:r>
    </w:p>
    <w:tbl>
      <w:tblPr>
        <w:tblW w:type="dxa" w:w="9360"/>
        <w:jc w:val="center"/>
        <w:tblLayout w:type="fixed"/>
        <w:tblLook w:firstColumn="1" w:firstRow="1" w:lastColumn="0" w:lastRow="0" w:noHBand="0" w:noVBand="1" w:val="04A0"/>
        <w:tblInd w:w="120" w:type="dxa"/>
      </w:tblPr>
      <w:tblGrid>
        <w:gridCol w:w="1500"/>
        <w:gridCol w:w="2000"/>
        <w:gridCol w:w="2300"/>
        <w:gridCol w:w="1800"/>
        <w:gridCol w:w="1760"/>
      </w:tblGrid>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Scenario</w:t>
            </w:r>
          </w:p>
        </w:tc>
        <w:tc>
          <w:tcPr>
            <w:tcW w:type="dxa" w:w="20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TTS volume</w:t>
            </w:r>
          </w:p>
        </w:tc>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Token volume</w:t>
            </w:r>
          </w:p>
        </w:tc>
        <w:tc>
          <w:tcPr>
            <w:tcW w:type="dxa" w:w="1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Sarvam before GST / min</w:t>
            </w:r>
          </w:p>
        </w:tc>
        <w:tc>
          <w:tcPr>
            <w:tcW w:type="dxa" w:w="1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Sarvam after GST / min</w:t>
            </w:r>
          </w:p>
        </w:tc>
      </w:tr>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Optimized</w:t>
            </w:r>
          </w:p>
        </w:tc>
        <w:tc>
          <w:tcPr>
            <w:tcW w:type="dxa" w:w="20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350 chars/min</w:t>
            </w:r>
          </w:p>
        </w:tc>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2,400 in / 160 out</w:t>
            </w:r>
          </w:p>
        </w:tc>
        <w:tc>
          <w:tcPr>
            <w:tcW w:type="dxa" w:w="1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1.56</w:t>
            </w:r>
          </w:p>
        </w:tc>
        <w:tc>
          <w:tcPr>
            <w:tcW w:type="dxa" w:w="1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1.84</w:t>
            </w:r>
          </w:p>
        </w:tc>
      </w:tr>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Expected</w:t>
            </w:r>
          </w:p>
        </w:tc>
        <w:tc>
          <w:tcPr>
            <w:tcW w:type="dxa" w:w="20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500 chars/min</w:t>
            </w:r>
          </w:p>
        </w:tc>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4,500 in / 350 out</w:t>
            </w:r>
          </w:p>
        </w:tc>
        <w:tc>
          <w:tcPr>
            <w:tcW w:type="dxa" w:w="1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2.02</w:t>
            </w:r>
          </w:p>
        </w:tc>
        <w:tc>
          <w:tcPr>
            <w:tcW w:type="dxa" w:w="1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2.39</w:t>
            </w:r>
          </w:p>
        </w:tc>
      </w:tr>
      <w:tr>
        <w:tc>
          <w:tcPr>
            <w:tcW w:type="dxa" w:w="1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Heavy</w:t>
            </w:r>
          </w:p>
        </w:tc>
        <w:tc>
          <w:tcPr>
            <w:tcW w:type="dxa" w:w="20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800 chars/min</w:t>
            </w:r>
          </w:p>
        </w:tc>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12,000 in / 850 out</w:t>
            </w:r>
          </w:p>
        </w:tc>
        <w:tc>
          <w:tcPr>
            <w:tcW w:type="dxa" w:w="1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2.96</w:t>
            </w:r>
          </w:p>
        </w:tc>
        <w:tc>
          <w:tcPr>
            <w:tcW w:type="dxa" w:w="1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3.49</w:t>
            </w:r>
          </w:p>
        </w:tc>
      </w:tr>
    </w:tbl>
    <w:tbl>
      <w:tblPr>
        <w:tblW w:type="dxa" w:w="9200"/>
        <w:jc w:val="center"/>
        <w:tblLayout w:type="fixed"/>
        <w:tblLook w:firstColumn="1" w:firstRow="1" w:lastColumn="0" w:lastRow="0" w:noHBand="0" w:noVBand="1" w:val="04A0"/>
        <w:tblInd w:w="120" w:type="dxa"/>
      </w:tblPr>
      <w:tblGrid>
        <w:gridCol w:w="9200"/>
      </w:tblGrid>
      <w:tr>
        <w:tc>
          <w:tcPr>
            <w:tcW w:type="dxa" w:w="92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AF7EF"/>
          </w:tcPr>
          <w:p>
            <w:pPr>
              <w:spacing w:after="80" w:line="269" w:lineRule="auto"/>
            </w:pPr>
            <w:r>
              <w:rPr>
                <w:b/>
                <w:color w:val="0B2545"/>
              </w:rPr>
              <w:t>Key Sarvam lever</w:t>
            </w:r>
          </w:p>
          <w:p>
            <w:pPr>
              <w:spacing w:after="0"/>
            </w:pPr>
            <w:r>
              <w:rPr>
                <w:sz w:val="20"/>
              </w:rPr>
              <w:t>TTS is the main Sarvam cost lever. Reducing bot speech from 800 characters/minute to 500 characters/minute saves about Rs. 0.90/minute before GST. This is much larger than any LLM-token optimization.</w:t>
            </w:r>
          </w:p>
        </w:tc>
      </w:tr>
    </w:tbl>
    <w:p>
      <w:pPr>
        <w:pStyle w:val="Heading1"/>
        <w:jc w:val="left"/>
      </w:pPr>
      <w:r>
        <w:rPr>
          <w:rFonts w:ascii="Calibri" w:hAnsi="Calibri"/>
        </w:rPr>
        <w:t>3. Exotel Cost Model</w:t>
      </w:r>
    </w:p>
    <w:p>
      <w:pPr>
        <w:jc w:val="both"/>
      </w:pPr>
      <w:r>
        <w:rPr>
          <w:rFonts w:ascii="Calibri" w:hAnsi="Calibri"/>
        </w:rPr>
        <w:t>Exotel is modelled as the PSTN calling and voicebot connectivity layer. The rates below are based on the commercial information received from Exotel support and should be confirmed against the final Exotel invoice or signed commercial schedule before contract signing.</w:t>
      </w:r>
    </w:p>
    <w:tbl>
      <w:tblPr>
        <w:tblW w:type="dxa" w:w="9360"/>
        <w:jc w:val="center"/>
        <w:tblLayout w:type="fixed"/>
        <w:tblLook w:firstColumn="1" w:firstRow="1" w:lastColumn="0" w:lastRow="0" w:noHBand="0" w:noVBand="1" w:val="04A0"/>
        <w:tblInd w:w="120" w:type="dxa"/>
      </w:tblPr>
      <w:tblGrid>
        <w:gridCol w:w="2600"/>
        <w:gridCol w:w="2500"/>
        <w:gridCol w:w="4260"/>
      </w:tblGrid>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Exotel item</w:t>
            </w:r>
          </w:p>
        </w:tc>
        <w:tc>
          <w:tcPr>
            <w:tcW w:type="dxa" w:w="2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Rate / term</w:t>
            </w:r>
          </w:p>
        </w:tc>
        <w:tc>
          <w:tcPr>
            <w:tcW w:type="dxa" w:w="4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How it affects cost</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Outbound calls</w:t>
            </w:r>
          </w:p>
        </w:tc>
        <w:tc>
          <w:tcPr>
            <w:tcW w:type="dxa" w:w="2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0.60/minute</w:t>
            </w:r>
          </w:p>
        </w:tc>
        <w:tc>
          <w:tcPr>
            <w:tcW w:type="dxa" w:w="4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Applies to outbound calls placed to borrowers/leads</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Inbound calls</w:t>
            </w:r>
          </w:p>
        </w:tc>
        <w:tc>
          <w:tcPr>
            <w:tcW w:type="dxa" w:w="2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0.20/minute</w:t>
            </w:r>
          </w:p>
        </w:tc>
        <w:tc>
          <w:tcPr>
            <w:tcW w:type="dxa" w:w="4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Relevant if borrowers call back into the virtual number</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Call attempt charge</w:t>
            </w:r>
          </w:p>
        </w:tc>
        <w:tc>
          <w:tcPr>
            <w:tcW w:type="dxa" w:w="2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0.06/attempt</w:t>
            </w:r>
          </w:p>
        </w:tc>
        <w:tc>
          <w:tcPr>
            <w:tcW w:type="dxa" w:w="4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Applies even when the call does not connect</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Channel charge</w:t>
            </w:r>
          </w:p>
        </w:tc>
        <w:tc>
          <w:tcPr>
            <w:tcW w:type="dxa" w:w="2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1,500/channel/month</w:t>
            </w:r>
          </w:p>
        </w:tc>
        <w:tc>
          <w:tcPr>
            <w:tcW w:type="dxa" w:w="4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Concurrency capacity; 2 channels modelled here</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Minimum monthly billing</w:t>
            </w:r>
          </w:p>
        </w:tc>
        <w:tc>
          <w:tcPr>
            <w:tcW w:type="dxa" w:w="2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20,000/month</w:t>
            </w:r>
          </w:p>
        </w:tc>
        <w:tc>
          <w:tcPr>
            <w:tcW w:type="dxa" w:w="4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Floor for Exotel monthly billing</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Landline virtual number</w:t>
            </w:r>
          </w:p>
        </w:tc>
        <w:tc>
          <w:tcPr>
            <w:tcW w:type="dxa" w:w="25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1 free</w:t>
            </w:r>
          </w:p>
        </w:tc>
        <w:tc>
          <w:tcPr>
            <w:tcW w:type="dxa" w:w="4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No additional monthly number cost modelled</w:t>
            </w:r>
          </w:p>
        </w:tc>
      </w:tr>
    </w:tbl>
    <w:p>
      <w:pPr>
        <w:pStyle w:val="Heading2"/>
        <w:jc w:val="left"/>
      </w:pPr>
      <w:r>
        <w:rPr>
          <w:rFonts w:ascii="Calibri" w:hAnsi="Calibri"/>
        </w:rPr>
        <w:t>3.1 Exotel Effective Cost at 25,000 Minutes</w:t>
      </w:r>
    </w:p>
    <w:tbl>
      <w:tblPr>
        <w:tblW w:type="dxa" w:w="9360"/>
        <w:jc w:val="center"/>
        <w:tblLayout w:type="fixed"/>
        <w:tblLook w:firstColumn="1" w:firstRow="1" w:lastColumn="0" w:lastRow="0" w:noHBand="0" w:noVBand="1" w:val="04A0"/>
        <w:tblInd w:w="120" w:type="dxa"/>
      </w:tblPr>
      <w:tblGrid>
        <w:gridCol w:w="2400"/>
        <w:gridCol w:w="4300"/>
        <w:gridCol w:w="2660"/>
      </w:tblGrid>
      <w:tr>
        <w:tc>
          <w:tcPr>
            <w:tcW w:type="dxa" w:w="24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Line item</w:t>
            </w:r>
          </w:p>
        </w:tc>
        <w:tc>
          <w:tcPr>
            <w:tcW w:type="dxa" w:w="4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Formula</w:t>
            </w:r>
          </w:p>
        </w:tc>
        <w:tc>
          <w:tcPr>
            <w:tcW w:type="dxa" w:w="2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Monthly cost</w:t>
            </w:r>
          </w:p>
        </w:tc>
      </w:tr>
      <w:tr>
        <w:tc>
          <w:tcPr>
            <w:tcW w:type="dxa" w:w="24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Outbound minutes</w:t>
            </w:r>
          </w:p>
        </w:tc>
        <w:tc>
          <w:tcPr>
            <w:tcW w:type="dxa" w:w="4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25,000 min x Rs. 0.60</w:t>
            </w:r>
          </w:p>
        </w:tc>
        <w:tc>
          <w:tcPr>
            <w:tcW w:type="dxa" w:w="2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15,000</w:t>
            </w:r>
          </w:p>
        </w:tc>
      </w:tr>
      <w:tr>
        <w:tc>
          <w:tcPr>
            <w:tcW w:type="dxa" w:w="24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Attempt charge</w:t>
            </w:r>
          </w:p>
        </w:tc>
        <w:tc>
          <w:tcPr>
            <w:tcW w:type="dxa" w:w="4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25,000 attempts x Rs. 0.06</w:t>
            </w:r>
          </w:p>
        </w:tc>
        <w:tc>
          <w:tcPr>
            <w:tcW w:type="dxa" w:w="2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1,500</w:t>
            </w:r>
          </w:p>
        </w:tc>
      </w:tr>
      <w:tr>
        <w:tc>
          <w:tcPr>
            <w:tcW w:type="dxa" w:w="24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Channel charge</w:t>
            </w:r>
          </w:p>
        </w:tc>
        <w:tc>
          <w:tcPr>
            <w:tcW w:type="dxa" w:w="4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2 channels x Rs. 1,500</w:t>
            </w:r>
          </w:p>
        </w:tc>
        <w:tc>
          <w:tcPr>
            <w:tcW w:type="dxa" w:w="2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3,000</w:t>
            </w:r>
          </w:p>
        </w:tc>
      </w:tr>
      <w:tr>
        <w:tc>
          <w:tcPr>
            <w:tcW w:type="dxa" w:w="24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Raw Exotel usage</w:t>
            </w:r>
          </w:p>
        </w:tc>
        <w:tc>
          <w:tcPr>
            <w:tcW w:type="dxa" w:w="4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Outbound + attempt + channel</w:t>
            </w:r>
          </w:p>
        </w:tc>
        <w:tc>
          <w:tcPr>
            <w:tcW w:type="dxa" w:w="2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19,500</w:t>
            </w:r>
          </w:p>
        </w:tc>
      </w:tr>
      <w:tr>
        <w:tc>
          <w:tcPr>
            <w:tcW w:type="dxa" w:w="24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Minimum billing floor</w:t>
            </w:r>
          </w:p>
        </w:tc>
        <w:tc>
          <w:tcPr>
            <w:tcW w:type="dxa" w:w="4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Contractual floor</w:t>
            </w:r>
          </w:p>
        </w:tc>
        <w:tc>
          <w:tcPr>
            <w:tcW w:type="dxa" w:w="2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20,000</w:t>
            </w:r>
          </w:p>
        </w:tc>
      </w:tr>
      <w:tr>
        <w:tc>
          <w:tcPr>
            <w:tcW w:type="dxa" w:w="24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Expected Exotel billed amount</w:t>
            </w:r>
          </w:p>
        </w:tc>
        <w:tc>
          <w:tcPr>
            <w:tcW w:type="dxa" w:w="4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Higher of raw usage and minimum floor</w:t>
            </w:r>
          </w:p>
        </w:tc>
        <w:tc>
          <w:tcPr>
            <w:tcW w:type="dxa" w:w="2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20,000</w:t>
            </w:r>
          </w:p>
        </w:tc>
      </w:tr>
      <w:tr>
        <w:tc>
          <w:tcPr>
            <w:tcW w:type="dxa" w:w="24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Effective Exotel per minute</w:t>
            </w:r>
          </w:p>
        </w:tc>
        <w:tc>
          <w:tcPr>
            <w:tcW w:type="dxa" w:w="4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20,000 / 25,000 minutes</w:t>
            </w:r>
          </w:p>
        </w:tc>
        <w:tc>
          <w:tcPr>
            <w:tcW w:type="dxa" w:w="26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0.80</w:t>
            </w:r>
          </w:p>
        </w:tc>
      </w:tr>
    </w:tbl>
    <w:p>
      <w:pPr>
        <w:jc w:val="both"/>
      </w:pPr>
      <w:r>
        <w:rPr>
          <w:rFonts w:ascii="Calibri" w:hAnsi="Calibri"/>
        </w:rPr>
        <w:t>At 25,000 minutes, the Exotel minimum monthly billing of Rs. 20,000 is the binding cost, because the modelled raw usage is Rs. 19,500. This creates an effective Exotel cost of Rs. 0.80/minute before GST. At materially higher volume, the effective cost approaches the actual outbound and attempt usage rate plus channel cost spread across more minutes.</w:t>
      </w:r>
    </w:p>
    <w:p>
      <w:pPr>
        <w:pStyle w:val="Heading1"/>
        <w:jc w:val="left"/>
      </w:pPr>
      <w:r>
        <w:rPr>
          <w:rFonts w:ascii="Calibri" w:hAnsi="Calibri"/>
        </w:rPr>
        <w:t>4. Combined Monthly Cost at 25,000 Minutes</w:t>
      </w:r>
    </w:p>
    <w:tbl>
      <w:tblPr>
        <w:tblW w:type="dxa" w:w="9360"/>
        <w:jc w:val="center"/>
        <w:tblLayout w:type="fixed"/>
        <w:tblLook w:firstColumn="1" w:firstRow="1" w:lastColumn="0" w:lastRow="0" w:noHBand="0" w:noVBand="1" w:val="04A0"/>
        <w:tblInd w:w="120" w:type="dxa"/>
      </w:tblPr>
      <w:tblGrid>
        <w:gridCol w:w="3800"/>
        <w:gridCol w:w="2800"/>
        <w:gridCol w:w="2760"/>
      </w:tblGrid>
      <w:tr>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Component</w:t>
            </w:r>
          </w:p>
        </w:tc>
        <w:tc>
          <w:tcPr>
            <w:tcW w:type="dxa" w:w="2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Monthly before GST</w:t>
            </w:r>
          </w:p>
        </w:tc>
        <w:tc>
          <w:tcPr>
            <w:tcW w:type="dxa" w:w="2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Monthly after GST</w:t>
            </w:r>
          </w:p>
        </w:tc>
      </w:tr>
      <w:tr>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Exotel telecom</w:t>
            </w:r>
          </w:p>
        </w:tc>
        <w:tc>
          <w:tcPr>
            <w:tcW w:type="dxa" w:w="2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20,000</w:t>
            </w:r>
          </w:p>
        </w:tc>
        <w:tc>
          <w:tcPr>
            <w:tcW w:type="dxa" w:w="2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23,600</w:t>
            </w:r>
          </w:p>
        </w:tc>
      </w:tr>
      <w:tr>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STT</w:t>
            </w:r>
          </w:p>
        </w:tc>
        <w:tc>
          <w:tcPr>
            <w:tcW w:type="dxa" w:w="2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12,500</w:t>
            </w:r>
          </w:p>
        </w:tc>
        <w:tc>
          <w:tcPr>
            <w:tcW w:type="dxa" w:w="2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14,750</w:t>
            </w:r>
          </w:p>
        </w:tc>
      </w:tr>
      <w:tr>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Bulbul v3 TTS</w:t>
            </w:r>
          </w:p>
        </w:tc>
        <w:tc>
          <w:tcPr>
            <w:tcW w:type="dxa" w:w="2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37,500</w:t>
            </w:r>
          </w:p>
        </w:tc>
        <w:tc>
          <w:tcPr>
            <w:tcW w:type="dxa" w:w="2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44,250</w:t>
            </w:r>
          </w:p>
        </w:tc>
      </w:tr>
      <w:tr>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105B LLM</w:t>
            </w:r>
          </w:p>
        </w:tc>
        <w:tc>
          <w:tcPr>
            <w:tcW w:type="dxa" w:w="2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590</w:t>
            </w:r>
          </w:p>
        </w:tc>
        <w:tc>
          <w:tcPr>
            <w:tcW w:type="dxa" w:w="2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696</w:t>
            </w:r>
          </w:p>
        </w:tc>
      </w:tr>
      <w:tr>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Railway hosting</w:t>
            </w:r>
          </w:p>
        </w:tc>
        <w:tc>
          <w:tcPr>
            <w:tcW w:type="dxa" w:w="2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599</w:t>
            </w:r>
          </w:p>
        </w:tc>
        <w:tc>
          <w:tcPr>
            <w:tcW w:type="dxa" w:w="2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707</w:t>
            </w:r>
          </w:p>
        </w:tc>
      </w:tr>
      <w:tr>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Domain allocation</w:t>
            </w:r>
          </w:p>
        </w:tc>
        <w:tc>
          <w:tcPr>
            <w:tcW w:type="dxa" w:w="2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100</w:t>
            </w:r>
          </w:p>
        </w:tc>
        <w:tc>
          <w:tcPr>
            <w:tcW w:type="dxa" w:w="2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118</w:t>
            </w:r>
          </w:p>
        </w:tc>
      </w:tr>
      <w:tr>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Total</w:t>
            </w:r>
          </w:p>
        </w:tc>
        <w:tc>
          <w:tcPr>
            <w:tcW w:type="dxa" w:w="2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71,289</w:t>
            </w:r>
          </w:p>
        </w:tc>
        <w:tc>
          <w:tcPr>
            <w:tcW w:type="dxa" w:w="2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84,121</w:t>
            </w:r>
          </w:p>
        </w:tc>
      </w:tr>
    </w:tbl>
    <w:tbl>
      <w:tblPr>
        <w:tblW w:type="dxa" w:w="9360"/>
        <w:jc w:val="center"/>
        <w:tblLayout w:type="fixed"/>
        <w:tblLook w:firstColumn="1" w:firstRow="1" w:lastColumn="0" w:lastRow="0" w:noHBand="0" w:noVBand="1" w:val="04A0"/>
        <w:tblInd w:w="120" w:type="dxa"/>
      </w:tblPr>
      <w:tblGrid>
        <w:gridCol w:w="4200"/>
        <w:gridCol w:w="5160"/>
      </w:tblGrid>
      <w:tr>
        <w:tc>
          <w:tcPr>
            <w:tcW w:type="dxa" w:w="42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shd w:fill="E8EEF5"/>
          </w:tcPr>
          <w:p>
            <w:pPr>
              <w:spacing w:after="0" w:line="252" w:lineRule="auto"/>
            </w:pPr>
            <w:r>
              <w:rPr>
                <w:rFonts w:ascii="Calibri" w:hAnsi="Calibri"/>
                <w:b/>
                <w:color w:val="0B2545"/>
                <w:sz w:val="18"/>
              </w:rPr>
              <w:t>Metric</w:t>
            </w:r>
          </w:p>
        </w:tc>
        <w:tc>
          <w:tcPr>
            <w:tcW w:type="dxa" w:w="5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shd w:fill="E8EEF5"/>
          </w:tcPr>
          <w:p>
            <w:pPr>
              <w:spacing w:after="0" w:line="252" w:lineRule="auto"/>
            </w:pPr>
            <w:r>
              <w:rPr>
                <w:rFonts w:ascii="Calibri" w:hAnsi="Calibri"/>
                <w:b/>
                <w:color w:val="0B2545"/>
                <w:sz w:val="18"/>
              </w:rPr>
              <w:t>Value</w:t>
            </w:r>
          </w:p>
        </w:tc>
      </w:tr>
      <w:tr>
        <w:tc>
          <w:tcPr>
            <w:tcW w:type="dxa" w:w="42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Expected COGS before GST</w:t>
            </w:r>
          </w:p>
        </w:tc>
        <w:tc>
          <w:tcPr>
            <w:tcW w:type="dxa" w:w="5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2.85 per minute</w:t>
            </w:r>
          </w:p>
        </w:tc>
      </w:tr>
      <w:tr>
        <w:tc>
          <w:tcPr>
            <w:tcW w:type="dxa" w:w="42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Expected COGS after GST</w:t>
            </w:r>
          </w:p>
        </w:tc>
        <w:tc>
          <w:tcPr>
            <w:tcW w:type="dxa" w:w="5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3.36 per minute</w:t>
            </w:r>
          </w:p>
        </w:tc>
      </w:tr>
      <w:tr>
        <w:tc>
          <w:tcPr>
            <w:tcW w:type="dxa" w:w="42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Expected monthly cost before GST</w:t>
            </w:r>
          </w:p>
        </w:tc>
        <w:tc>
          <w:tcPr>
            <w:tcW w:type="dxa" w:w="5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71,289</w:t>
            </w:r>
          </w:p>
        </w:tc>
      </w:tr>
      <w:tr>
        <w:tc>
          <w:tcPr>
            <w:tcW w:type="dxa" w:w="420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Expected monthly cost after GST</w:t>
            </w:r>
          </w:p>
        </w:tc>
        <w:tc>
          <w:tcPr>
            <w:tcW w:type="dxa" w:w="5160"/>
            <w:tcBorders>
              <w:top w:val="single" w:sz="6" w:space="0" w:color="D9E2EC"/>
              <w:left w:val="single" w:sz="6" w:space="0" w:color="D9E2EC"/>
              <w:bottom w:val="single" w:sz="6" w:space="0" w:color="D9E2EC"/>
              <w:right w:val="single" w:sz="6" w:space="0" w:color="D9E2EC"/>
            </w:tcBorders>
            <w:tcMar>
              <w:top w:w="80" w:type="dxa"/>
              <w:start w:w="120" w:type="dxa"/>
              <w:bottom w:w="80" w:type="dxa"/>
              <w:end w:w="120" w:type="dxa"/>
            </w:tcMar>
            <w:vAlign w:val="center"/>
          </w:tcPr>
          <w:p>
            <w:pPr>
              <w:spacing w:after="0" w:line="252" w:lineRule="auto"/>
            </w:pPr>
            <w:r>
              <w:rPr>
                <w:rFonts w:ascii="Calibri" w:hAnsi="Calibri"/>
                <w:sz w:val="18"/>
              </w:rPr>
              <w:t>Rs. 84,121</w:t>
            </w:r>
          </w:p>
        </w:tc>
      </w:tr>
    </w:tbl>
    <w:p>
      <w:pPr>
        <w:pStyle w:val="Heading1"/>
        <w:jc w:val="left"/>
      </w:pPr>
      <w:r>
        <w:rPr>
          <w:rFonts w:ascii="Calibri" w:hAnsi="Calibri"/>
        </w:rPr>
        <w:t>5. Recommended Commercial Pricing</w:t>
      </w:r>
    </w:p>
    <w:p>
      <w:pPr>
        <w:jc w:val="both"/>
      </w:pPr>
      <w:r>
        <w:rPr>
          <w:rFonts w:ascii="Calibri" w:hAnsi="Calibri"/>
        </w:rPr>
        <w:t>For client pricing, the per-minute charge should cover direct usage, GST treatment, support, monitoring, onboarding, playbook configuration, compliance reviews, and platform margin. The expected after-GST COGS is approximately Rs. 3.35/minute. A sustainable commercial price should not be set near raw COGS because voicebot operations require active monitoring and quality iteration.</w:t>
      </w:r>
    </w:p>
    <w:tbl>
      <w:tblPr>
        <w:tblW w:type="dxa" w:w="9360"/>
        <w:jc w:val="center"/>
        <w:tblLayout w:type="fixed"/>
        <w:tblLook w:firstColumn="1" w:firstRow="1" w:lastColumn="0" w:lastRow="0" w:noHBand="0" w:noVBand="1" w:val="04A0"/>
        <w:tblInd w:w="120" w:type="dxa"/>
      </w:tblPr>
      <w:tblGrid>
        <w:gridCol w:w="1800"/>
        <w:gridCol w:w="2300"/>
        <w:gridCol w:w="3000"/>
        <w:gridCol w:w="2260"/>
      </w:tblGrid>
      <w:tr>
        <w:tc>
          <w:tcPr>
            <w:tcW w:type="dxa" w:w="1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Client price / minute</w:t>
            </w:r>
          </w:p>
        </w:tc>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Revenue at 25,000 min</w:t>
            </w:r>
          </w:p>
        </w:tc>
        <w:tc>
          <w:tcPr>
            <w:tcW w:type="dxa" w:w="30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Approx. gross contribution after expected COGS</w:t>
            </w:r>
          </w:p>
        </w:tc>
        <w:tc>
          <w:tcPr>
            <w:tcW w:type="dxa" w:w="2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Comment</w:t>
            </w:r>
          </w:p>
        </w:tc>
      </w:tr>
      <w:tr>
        <w:tc>
          <w:tcPr>
            <w:tcW w:type="dxa" w:w="1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6/min</w:t>
            </w:r>
          </w:p>
        </w:tc>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150,000</w:t>
            </w:r>
          </w:p>
        </w:tc>
        <w:tc>
          <w:tcPr>
            <w:tcW w:type="dxa" w:w="30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65,879</w:t>
            </w:r>
          </w:p>
        </w:tc>
        <w:tc>
          <w:tcPr>
            <w:tcW w:type="dxa" w:w="2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Low-margin entry pricing; useful for pilot only</w:t>
            </w:r>
          </w:p>
        </w:tc>
      </w:tr>
      <w:tr>
        <w:tc>
          <w:tcPr>
            <w:tcW w:type="dxa" w:w="1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7/min</w:t>
            </w:r>
          </w:p>
        </w:tc>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175,000</w:t>
            </w:r>
          </w:p>
        </w:tc>
        <w:tc>
          <w:tcPr>
            <w:tcW w:type="dxa" w:w="30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90,879</w:t>
            </w:r>
          </w:p>
        </w:tc>
        <w:tc>
          <w:tcPr>
            <w:tcW w:type="dxa" w:w="2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Reasonable starting price for early customer</w:t>
            </w:r>
          </w:p>
        </w:tc>
      </w:tr>
      <w:tr>
        <w:tc>
          <w:tcPr>
            <w:tcW w:type="dxa" w:w="1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8/min</w:t>
            </w:r>
          </w:p>
        </w:tc>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200,000</w:t>
            </w:r>
          </w:p>
        </w:tc>
        <w:tc>
          <w:tcPr>
            <w:tcW w:type="dxa" w:w="30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115,879</w:t>
            </w:r>
          </w:p>
        </w:tc>
        <w:tc>
          <w:tcPr>
            <w:tcW w:type="dxa" w:w="2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Balanced commercial pricing</w:t>
            </w:r>
          </w:p>
        </w:tc>
      </w:tr>
      <w:tr>
        <w:tc>
          <w:tcPr>
            <w:tcW w:type="dxa" w:w="1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10/min</w:t>
            </w:r>
          </w:p>
        </w:tc>
        <w:tc>
          <w:tcPr>
            <w:tcW w:type="dxa" w:w="23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250,000</w:t>
            </w:r>
          </w:p>
        </w:tc>
        <w:tc>
          <w:tcPr>
            <w:tcW w:type="dxa" w:w="30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165,879</w:t>
            </w:r>
          </w:p>
        </w:tc>
        <w:tc>
          <w:tcPr>
            <w:tcW w:type="dxa" w:w="22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Premium pricing with room for support and SLA</w:t>
            </w:r>
          </w:p>
        </w:tc>
      </w:tr>
    </w:tbl>
    <w:tbl>
      <w:tblPr>
        <w:tblW w:type="dxa" w:w="9200"/>
        <w:jc w:val="center"/>
        <w:tblLayout w:type="fixed"/>
        <w:tblLook w:firstColumn="1" w:firstRow="1" w:lastColumn="0" w:lastRow="0" w:noHBand="0" w:noVBand="1" w:val="04A0"/>
        <w:tblInd w:w="120" w:type="dxa"/>
      </w:tblPr>
      <w:tblGrid>
        <w:gridCol w:w="9200"/>
      </w:tblGrid>
      <w:tr>
        <w:tc>
          <w:tcPr>
            <w:tcW w:type="dxa" w:w="92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AF7EF"/>
          </w:tcPr>
          <w:p>
            <w:pPr>
              <w:spacing w:after="80" w:line="269" w:lineRule="auto"/>
            </w:pPr>
            <w:r>
              <w:rPr>
                <w:b/>
                <w:color w:val="0B2545"/>
              </w:rPr>
              <w:t>Recommendation</w:t>
            </w:r>
          </w:p>
          <w:p>
            <w:pPr>
              <w:spacing w:after="0"/>
            </w:pPr>
            <w:r>
              <w:rPr>
                <w:sz w:val="20"/>
              </w:rPr>
              <w:t>Quote clients at Rs. 8-10 per connected minute for production usage, plus a setup/onboarding fee for client workspace creation, Exotel/Sarvam integration checks, playbook configuration, CSV/data hygiene, and compliance review. For pilots, Rs. 7/minute can be used with a minimum monthly commitment.</w:t>
            </w:r>
          </w:p>
        </w:tc>
      </w:tr>
    </w:tbl>
    <w:p>
      <w:pPr>
        <w:pStyle w:val="Heading1"/>
        <w:jc w:val="left"/>
      </w:pPr>
      <w:r>
        <w:rPr>
          <w:rFonts w:ascii="Calibri" w:hAnsi="Calibri"/>
        </w:rPr>
        <w:t>6. Cost-Control Measures Without Hurting Experience</w:t>
      </w:r>
    </w:p>
    <w:p>
      <w:pPr>
        <w:pStyle w:val="ListBullet"/>
      </w:pPr>
      <w:r>
        <w:rPr>
          <w:rFonts w:ascii="Calibri" w:hAnsi="Calibri"/>
        </w:rPr>
        <w:t>Keep bot answers short and action-oriented; the largest AI cost driver is TTS characters spoken by the bot.</w:t>
      </w:r>
    </w:p>
    <w:p>
      <w:pPr>
        <w:pStyle w:val="ListBullet"/>
      </w:pPr>
      <w:r>
        <w:rPr>
          <w:rFonts w:ascii="Calibri" w:hAnsi="Calibri"/>
        </w:rPr>
        <w:t>Use a playbook-aware summary memory instead of passing the entire transcript to the LLM on every turn.</w:t>
      </w:r>
    </w:p>
    <w:p>
      <w:pPr>
        <w:pStyle w:val="ListBullet"/>
      </w:pPr>
      <w:r>
        <w:rPr>
          <w:rFonts w:ascii="Calibri" w:hAnsi="Calibri"/>
        </w:rPr>
        <w:t>Cache static system prompts and playbook instructions where provider support allows cached-input pricing.</w:t>
      </w:r>
    </w:p>
    <w:p>
      <w:pPr>
        <w:pStyle w:val="ListBullet"/>
      </w:pPr>
      <w:r>
        <w:rPr>
          <w:rFonts w:ascii="Calibri" w:hAnsi="Calibri"/>
        </w:rPr>
        <w:t>Use Sarvam 30B for routine responses if quality is acceptable; reserve larger models for difficult turns or summaries.</w:t>
      </w:r>
    </w:p>
    <w:p>
      <w:pPr>
        <w:pStyle w:val="ListBullet"/>
      </w:pPr>
      <w:r>
        <w:rPr>
          <w:rFonts w:ascii="Calibri" w:hAnsi="Calibri"/>
        </w:rPr>
        <w:t>Avoid translation/transliteration APIs unless the user language actually requires them.</w:t>
      </w:r>
    </w:p>
    <w:p>
      <w:pPr>
        <w:pStyle w:val="ListBullet"/>
      </w:pPr>
      <w:r>
        <w:rPr>
          <w:rFonts w:ascii="Calibri" w:hAnsi="Calibri"/>
        </w:rPr>
        <w:t>Use early non-human detection for voicemail and call-screening flows to avoid unnecessary paid duration.</w:t>
      </w:r>
    </w:p>
    <w:p>
      <w:pPr>
        <w:pStyle w:val="ListBullet"/>
      </w:pPr>
      <w:r>
        <w:rPr>
          <w:rFonts w:ascii="Calibri" w:hAnsi="Calibri"/>
        </w:rPr>
        <w:t>Throttle concurrent calls to available Exotel channels so calls queue cleanly and do not fail from over-dispatch.</w:t>
      </w:r>
    </w:p>
    <w:p>
      <w:pPr>
        <w:pStyle w:val="ListBullet"/>
      </w:pPr>
      <w:r>
        <w:rPr>
          <w:rFonts w:ascii="Calibri" w:hAnsi="Calibri"/>
        </w:rPr>
        <w:t>Monitor per-call TTS character count and average conversation turns as product KPIs, not just technical logs.</w:t>
      </w:r>
    </w:p>
    <w:p>
      <w:pPr>
        <w:pStyle w:val="Heading1"/>
        <w:jc w:val="left"/>
      </w:pPr>
      <w:r>
        <w:rPr>
          <w:rFonts w:ascii="Calibri" w:hAnsi="Calibri"/>
        </w:rPr>
        <w:t>7. Assumptions, Risks, and Items to Confirm</w:t>
      </w:r>
    </w:p>
    <w:tbl>
      <w:tblPr>
        <w:tblW w:type="dxa" w:w="9360"/>
        <w:jc w:val="center"/>
        <w:tblLayout w:type="fixed"/>
        <w:tblLook w:firstColumn="1" w:firstRow="1" w:lastColumn="0" w:lastRow="0" w:noHBand="0" w:noVBand="1" w:val="04A0"/>
        <w:tblInd w:w="120" w:type="dxa"/>
      </w:tblPr>
      <w:tblGrid>
        <w:gridCol w:w="2100"/>
        <w:gridCol w:w="3800"/>
        <w:gridCol w:w="3460"/>
      </w:tblGrid>
      <w:tr>
        <w:tc>
          <w:tcPr>
            <w:tcW w:type="dxa" w:w="21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Area</w:t>
            </w:r>
          </w:p>
        </w:tc>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Current assumption</w:t>
            </w:r>
          </w:p>
        </w:tc>
        <w:tc>
          <w:tcPr>
            <w:tcW w:type="dxa" w:w="3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Risk / next action</w:t>
            </w:r>
          </w:p>
        </w:tc>
      </w:tr>
      <w:tr>
        <w:tc>
          <w:tcPr>
            <w:tcW w:type="dxa" w:w="21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Sarvam pricing</w:t>
            </w:r>
          </w:p>
        </w:tc>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Public API pricing as viewed on 14 June 2026</w:t>
            </w:r>
          </w:p>
        </w:tc>
        <w:tc>
          <w:tcPr>
            <w:tcW w:type="dxa" w:w="3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Confirm final invoices and any free-token / enterprise plan effects</w:t>
            </w:r>
          </w:p>
        </w:tc>
      </w:tr>
      <w:tr>
        <w:tc>
          <w:tcPr>
            <w:tcW w:type="dxa" w:w="21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Exotel pricing</w:t>
            </w:r>
          </w:p>
        </w:tc>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Rates from Exotel support email</w:t>
            </w:r>
          </w:p>
        </w:tc>
        <w:tc>
          <w:tcPr>
            <w:tcW w:type="dxa" w:w="3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Confirm signed commercial schedule, GST treatment, and channel count</w:t>
            </w:r>
          </w:p>
        </w:tc>
      </w:tr>
      <w:tr>
        <w:tc>
          <w:tcPr>
            <w:tcW w:type="dxa" w:w="21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Call minute definition</w:t>
            </w:r>
          </w:p>
        </w:tc>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Connected outbound minutes are treated as the primary billing volume</w:t>
            </w:r>
          </w:p>
        </w:tc>
        <w:tc>
          <w:tcPr>
            <w:tcW w:type="dxa" w:w="3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Clarify whether Exotel bills full call duration including ringing/attempt phases</w:t>
            </w:r>
          </w:p>
        </w:tc>
      </w:tr>
      <w:tr>
        <w:tc>
          <w:tcPr>
            <w:tcW w:type="dxa" w:w="21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TTS volume</w:t>
            </w:r>
          </w:p>
        </w:tc>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Expected case uses 500 bot characters/minute</w:t>
            </w:r>
          </w:p>
        </w:tc>
        <w:tc>
          <w:tcPr>
            <w:tcW w:type="dxa" w:w="3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Track actual production average and revise pricing after first 1,000 calls</w:t>
            </w:r>
          </w:p>
        </w:tc>
      </w:tr>
      <w:tr>
        <w:tc>
          <w:tcPr>
            <w:tcW w:type="dxa" w:w="21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Fallback providers</w:t>
            </w:r>
          </w:p>
        </w:tc>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Deepgram/Gemini kept as fallback only</w:t>
            </w:r>
          </w:p>
        </w:tc>
        <w:tc>
          <w:tcPr>
            <w:tcW w:type="dxa" w:w="3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If fallback exceeds 5% traffic, add separate reserve line item</w:t>
            </w:r>
          </w:p>
        </w:tc>
      </w:tr>
      <w:tr>
        <w:tc>
          <w:tcPr>
            <w:tcW w:type="dxa" w:w="21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GST</w:t>
            </w:r>
          </w:p>
        </w:tc>
        <w:tc>
          <w:tcPr>
            <w:tcW w:type="dxa" w:w="38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18% applied uniformly for investor modelling</w:t>
            </w:r>
          </w:p>
        </w:tc>
        <w:tc>
          <w:tcPr>
            <w:tcW w:type="dxa" w:w="34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Actual tax treatment depends on vendor invoices and client contract terms</w:t>
            </w:r>
          </w:p>
        </w:tc>
      </w:tr>
    </w:tbl>
    <w:p>
      <w:pPr>
        <w:pStyle w:val="Heading1"/>
        <w:jc w:val="left"/>
      </w:pPr>
      <w:r>
        <w:rPr>
          <w:rFonts w:ascii="Calibri" w:hAnsi="Calibri"/>
        </w:rPr>
        <w:t>8. Sources</w:t>
      </w:r>
    </w:p>
    <w:p>
      <w:pPr>
        <w:pStyle w:val="ListBullet"/>
      </w:pPr>
      <w:r>
        <w:rPr>
          <w:rFonts w:ascii="Calibri" w:hAnsi="Calibri"/>
        </w:rPr>
        <w:t>Sarvam AI API Pricing page, accessed 14 June 2026: https://www.sarvam.ai/api-pricing</w:t>
      </w:r>
    </w:p>
    <w:p>
      <w:pPr>
        <w:pStyle w:val="ListBullet"/>
      </w:pPr>
      <w:r>
        <w:rPr>
          <w:rFonts w:ascii="Calibri" w:hAnsi="Calibri"/>
        </w:rPr>
        <w:t>Exotel rates: support response shared by Baleneet Systems / LoanConnect team. Modelled rates: outbound Rs. 0.60/min, inbound Rs. 0.20/min, attempt Rs. 0.06, channel Rs. 1,500/month, minimum monthly billing Rs. 20,000.</w:t>
      </w:r>
    </w:p>
    <w:p>
      <w:pPr>
        <w:pStyle w:val="ListBullet"/>
      </w:pPr>
      <w:r>
        <w:rPr>
          <w:rFonts w:ascii="Calibri" w:hAnsi="Calibri"/>
        </w:rPr>
        <w:t>Railway cost: current project assumption provided by team, Rs. 599/month.</w:t>
      </w:r>
    </w:p>
    <w:p>
      <w:pPr>
        <w:pStyle w:val="ListBullet"/>
      </w:pPr>
      <w:r>
        <w:rPr>
          <w:rFonts w:ascii="Calibri" w:hAnsi="Calibri"/>
        </w:rPr>
        <w:t>Domain cost: model allocation assumption, Rs. 100/month.</w:t>
      </w:r>
    </w:p>
    <w:p>
      <w:pPr>
        <w:pStyle w:val="Heading1"/>
        <w:jc w:val="left"/>
      </w:pPr>
      <w:r>
        <w:rPr>
          <w:rFonts w:ascii="Calibri" w:hAnsi="Calibri"/>
        </w:rPr>
        <w:t>Appendix A: Formula Reference</w:t>
      </w:r>
    </w:p>
    <w:tbl>
      <w:tblPr>
        <w:tblW w:type="dxa" w:w="9360"/>
        <w:jc w:val="center"/>
        <w:tblLayout w:type="fixed"/>
        <w:tblLook w:firstColumn="1" w:firstRow="1" w:lastColumn="0" w:lastRow="0" w:noHBand="0" w:noVBand="1" w:val="04A0"/>
        <w:tblInd w:w="120" w:type="dxa"/>
      </w:tblPr>
      <w:tblGrid>
        <w:gridCol w:w="2600"/>
        <w:gridCol w:w="6760"/>
      </w:tblGrid>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Formula</w:t>
            </w:r>
          </w:p>
        </w:tc>
        <w:tc>
          <w:tcPr>
            <w:tcW w:type="dxa" w:w="6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shd w:fill="E8EEF5"/>
          </w:tcPr>
          <w:p>
            <w:pPr>
              <w:spacing w:after="0" w:line="269" w:lineRule="auto"/>
            </w:pPr>
            <w:r>
              <w:rPr>
                <w:rFonts w:ascii="Calibri" w:hAnsi="Calibri"/>
                <w:b/>
                <w:color w:val="0B2545"/>
                <w:sz w:val="19"/>
              </w:rPr>
              <w:t>Calculation</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STT cost/min</w:t>
            </w:r>
          </w:p>
        </w:tc>
        <w:tc>
          <w:tcPr>
            <w:tcW w:type="dxa" w:w="6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Rs. 30/hour divided by 60 = Rs. 0.50/min</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TTS cost/min</w:t>
            </w:r>
          </w:p>
        </w:tc>
        <w:tc>
          <w:tcPr>
            <w:tcW w:type="dxa" w:w="6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Bot characters/min x Rs. 30 / 10,000</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LLM input cost/min</w:t>
            </w:r>
          </w:p>
        </w:tc>
        <w:tc>
          <w:tcPr>
            <w:tcW w:type="dxa" w:w="6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Input tokens/min x Rs. 4 / 1,000,000 for Sarvam 105B</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LLM output cost/min</w:t>
            </w:r>
          </w:p>
        </w:tc>
        <w:tc>
          <w:tcPr>
            <w:tcW w:type="dxa" w:w="6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Output tokens/min x Rs. 16 / 1,000,000 for Sarvam 105B</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Exotel effective/min</w:t>
            </w:r>
          </w:p>
        </w:tc>
        <w:tc>
          <w:tcPr>
            <w:tcW w:type="dxa" w:w="6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Max(raw usage, Rs. 20,000 minimum) / monthly minutes</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Infrastructure/min</w:t>
            </w:r>
          </w:p>
        </w:tc>
        <w:tc>
          <w:tcPr>
            <w:tcW w:type="dxa" w:w="6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(Railway + domain allocation) / monthly minutes</w:t>
            </w:r>
          </w:p>
        </w:tc>
      </w:tr>
      <w:tr>
        <w:tc>
          <w:tcPr>
            <w:tcW w:type="dxa" w:w="260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Total after GST/min</w:t>
            </w:r>
          </w:p>
        </w:tc>
        <w:tc>
          <w:tcPr>
            <w:tcW w:type="dxa" w:w="6760"/>
            <w:tcBorders>
              <w:top w:val="single" w:sz="6" w:space="0" w:color="D9E2EC"/>
              <w:left w:val="single" w:sz="6" w:space="0" w:color="D9E2EC"/>
              <w:bottom w:val="single" w:sz="6" w:space="0" w:color="D9E2EC"/>
              <w:right w:val="single" w:sz="6" w:space="0" w:color="D9E2EC"/>
            </w:tcBorders>
            <w:tcMar>
              <w:top w:w="110" w:type="dxa"/>
              <w:start w:w="120" w:type="dxa"/>
              <w:bottom w:w="110" w:type="dxa"/>
              <w:end w:w="120" w:type="dxa"/>
            </w:tcMar>
            <w:vAlign w:val="center"/>
          </w:tcPr>
          <w:p>
            <w:pPr>
              <w:spacing w:after="0" w:line="269" w:lineRule="auto"/>
            </w:pPr>
            <w:r>
              <w:rPr>
                <w:rFonts w:ascii="Calibri" w:hAnsi="Calibri"/>
                <w:sz w:val="19"/>
              </w:rPr>
              <w:t>(Exotel + Sarvam + infrastructure before GST) x 1.18</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LoanConnect Voice AI Cost Proposal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