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Technical Integration Requirements</w:t>
      </w:r>
    </w:p>
    <w:p>
      <w:pPr>
        <w:spacing w:after="60"/>
      </w:pPr>
      <w:r>
        <w:rPr>
          <w:color w:val="444444"/>
          <w:sz w:val="26"/>
          <w:szCs w:val="26"/>
        </w:rPr>
        <w:t xml:space="preserve">AI Voice Calling on Existing 1600-Series Number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To:  Go2Market — Technical / Solutions Team</w:t>
      </w:r>
    </w:p>
    <w:p>
      <w:pPr>
        <w:spacing w:after="140" w:line="276"/>
      </w:pPr>
      <w:r>
        <w:rPr>
          <w:b/>
          <w:bCs/>
        </w:rPr>
        <w:t xml:space="preserve">Subject:  Integrating our AI voice application with our existing 1600-series number</w:t>
      </w:r>
    </w:p>
    <w:p>
      <w:pPr>
        <w:pStyle w:val="Heading1"/>
        <w:spacing w:after="160" w:before="320"/>
      </w:pPr>
      <w:r>
        <w:rPr>
          <w:b/>
          <w:bCs/>
        </w:rPr>
        <w:t xml:space="preserve">Background</w:t>
      </w:r>
    </w:p>
    <w:p>
      <w:pPr>
        <w:spacing w:after="140" w:line="276"/>
      </w:pPr>
      <w:r>
        <w:t xml:space="preserve">We operate an AI voice-calling platform used by lending clients in India. Our client already holds a registered 1600-series number on your platform, and we want to use that existing number for outbound service and transactional calls — EMI due reminders, overdue reminders, payment assistance, and repayment servicing. Promotional or cross-sell content is explicitly out of scope for this route.</w:t>
      </w:r>
    </w:p>
    <w:p>
      <w:pPr>
        <w:spacing w:after="140" w:line="276"/>
      </w:pPr>
      <w:r>
        <w:rPr>
          <w:b/>
          <w:bCs/>
        </w:rPr>
        <w:t xml:space="preserve">Our intended split of responsibilities:</w:t>
      </w:r>
    </w:p>
    <w:p>
      <w:pPr>
        <w:spacing w:after="140" w:line="276"/>
      </w:pPr>
      <w:r>
        <w:t xml:space="preserve">Go2Market remains the originating telecom provider for the 1600-series leg, presents the registered CLI, and provides call control plus a live audio interface.</w:t>
      </w:r>
    </w:p>
    <w:p>
      <w:pPr>
        <w:spacing w:after="140" w:line="276"/>
      </w:pPr>
      <w:r>
        <w:t xml:space="preserve">Our platform provides the entire conversation: speech-to-text, conversation logic, text-to-speech, campaign orchestration, transcripts, outcomes, and audit.</w:t>
      </w:r>
    </w:p>
    <w:p>
      <w:pPr>
        <w:spacing w:after="140" w:line="276"/>
      </w:pPr>
      <w:r>
        <w:t xml:space="preserve">To be explicit about scope: we are not looking for a hosted IVR, a drag-and-drop call-flow builder, or a packaged voicebot product. Our AI engine already exists and handles the conversation. What we need from Go2Market is the telecom leg and a way to exchange live call audio with our application.</w:t>
      </w:r>
    </w:p>
    <w:p>
      <w:pPr>
        <w:pStyle w:val="Heading1"/>
        <w:spacing w:after="160" w:before="320"/>
      </w:pPr>
      <w:r>
        <w:rPr>
          <w:b/>
          <w:bCs/>
        </w:rPr>
        <w:t xml:space="preserve">Question 1 — The one that determines everything else</w:t>
      </w:r>
    </w:p>
    <w:p>
      <w:pPr>
        <w:spacing w:after="160" w:line="276"/>
        <w:ind w:left="360"/>
      </w:pPr>
      <w:r>
        <w:rPr>
          <w:b/>
          <w:bCs/>
        </w:rPr>
        <w:t xml:space="preserve">During an active call, can your platform exchange live audio bidirectionally with an external application that we host?</w:t>
      </w:r>
    </w:p>
    <w:p>
      <w:pPr>
        <w:spacing w:after="140" w:line="276"/>
      </w:pPr>
      <w:r>
        <w:t xml:space="preserve">That is: stream the customer's audio to us in real time, and play back audio that we send you, continuously, in both directions, for the duration of the call.</w:t>
      </w:r>
    </w:p>
    <w:p>
      <w:pPr>
        <w:spacing w:after="140" w:line="276"/>
      </w:pPr>
      <w:r>
        <w:t xml:space="preserve">This is the capability other providers call:</w:t>
      </w:r>
    </w:p>
    <w:p>
      <w:pPr>
        <w:spacing w:after="140" w:line="276"/>
      </w:pPr>
      <w:r>
        <w:t xml:space="preserve">      Exotel — “Voicebot Applet”</w:t>
      </w:r>
    </w:p>
    <w:p>
      <w:pPr>
        <w:spacing w:after="140" w:line="276"/>
      </w:pPr>
      <w:r>
        <w:t xml:space="preserve">      Twilio — “Media Streams”</w:t>
      </w:r>
    </w:p>
    <w:p>
      <w:pPr>
        <w:spacing w:after="140" w:line="276"/>
      </w:pPr>
      <w:r>
        <w:t xml:space="preserve">      Others — “bidirectional media streaming”, “audio streaming API”, or SIP/RTP media connectivity</w:t>
      </w:r>
    </w:p>
    <w:p>
      <w:pPr>
        <w:spacing w:after="140" w:line="276"/>
      </w:pPr>
      <w:r>
        <w:rPr>
          <w:b/>
          <w:bCs/>
        </w:rPr>
        <w:t xml:space="preserve">If you can answer only one question in this document, please answer this one — it determines our entire integration approach, timeline, and commercial decision.</w:t>
      </w:r>
    </w:p>
    <w:p>
      <w:pPr>
        <w:spacing w:after="140" w:line="276"/>
      </w:pPr>
      <w:r>
        <w:t xml:space="preserve">Please indicate which of the following you support:</w:t>
      </w:r>
    </w:p>
    <w:p>
      <w:pPr>
        <w:spacing w:after="100"/>
        <w:ind w:left="431"/>
      </w:pPr>
      <w:r>
        <w:t xml:space="preserve">☐   1a.  Real-time bidirectional audio streaming over WebSocket (or similar API) to a customer-hosted endpoint</w:t>
      </w:r>
    </w:p>
    <w:p>
      <w:pPr>
        <w:spacing w:after="100"/>
        <w:ind w:left="431"/>
      </w:pPr>
      <w:r>
        <w:t xml:space="preserve">☐   1b.  SIP trunking / SIP URI routing / RTP media to a customer-hosted endpoint</w:t>
      </w:r>
    </w:p>
    <w:p>
      <w:pPr>
        <w:spacing w:after="100"/>
        <w:ind w:left="431"/>
      </w:pPr>
      <w:r>
        <w:t xml:space="preserve">☐   1c.  SIPREC-style media connectivity</w:t>
      </w:r>
    </w:p>
    <w:p>
      <w:pPr>
        <w:spacing w:after="100"/>
        <w:ind w:left="431"/>
      </w:pPr>
      <w:r>
        <w:t xml:space="preserve">☐   1d.  None of the above — live media cannot be exposed to an external application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2 — If you support WebSocket / API media streaming (1a)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2.1  </w:t>
      </w:r>
      <w:r>
        <w:t xml:space="preserve">Please share the protocol documentation: message and frame schema, event names, and connection lifecycle.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2.2  </w:t>
      </w:r>
      <w:r>
        <w:t xml:space="preserve">What audio encoding is used — linear PCM16, µ-law, or A-law? Which sample rates are supported (8 kHz / 16 kHz / 24 kHz)?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2.3  </w:t>
      </w:r>
      <w:r>
        <w:t xml:space="preserve">What packetization / frame size is expected? Must we pace outbound audio to real time, or may we send ahead of playback?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2.4  </w:t>
      </w:r>
      <w:r>
        <w:t xml:space="preserve">Is there a playback-completion signal — an event telling us when audio we sent has finished playing to the customer?</w:t>
      </w:r>
    </w:p>
    <w:p>
      <w:pPr>
        <w:spacing w:after="140"/>
        <w:ind w:left="720"/>
      </w:pPr>
      <w:r>
        <w:rPr>
          <w:i/>
          <w:iCs/>
          <w:color w:val="444444"/>
          <w:sz w:val="20"/>
          <w:szCs w:val="20"/>
        </w:rPr>
        <w:t xml:space="preserve">This is how our system knows when to stop speaking and begin listening. Without it, natural turn-taking is not achievable.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2.5  </w:t>
      </w:r>
      <w:r>
        <w:t xml:space="preserve">Can we flush or cancel audio already queued for playback, mid-utterance?</w:t>
      </w:r>
    </w:p>
    <w:p>
      <w:pPr>
        <w:spacing w:after="140"/>
        <w:ind w:left="720"/>
      </w:pPr>
      <w:r>
        <w:rPr>
          <w:i/>
          <w:iCs/>
          <w:color w:val="444444"/>
          <w:sz w:val="20"/>
          <w:szCs w:val="20"/>
        </w:rPr>
        <w:t xml:space="preserve">This is required for “barge-in” — when a customer interrupts, the bot must stop speaking immediately. Without it, the system talks over customers.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2.6  </w:t>
      </w:r>
      <w:r>
        <w:t xml:space="preserve">Is the media endpoint URL configured per call at dial time, or statically against the number? Can we append our own query parameters (e.g. an internal customer/call reference)?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2.7  </w:t>
      </w:r>
      <w:r>
        <w:t xml:space="preserve">How is the connection authenticated — bearer token, shared secret, IP allowlist, mTLS?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2.8  </w:t>
      </w:r>
      <w:r>
        <w:t xml:space="preserve">What is the typical round-trip audio latency on this path?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3 — If SIP / RTP is the integration path (1b or 1c)</w:t>
      </w:r>
    </w:p>
    <w:p>
      <w:pPr>
        <w:spacing w:after="100" w:line="276"/>
        <w:ind w:left="360" w:hanging="360"/>
      </w:pPr>
      <w:r>
        <w:rPr>
          <w:b/>
          <w:bCs/>
        </w:rPr>
        <w:t xml:space="preserve">3.1  </w:t>
      </w:r>
      <w:r>
        <w:t xml:space="preserve">What trunk model is used — do you terminate to a static IP that we provide, or do we register to your SIP registrar?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3.2  </w:t>
      </w:r>
      <w:r>
        <w:t xml:space="preserve">Which codecs are supported (G.711 a-law/µ-law, G.729, Opus)?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3.3  </w:t>
      </w:r>
      <w:r>
        <w:t xml:space="preserve">Which RTP port ranges must be open on our side? Is a static public IP mandatory?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3.4  </w:t>
      </w:r>
      <w:r>
        <w:t xml:space="preserve">Do you support SIP over TLS and SRTP?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3.5  </w:t>
      </w:r>
      <w:r>
        <w:t xml:space="preserve">Do you offer, or partner with, any SIP-to-WebSocket media bridge or similar gateway?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3.6  </w:t>
      </w:r>
      <w:r>
        <w:t xml:space="preserve">What is the SIP signalling and media termination location (city / region)?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4 — Call control and lifecycle</w:t>
      </w:r>
    </w:p>
    <w:p>
      <w:pPr>
        <w:spacing w:after="140" w:line="276"/>
      </w:pPr>
      <w:r>
        <w:rPr>
          <w:i/>
          <w:iCs/>
        </w:rPr>
        <w:t xml:space="preserve">Required regardless of which media path applies.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4.1  </w:t>
      </w:r>
      <w:r>
        <w:t xml:space="preserve">Do you provide an outbound call initiation API for our registered 1600-series number? Please share endpoint, authentication scheme, and full parameter list.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4.2  </w:t>
      </w:r>
      <w:r>
        <w:t xml:space="preserve">Can the caller ID be set per individual call? Our platform is multi-tenant, and different clients originate from different numbers.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4.3  </w:t>
      </w:r>
      <w:r>
        <w:t xml:space="preserve">Can we configure a ring timeout and a maximum call duration per call?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4.4  </w:t>
      </w:r>
      <w:r>
        <w:t xml:space="preserve">Call status webhooks — which lifecycle events do you post back (ringing, answered, completed, busy, no-answer, failed)? Please share the payload schema and your retry behaviour on delivery failure.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4.5  </w:t>
      </w:r>
      <w:r>
        <w:t xml:space="preserve">Custom metadata passthrough — can we attach our own correlation ID when initiating a call and receive it back unchanged on status webhooks and CDR?</w:t>
      </w:r>
    </w:p>
    <w:p>
      <w:pPr>
        <w:spacing w:after="140"/>
        <w:ind w:left="720"/>
      </w:pPr>
      <w:r>
        <w:rPr>
          <w:i/>
          <w:iCs/>
          <w:color w:val="444444"/>
          <w:sz w:val="20"/>
          <w:szCs w:val="20"/>
        </w:rPr>
        <w:t xml:space="preserve">This is how we reconcile your call records against ours. Our current provider supports this via a custom field parameter.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4.6  </w:t>
      </w:r>
      <w:r>
        <w:t xml:space="preserve">Can we terminate an in-progress call programmatically from our side?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4.7  </w:t>
      </w:r>
      <w:r>
        <w:t xml:space="preserve">DTMF — can keypad input be captured and forwarded to our application in real time?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4.8  </w:t>
      </w:r>
      <w:r>
        <w:t xml:space="preserve">Call recording — is it available, where is audio stored, for how long, and how is it retrieved (recording URL on CDR)?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5 — Capacity, reliability, and environments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5.1  </w:t>
      </w:r>
      <w:r>
        <w:t xml:space="preserve">What is the concurrent call limit on our account, and how can it be increased?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5.2  </w:t>
      </w:r>
      <w:r>
        <w:t xml:space="preserve">What is the supported CPS (calls per second) rate, and what throttling applies?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5.3  </w:t>
      </w:r>
      <w:r>
        <w:t xml:space="preserve">What API rate limits apply?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5.4  </w:t>
      </w:r>
      <w:r>
        <w:t xml:space="preserve">What retry rules does your platform apply on failed calls, and can we control or disable them? We manage retry policy ourselves.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5.5  </w:t>
      </w:r>
      <w:r>
        <w:t xml:space="preserve">Is a sandbox / test environment available before production? We would need credentials, API documentation, and sample webhook and CDR payloads.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5.6  </w:t>
      </w:r>
      <w:r>
        <w:t xml:space="preserve">Where are your media servers physically located? Real-time voice is highly latency-sensitive and we need to co-locate our infrastructure accordingly.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5.7  </w:t>
      </w:r>
      <w:r>
        <w:t xml:space="preserve">What SLA / uptime commitment applies, and what are your support channels and hours?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5.8  </w:t>
      </w:r>
      <w:r>
        <w:t xml:space="preserve">What failover arrangements exist if a media server or trunk becomes unavailable mid-campaign?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6 — Security and data handling</w:t>
      </w:r>
    </w:p>
    <w:p>
      <w:pPr>
        <w:spacing w:after="100" w:line="276"/>
        <w:ind w:left="360" w:hanging="360"/>
      </w:pPr>
      <w:r>
        <w:rPr>
          <w:b/>
          <w:bCs/>
        </w:rPr>
        <w:t xml:space="preserve">6.1  </w:t>
      </w:r>
      <w:r>
        <w:t xml:space="preserve">What authentication and encryption are supported on the API and media paths?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6.2  </w:t>
      </w:r>
      <w:r>
        <w:t xml:space="preserve">What are your data retention periods for call audio, CDR, and logs — and can retention be configured?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6.3  </w:t>
      </w:r>
      <w:r>
        <w:t xml:space="preserve">What audit logging is available to us?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6.4  </w:t>
      </w:r>
      <w:r>
        <w:t xml:space="preserve">What India data-residency controls apply to call audio, recordings, and metadata for BFSI traffic? Where is this data stored at rest?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6.5  </w:t>
      </w:r>
      <w:r>
        <w:t xml:space="preserve">Do you support least-privilege / scoped API credentials, and credential rotation?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7 — Regulatory (1600-series specific)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7.1  </w:t>
      </w:r>
      <w:r>
        <w:t xml:space="preserve">Is the client's existing 1600-series number already enabled for outbound transactional calls, or is it currently inbound-only? If additional provisioning is needed, what is the process and timeline?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7.2  </w:t>
      </w:r>
      <w:r>
        <w:t xml:space="preserve">DLT / PE / TM registration — please confirm which responsibilities sit with Go2Market and which with the NBFC (Principal Entity registration, telemarketer registration, header and content template approval).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7.3  </w:t>
      </w:r>
      <w:r>
        <w:t xml:space="preserve">Do our call scripts require pre-registered content templates? If so, what is the approval process and typical turnaround time, and how are changes to a script handled?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7.4  </w:t>
      </w:r>
      <w:r>
        <w:t xml:space="preserve">Are there restrictions specific to the 1600 series regarding calling windows, permitted content, or consent record-keeping that differ from standard numbers?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7.5  </w:t>
      </w:r>
      <w:r>
        <w:t xml:space="preserve">DNC / NDNC scrubbing — is this performed on your side, on ours, or both?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7.6  </w:t>
      </w:r>
      <w:r>
        <w:t xml:space="preserve">Are there any restrictions or disclosure requirements for using an automated / AI voice agent on this number series? If specific disclosure language is mandated, please provide it.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7.7  </w:t>
      </w:r>
      <w:r>
        <w:t xml:space="preserve">Please confirm the originating route for this number is fully provisioned through the authorised access-provider arrangement — we will not consider any design that presents the 1600 CLI over an unrelated telecom path.</w:t>
      </w:r>
    </w:p>
    <w:p>
      <w:pPr>
        <w:pStyle w:val="Heading1"/>
        <w:spacing w:after="160" w:before="320"/>
      </w:pPr>
      <w:r>
        <w:rPr>
          <w:b/>
          <w:bCs/>
        </w:rPr>
        <w:t xml:space="preserve">Section 8 — Commercials</w:t>
      </w:r>
    </w:p>
    <w:p>
      <w:pPr>
        <w:spacing w:after="100" w:line="276"/>
        <w:ind w:left="360" w:hanging="360"/>
      </w:pPr>
      <w:r>
        <w:rPr>
          <w:b/>
          <w:bCs/>
        </w:rPr>
        <w:t xml:space="preserve">8.1  </w:t>
      </w:r>
      <w:r>
        <w:t xml:space="preserve">Per-minute outbound rate on the 1600-series route.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8.2  </w:t>
      </w:r>
      <w:r>
        <w:t xml:space="preserve">Any charges for SIP trunking, media streaming, or API usage.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8.3  </w:t>
      </w:r>
      <w:r>
        <w:t xml:space="preserve">Number rental and channel / concurrency charges.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8.4  </w:t>
      </w:r>
      <w:r>
        <w:t xml:space="preserve">Call recording and storage charges.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8.5  </w:t>
      </w:r>
      <w:r>
        <w:t xml:space="preserve">One-time setup or integration fees.</w:t>
      </w:r>
    </w:p>
    <w:p>
      <w:pPr>
        <w:spacing w:after="100" w:line="276"/>
        <w:ind w:left="360" w:hanging="360"/>
      </w:pPr>
      <w:r>
        <w:rPr>
          <w:b/>
          <w:bCs/>
        </w:rPr>
        <w:t xml:space="preserve">8.6  </w:t>
      </w:r>
      <w:r>
        <w:t xml:space="preserve">Minimum monthly commitment, contract term, and notice period.</w:t>
      </w:r>
    </w:p>
    <w:p>
      <w:pPr>
        <w:pStyle w:val="Heading1"/>
        <w:spacing w:after="160" w:before="320"/>
      </w:pPr>
      <w:r>
        <w:rPr>
          <w:b/>
          <w:bCs/>
        </w:rPr>
        <w:t xml:space="preserve">What we would like to receive</w:t>
      </w:r>
    </w:p>
    <w:p>
      <w:pPr>
        <w:spacing w:after="140" w:line="276"/>
      </w:pPr>
      <w:r>
        <w:t xml:space="preserve">To begin implementation on our side, we would need:</w:t>
      </w:r>
    </w:p>
    <w:p>
      <w:pPr>
        <w:spacing w:after="140" w:line="276"/>
      </w:pPr>
      <w:r>
        <w:t xml:space="preserve">      1.  A definitive answer to Question 1</w:t>
      </w:r>
    </w:p>
    <w:p>
      <w:pPr>
        <w:spacing w:after="140" w:line="276"/>
      </w:pPr>
      <w:r>
        <w:t xml:space="preserve">      2.  API and/or SIP integration documentation</w:t>
      </w:r>
    </w:p>
    <w:p>
      <w:pPr>
        <w:spacing w:after="140" w:line="276"/>
      </w:pPr>
      <w:r>
        <w:t xml:space="preserve">      3.  Sandbox credentials</w:t>
      </w:r>
    </w:p>
    <w:p>
      <w:pPr>
        <w:spacing w:after="140" w:line="276"/>
      </w:pPr>
      <w:r>
        <w:t xml:space="preserve">      4.  Sample webhook and CDR payloads</w:t>
      </w:r>
    </w:p>
    <w:p>
      <w:pPr>
        <w:spacing w:after="140" w:line="276"/>
      </w:pPr>
      <w:r>
        <w:t xml:space="preserve">      5.  Supported codec and audio format specification</w:t>
      </w:r>
    </w:p>
    <w:p>
      <w:pPr>
        <w:spacing w:after="140" w:line="276"/>
      </w:pPr>
      <w:r>
        <w:t xml:space="preserve">      6.  Pricing per Section 8</w:t>
      </w:r>
    </w:p>
    <w:p>
      <w:pPr>
        <w:spacing w:after="140" w:line="276"/>
      </w:pPr>
      <w:r>
        <w:rPr>
          <w:b/>
          <w:bCs/>
        </w:rPr>
        <w:t xml:space="preserve">An early answer to Question 1 alone is more useful to us than a complete response later, as it determines our architecture.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Prepared as a technical integration requirement. Final number allocation, DLT setup, calling scripts, calling windows, frequency limits, and recording/retention policy remain subject to validation by the NBFC's compliance team and the licensed access provider.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2026-08-14T12:39:24.514Z</dcterms:created>
  <dcterms:modified xsi:type="dcterms:W3CDTF">2026-08-14T12:39:24.516Z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