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72F" w:rsidRPr="0084172F" w:rsidRDefault="0084172F" w:rsidP="0084172F">
      <w:pPr>
        <w:shd w:val="clear" w:color="auto" w:fill="FFFFFF"/>
        <w:spacing w:after="0" w:line="345" w:lineRule="atLeast"/>
        <w:textAlignment w:val="baseline"/>
        <w:outlineLvl w:val="3"/>
        <w:rPr>
          <w:rFonts w:ascii="Arial" w:eastAsia="Times New Roman" w:hAnsi="Arial" w:cs="Arial"/>
          <w:sz w:val="32"/>
          <w:szCs w:val="23"/>
        </w:rPr>
      </w:pPr>
      <w:r w:rsidRPr="0084172F">
        <w:rPr>
          <w:rFonts w:ascii="Arial" w:eastAsia="Times New Roman" w:hAnsi="Arial" w:cs="Arial"/>
          <w:b/>
          <w:bCs/>
          <w:sz w:val="32"/>
          <w:szCs w:val="23"/>
          <w:bdr w:val="none" w:sz="0" w:space="0" w:color="auto" w:frame="1"/>
        </w:rPr>
        <w:t>Phase I Clinical Trials</w:t>
      </w:r>
    </w:p>
    <w:p w:rsidR="0084172F" w:rsidRPr="0084172F" w:rsidRDefault="0084172F" w:rsidP="0084172F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Phase I clinical trials should usually be carried out by investigators trained in clinical pharmacology and having the necessary facilities to closely observe and monitor the subjects.</w:t>
      </w:r>
    </w:p>
    <w:p w:rsidR="0084172F" w:rsidRPr="0084172F" w:rsidRDefault="0084172F" w:rsidP="0084172F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These may be carried out at one or two centers.</w:t>
      </w:r>
    </w:p>
    <w:p w:rsidR="0084172F" w:rsidRPr="0084172F" w:rsidRDefault="0084172F" w:rsidP="0084172F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At least 2 subjects should be used on each dose.</w:t>
      </w:r>
    </w:p>
    <w:p w:rsidR="0084172F" w:rsidRPr="0084172F" w:rsidRDefault="0084172F" w:rsidP="0084172F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The document required for Phase I Clinical Trials are,</w:t>
      </w:r>
    </w:p>
    <w:p w:rsidR="0084172F" w:rsidRPr="0084172F" w:rsidRDefault="0084172F" w:rsidP="0084172F">
      <w:pPr>
        <w:numPr>
          <w:ilvl w:val="1"/>
          <w:numId w:val="7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Systemic Toxicity studies</w:t>
      </w:r>
    </w:p>
    <w:p w:rsidR="0084172F" w:rsidRPr="0084172F" w:rsidRDefault="0084172F" w:rsidP="0084172F">
      <w:pPr>
        <w:numPr>
          <w:ilvl w:val="2"/>
          <w:numId w:val="8"/>
        </w:numPr>
        <w:shd w:val="clear" w:color="auto" w:fill="FFFFFF"/>
        <w:spacing w:after="0" w:line="345" w:lineRule="atLeast"/>
        <w:ind w:left="9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Single dose toxicity studies</w:t>
      </w:r>
    </w:p>
    <w:p w:rsidR="0084172F" w:rsidRPr="0084172F" w:rsidRDefault="0084172F" w:rsidP="0084172F">
      <w:pPr>
        <w:numPr>
          <w:ilvl w:val="2"/>
          <w:numId w:val="8"/>
        </w:numPr>
        <w:shd w:val="clear" w:color="auto" w:fill="FFFFFF"/>
        <w:spacing w:after="0" w:line="345" w:lineRule="atLeast"/>
        <w:ind w:left="9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Dose Ranging Studies</w:t>
      </w:r>
    </w:p>
    <w:p w:rsidR="0084172F" w:rsidRPr="0084172F" w:rsidRDefault="0084172F" w:rsidP="0084172F">
      <w:pPr>
        <w:numPr>
          <w:ilvl w:val="2"/>
          <w:numId w:val="8"/>
        </w:numPr>
        <w:shd w:val="clear" w:color="auto" w:fill="FFFFFF"/>
        <w:spacing w:after="0" w:line="345" w:lineRule="atLeast"/>
        <w:ind w:left="9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Repeat-dose systemic toxicity studies</w:t>
      </w:r>
    </w:p>
    <w:p w:rsidR="0084172F" w:rsidRPr="0084172F" w:rsidRDefault="0084172F" w:rsidP="0084172F">
      <w:pPr>
        <w:numPr>
          <w:ilvl w:val="0"/>
          <w:numId w:val="9"/>
        </w:numPr>
        <w:shd w:val="clear" w:color="auto" w:fill="FFFFFF"/>
        <w:spacing w:after="0" w:line="345" w:lineRule="atLeast"/>
        <w:ind w:left="72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Male fertility study</w:t>
      </w:r>
    </w:p>
    <w:p w:rsidR="0084172F" w:rsidRPr="0084172F" w:rsidRDefault="0084172F" w:rsidP="0084172F">
      <w:pPr>
        <w:numPr>
          <w:ilvl w:val="0"/>
          <w:numId w:val="10"/>
        </w:numPr>
        <w:shd w:val="clear" w:color="auto" w:fill="FFFFFF"/>
        <w:spacing w:after="0" w:line="345" w:lineRule="atLeast"/>
        <w:ind w:left="3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In-vitro gene toxicity tests</w:t>
      </w:r>
    </w:p>
    <w:p w:rsidR="0084172F" w:rsidRPr="0084172F" w:rsidRDefault="0084172F" w:rsidP="0084172F">
      <w:pPr>
        <w:numPr>
          <w:ilvl w:val="0"/>
          <w:numId w:val="11"/>
        </w:numPr>
        <w:shd w:val="clear" w:color="auto" w:fill="FFFFFF"/>
        <w:spacing w:after="0" w:line="345" w:lineRule="atLeast"/>
        <w:ind w:left="3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Relevant local toxicity studies with proposed route of clinical application (duration depending on proposed length of clinical exposure)</w:t>
      </w:r>
    </w:p>
    <w:p w:rsidR="0084172F" w:rsidRPr="0084172F" w:rsidRDefault="0084172F" w:rsidP="0084172F">
      <w:pPr>
        <w:numPr>
          <w:ilvl w:val="0"/>
          <w:numId w:val="12"/>
        </w:numPr>
        <w:shd w:val="clear" w:color="auto" w:fill="FFFFFF"/>
        <w:spacing w:after="0" w:line="345" w:lineRule="atLeast"/>
        <w:ind w:left="3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Allergenicity / Hypersensitivity tests (when there is a cause for concern or for parenteral drugs, including dermal application)</w:t>
      </w:r>
    </w:p>
    <w:p w:rsidR="0084172F" w:rsidRPr="0084172F" w:rsidRDefault="0084172F" w:rsidP="0084172F">
      <w:pPr>
        <w:numPr>
          <w:ilvl w:val="0"/>
          <w:numId w:val="13"/>
        </w:numPr>
        <w:shd w:val="clear" w:color="auto" w:fill="FFFFFF"/>
        <w:spacing w:after="0" w:line="345" w:lineRule="atLeast"/>
        <w:ind w:left="3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Photo-allergy or dermal photo-toxicity test (if the drug or a metabolite is related to an agent causing photosensitivity or the nature of action suggests such a potential)</w:t>
      </w:r>
    </w:p>
    <w:p w:rsidR="0084172F" w:rsidRPr="0084172F" w:rsidRDefault="0084172F" w:rsidP="0084172F">
      <w:pPr>
        <w:shd w:val="clear" w:color="auto" w:fill="FFFFFF"/>
        <w:spacing w:after="0" w:line="345" w:lineRule="atLeast"/>
        <w:textAlignment w:val="baseline"/>
        <w:outlineLvl w:val="3"/>
        <w:rPr>
          <w:rFonts w:ascii="Arial" w:eastAsia="Times New Roman" w:hAnsi="Arial" w:cs="Arial"/>
          <w:sz w:val="32"/>
          <w:szCs w:val="23"/>
        </w:rPr>
      </w:pPr>
      <w:r w:rsidRPr="0084172F">
        <w:rPr>
          <w:rFonts w:ascii="Arial" w:eastAsia="Times New Roman" w:hAnsi="Arial" w:cs="Arial"/>
          <w:b/>
          <w:bCs/>
          <w:sz w:val="32"/>
          <w:szCs w:val="23"/>
          <w:bdr w:val="none" w:sz="0" w:space="0" w:color="auto" w:frame="1"/>
        </w:rPr>
        <w:t>Phase II Clinical Trials</w:t>
      </w:r>
    </w:p>
    <w:p w:rsidR="0084172F" w:rsidRPr="0084172F" w:rsidRDefault="0084172F" w:rsidP="0084172F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Phase II clinical trials should normally be carried out on 10-12 patients at each dose level.</w:t>
      </w:r>
    </w:p>
    <w:p w:rsidR="0084172F" w:rsidRPr="0084172F" w:rsidRDefault="0084172F" w:rsidP="0084172F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These studies should usually be carried out at 3-4 centers by clinicians specialized on the concerned therapeutic areas and having adequate facilities to perform the necessary investigations for efficacy and safety.</w:t>
      </w:r>
    </w:p>
    <w:p w:rsidR="0084172F" w:rsidRPr="0084172F" w:rsidRDefault="0084172F" w:rsidP="0084172F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The document required for Phase II Clinical Trials are,</w:t>
      </w:r>
    </w:p>
    <w:p w:rsidR="0084172F" w:rsidRPr="0084172F" w:rsidRDefault="0084172F" w:rsidP="0084172F">
      <w:pPr>
        <w:numPr>
          <w:ilvl w:val="1"/>
          <w:numId w:val="14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Summary of all the non-clinical safety data (listed above) already submitted while obtaining the permissions for Phase I trial.</w:t>
      </w:r>
    </w:p>
    <w:p w:rsidR="0084172F" w:rsidRPr="0084172F" w:rsidRDefault="0084172F" w:rsidP="0084172F">
      <w:pPr>
        <w:numPr>
          <w:ilvl w:val="1"/>
          <w:numId w:val="14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In case of an application for directly starting a Phase II trial – complete details of the nonclinical safety data needed for obtaining the permission for Phase I trial, as per the list provided above must be submitted.</w:t>
      </w:r>
    </w:p>
    <w:p w:rsidR="0084172F" w:rsidRPr="0084172F" w:rsidRDefault="0084172F" w:rsidP="0084172F">
      <w:pPr>
        <w:numPr>
          <w:ilvl w:val="1"/>
          <w:numId w:val="14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Repeat-dose systemic toxicity studies of appropriate duration to support the duration of proposed human exposure</w:t>
      </w:r>
    </w:p>
    <w:p w:rsidR="0084172F" w:rsidRPr="0084172F" w:rsidRDefault="0084172F" w:rsidP="0084172F">
      <w:pPr>
        <w:numPr>
          <w:ilvl w:val="1"/>
          <w:numId w:val="14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In-vivo genotoxicity tests.</w:t>
      </w:r>
    </w:p>
    <w:p w:rsidR="0084172F" w:rsidRPr="0084172F" w:rsidRDefault="0084172F" w:rsidP="0084172F">
      <w:pPr>
        <w:numPr>
          <w:ilvl w:val="1"/>
          <w:numId w:val="14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Segment II reproductive/developmental toxicity study (if female patients of child bearing age are going to be involved)</w:t>
      </w:r>
    </w:p>
    <w:p w:rsidR="0084172F" w:rsidRPr="0084172F" w:rsidRDefault="0084172F" w:rsidP="0084172F">
      <w:pPr>
        <w:shd w:val="clear" w:color="auto" w:fill="FFFFFF"/>
        <w:spacing w:after="0" w:line="345" w:lineRule="atLeast"/>
        <w:textAlignment w:val="baseline"/>
        <w:outlineLvl w:val="3"/>
        <w:rPr>
          <w:rFonts w:ascii="Arial" w:eastAsia="Times New Roman" w:hAnsi="Arial" w:cs="Arial"/>
          <w:sz w:val="32"/>
          <w:szCs w:val="23"/>
        </w:rPr>
      </w:pPr>
      <w:r w:rsidRPr="0084172F">
        <w:rPr>
          <w:rFonts w:ascii="Arial" w:eastAsia="Times New Roman" w:hAnsi="Arial" w:cs="Arial"/>
          <w:b/>
          <w:bCs/>
          <w:sz w:val="32"/>
          <w:szCs w:val="23"/>
          <w:bdr w:val="none" w:sz="0" w:space="0" w:color="auto" w:frame="1"/>
        </w:rPr>
        <w:t>Phase III Clinical Trials</w:t>
      </w:r>
    </w:p>
    <w:p w:rsidR="0084172F" w:rsidRPr="0084172F" w:rsidRDefault="0084172F" w:rsidP="0084172F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lastRenderedPageBreak/>
        <w:t>If the drug is already approved/marketed in other countries, phase III data should generally be obtained on at least 100 patients distributed over 3-4 centres</w:t>
      </w:r>
    </w:p>
    <w:p w:rsidR="0084172F" w:rsidRPr="0084172F" w:rsidRDefault="0084172F" w:rsidP="0084172F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at least 500 patients distributed over 10-15 centres.</w:t>
      </w:r>
    </w:p>
    <w:p w:rsidR="0084172F" w:rsidRPr="0084172F" w:rsidRDefault="0084172F" w:rsidP="0084172F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The document required for Phase II Clinical Trials are,</w:t>
      </w:r>
    </w:p>
    <w:p w:rsidR="0084172F" w:rsidRPr="0084172F" w:rsidRDefault="0084172F" w:rsidP="0084172F">
      <w:pPr>
        <w:numPr>
          <w:ilvl w:val="1"/>
          <w:numId w:val="15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For Phase III Clinical Trials Provide a summary of all the non-clinical safety data (listed above) already submitted while obtaining the permissions for Phase I and II trials, with appropriate references.</w:t>
      </w:r>
    </w:p>
    <w:p w:rsidR="0084172F" w:rsidRPr="0084172F" w:rsidRDefault="0084172F" w:rsidP="0084172F">
      <w:pPr>
        <w:numPr>
          <w:ilvl w:val="1"/>
          <w:numId w:val="15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In case of an application for directly initiating a Phase III trial – complete details of the non-clinical safety data needed for obtaining the permissions for Phase I and II trials, as per the list provided above must be provided.</w:t>
      </w:r>
    </w:p>
    <w:p w:rsidR="0084172F" w:rsidRPr="0084172F" w:rsidRDefault="0084172F" w:rsidP="0084172F">
      <w:pPr>
        <w:numPr>
          <w:ilvl w:val="1"/>
          <w:numId w:val="15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Repeat-dose systemic toxicity studies of appropriate duration to support the duration of proposed human exposure</w:t>
      </w:r>
    </w:p>
    <w:p w:rsidR="0084172F" w:rsidRPr="0084172F" w:rsidRDefault="0084172F" w:rsidP="0084172F">
      <w:pPr>
        <w:numPr>
          <w:ilvl w:val="1"/>
          <w:numId w:val="15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Reproductive/developmental toxicity studies</w:t>
      </w:r>
    </w:p>
    <w:p w:rsidR="0084172F" w:rsidRPr="0084172F" w:rsidRDefault="0084172F" w:rsidP="0084172F">
      <w:pPr>
        <w:numPr>
          <w:ilvl w:val="2"/>
          <w:numId w:val="16"/>
        </w:numPr>
        <w:shd w:val="clear" w:color="auto" w:fill="FFFFFF"/>
        <w:spacing w:after="0" w:line="345" w:lineRule="atLeast"/>
        <w:ind w:left="6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Segment I (if female patients of child bearing age are going to be involved), and</w:t>
      </w:r>
    </w:p>
    <w:p w:rsidR="0084172F" w:rsidRPr="0084172F" w:rsidRDefault="0084172F" w:rsidP="0084172F">
      <w:pPr>
        <w:numPr>
          <w:ilvl w:val="2"/>
          <w:numId w:val="16"/>
        </w:numPr>
        <w:shd w:val="clear" w:color="auto" w:fill="FFFFFF"/>
        <w:spacing w:after="0" w:line="345" w:lineRule="atLeast"/>
        <w:ind w:left="900" w:hanging="36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Segment III (for drugs to be given to pregnant or nursing mothers or where there are indications of possible adverse effects on foetal development)</w:t>
      </w:r>
    </w:p>
    <w:p w:rsidR="0084172F" w:rsidRPr="0084172F" w:rsidRDefault="0084172F" w:rsidP="0084172F">
      <w:pPr>
        <w:numPr>
          <w:ilvl w:val="1"/>
          <w:numId w:val="16"/>
        </w:numPr>
        <w:shd w:val="clear" w:color="auto" w:fill="FFFFFF"/>
        <w:spacing w:after="0" w:line="345" w:lineRule="atLeast"/>
        <w:ind w:left="600"/>
        <w:textAlignment w:val="baseline"/>
        <w:rPr>
          <w:rFonts w:ascii="Arial" w:eastAsia="Times New Roman" w:hAnsi="Arial" w:cs="Arial"/>
          <w:sz w:val="28"/>
          <w:szCs w:val="21"/>
        </w:rPr>
      </w:pPr>
      <w:r w:rsidRPr="0084172F">
        <w:rPr>
          <w:rFonts w:ascii="Arial" w:eastAsia="Times New Roman" w:hAnsi="Arial" w:cs="Arial"/>
          <w:sz w:val="28"/>
          <w:szCs w:val="21"/>
        </w:rPr>
        <w:t>Carcinogenicity studies (when there is a cause for concern or when the drug is to be used for more than 6 months).</w:t>
      </w:r>
    </w:p>
    <w:p w:rsidR="004E642E" w:rsidRDefault="0084172F">
      <w:pPr>
        <w:pStyle w:val="Signature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B612042" wp14:editId="1769AC48">
            <wp:extent cx="54491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723" cy="365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288FB" wp14:editId="26DF478C">
            <wp:extent cx="5204460" cy="35708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156" cy="35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6EC5FF3" wp14:editId="3B5E8E16">
            <wp:extent cx="4716780" cy="356706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450" cy="35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2F" w:rsidRDefault="0084172F">
      <w:pPr>
        <w:pStyle w:val="Signature"/>
        <w:rPr>
          <w:sz w:val="21"/>
          <w:szCs w:val="21"/>
        </w:rPr>
      </w:pPr>
      <w:r>
        <w:rPr>
          <w:noProof/>
        </w:rPr>
        <w:drawing>
          <wp:inline distT="0" distB="0" distL="0" distR="0" wp14:anchorId="06C95941" wp14:editId="6D61938B">
            <wp:extent cx="5117749" cy="35966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297" cy="35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</w:p>
    <w:p w:rsidR="0084172F" w:rsidRDefault="0084172F">
      <w:pPr>
        <w:pStyle w:val="Signature"/>
        <w:rPr>
          <w:sz w:val="21"/>
          <w:szCs w:val="21"/>
        </w:rPr>
      </w:pPr>
    </w:p>
    <w:p w:rsidR="0084172F" w:rsidRPr="0084172F" w:rsidRDefault="0084172F">
      <w:pPr>
        <w:pStyle w:val="Signature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7E096F" wp14:editId="07231711">
            <wp:extent cx="5173980" cy="371931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498" cy="37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172F" w:rsidRPr="0084172F">
      <w:footerReference w:type="default" r:id="rId14"/>
      <w:headerReference w:type="first" r:id="rId15"/>
      <w:pgSz w:w="12240" w:h="15840" w:code="1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C12" w:rsidRDefault="00375C12">
      <w:pPr>
        <w:spacing w:after="0" w:line="240" w:lineRule="auto"/>
      </w:pPr>
      <w:r>
        <w:separator/>
      </w:r>
    </w:p>
  </w:endnote>
  <w:endnote w:type="continuationSeparator" w:id="0">
    <w:p w:rsidR="00375C12" w:rsidRDefault="00375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GSMinchoB">
    <w:charset w:val="80"/>
    <w:family w:val="roman"/>
    <w:pitch w:val="variable"/>
    <w:sig w:usb0="80000281" w:usb1="28C76CF8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42E" w:rsidRDefault="00375C12">
    <w:pPr>
      <w:pStyle w:val="Footer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editId="577F9C1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13" name="Bkgd: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642E" w:rsidRDefault="004E642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id="Bkgd: 1" o:spid="_x0000_s1026" style="position:absolute;margin-left:0;margin-top:0;width:588.75pt;height:763.5pt;z-index:-251653120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" stroked="f" strokeweight="1pt">
              <v:fill r:id="rId1" o:title="" recolor="t" rotate="t" type="tile"/>
              <v:imagedata recolortarget="white [2257]"/>
              <v:textbox inset="2.53903mm,1.2695mm,2.53903mm,1.2695mm">
                <w:txbxContent>
                  <w:p w:rsidR="004E642E" w:rsidRDefault="004E642E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editId="55950E0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15" name="Bkgd: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642E" w:rsidRDefault="004E642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id="Bkgd: 2" o:spid="_x0000_s1027" style="position:absolute;margin-left:0;margin-top:0;width:546.85pt;height:711.35pt;z-index:-251652096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" stroked="f" strokeweight="2pt">
              <v:fill opacity="54484f"/>
              <v:textbox inset="2.53903mm,1.2695mm,2.53903mm,1.2695mm">
                <w:txbxContent>
                  <w:p w:rsidR="004E642E" w:rsidRDefault="004E642E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editId="5248084B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75755" cy="8686800"/>
              <wp:effectExtent l="0" t="0" r="0" b="0"/>
              <wp:wrapNone/>
              <wp:docPr id="19" name="Bkgd: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755" cy="868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642E" w:rsidRDefault="004E642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104300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Bkgd: 3" o:spid="_x0000_s1028" style="position:absolute;margin-left:0;margin-top:0;width:525.65pt;height:684pt;z-index:-251651072;visibility:visible;mso-wrap-style:square;mso-width-percent:1043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" stroked="f" strokeweight=".5pt">
              <v:stroke linestyle="thinThin"/>
              <v:textbox inset="2.53903mm,1.2695mm,2.53903mm,1.2695mm">
                <w:txbxContent>
                  <w:p w:rsidR="004E642E" w:rsidRDefault="004E642E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307318B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100000</wp14:pctPosVOffset>
                  </wp:positionV>
                </mc:Choice>
                <mc:Fallback>
                  <wp:positionV relativeFrom="page">
                    <wp:posOffset>9372600</wp:posOffset>
                  </wp:positionV>
                </mc:Fallback>
              </mc:AlternateContent>
              <wp:extent cx="6598920" cy="246380"/>
              <wp:effectExtent l="0" t="0" r="0" b="0"/>
              <wp:wrapSquare wrapText="bothSides"/>
              <wp:docPr id="22" name="Dat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892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E642E" w:rsidRDefault="00375C12">
                          <w:pPr>
                            <w:spacing w:after="0" w:line="240" w:lineRule="auto"/>
                            <w:jc w:val="center"/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alias w:val="Date"/>
                              <w:tag w:val="Date"/>
                              <w:id w:val="1308669882"/>
                              <w:placeholder>
                                <w:docPart w:val="33DCB7930905465990683850E0E34BFA"/>
                              </w:placeholder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A6A6A6" w:themeColor="background1" w:themeShade="A6"/>
                              </w:rPr>
                            </w:sdtEndPr>
                            <w:sdtContent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>[Pick the date]</w:t>
                              </w:r>
                            </w:sdtContent>
                          </w:sdt>
                          <w:r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t xml:space="preserve">  Page </w:t>
                          </w:r>
                          <w:r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172F">
                            <w:rPr>
                              <w:noProof/>
                              <w:color w:val="A6A6A6" w:themeColor="background1" w:themeShade="A6"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noProof/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103100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Date" o:spid="_x0000_s1029" style="position:absolute;margin-left:0;margin-top:0;width:519.6pt;height:19.4pt;z-index:251666432;visibility:visible;mso-wrap-style:square;mso-width-percent:1031;mso-height-percent:0;mso-top-percent:1000;mso-wrap-distance-left:9pt;mso-wrap-distance-top:0;mso-wrap-distance-right:9pt;mso-wrap-distance-bottom:0;mso-position-horizontal:center;mso-position-horizontal-relative:margin;mso-position-vertical-relative:margin;mso-width-percent:1031;mso-height-percent:0;mso-top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" filled="f" stroked="f" strokeweight="2pt">
              <v:textbox inset="0,0,0,0">
                <w:txbxContent>
                  <w:p w:rsidR="004E642E" w:rsidRDefault="00375C12">
                    <w:pPr>
                      <w:spacing w:after="0" w:line="240" w:lineRule="auto"/>
                      <w:jc w:val="center"/>
                      <w:rPr>
                        <w:color w:val="A6A6A6" w:themeColor="background1" w:themeShade="A6"/>
                        <w:sz w:val="18"/>
                        <w:szCs w:val="18"/>
                      </w:rPr>
                    </w:pPr>
                    <w:sdt>
                      <w:sdtPr>
                        <w:rPr>
                          <w:b/>
                          <w:bCs/>
                          <w:color w:val="A6A6A6" w:themeColor="background1" w:themeShade="A6"/>
                          <w:sz w:val="18"/>
                          <w:szCs w:val="18"/>
                        </w:rPr>
                        <w:alias w:val="Date"/>
                        <w:tag w:val="Date"/>
                        <w:id w:val="1308669882"/>
                        <w:placeholder>
                          <w:docPart w:val="33DCB7930905465990683850E0E34BFA"/>
                        </w:placeholder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>
                        <w:rPr>
                          <w:color w:val="A6A6A6" w:themeColor="background1" w:themeShade="A6"/>
                        </w:rPr>
                      </w:sdtEndPr>
                      <w:sdtContent>
                        <w:r>
                          <w:rPr>
                            <w:color w:val="A6A6A6" w:themeColor="background1" w:themeShade="A6"/>
                            <w:sz w:val="18"/>
                            <w:szCs w:val="18"/>
                          </w:rPr>
                          <w:t>[Pick the date]</w:t>
                        </w:r>
                      </w:sdtContent>
                    </w:sdt>
                    <w:r>
                      <w:rPr>
                        <w:color w:val="A6A6A6" w:themeColor="background1" w:themeShade="A6"/>
                        <w:sz w:val="18"/>
                        <w:szCs w:val="18"/>
                      </w:rPr>
                      <w:t xml:space="preserve">  Page </w:t>
                    </w:r>
                    <w:r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color w:val="A6A6A6" w:themeColor="background1" w:themeShade="A6"/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separate"/>
                    </w:r>
                    <w:r w:rsidR="0084172F">
                      <w:rPr>
                        <w:noProof/>
                        <w:color w:val="A6A6A6" w:themeColor="background1" w:themeShade="A6"/>
                        <w:sz w:val="18"/>
                        <w:szCs w:val="18"/>
                      </w:rPr>
                      <w:t>5</w:t>
                    </w:r>
                    <w:r>
                      <w:rPr>
                        <w:noProof/>
                        <w:color w:val="A6A6A6" w:themeColor="background1" w:themeShade="A6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C12" w:rsidRDefault="00375C12">
      <w:pPr>
        <w:spacing w:after="0" w:line="240" w:lineRule="auto"/>
      </w:pPr>
      <w:r>
        <w:separator/>
      </w:r>
    </w:p>
  </w:footnote>
  <w:footnote w:type="continuationSeparator" w:id="0">
    <w:p w:rsidR="00375C12" w:rsidRDefault="00375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42E" w:rsidRDefault="00375C12">
    <w:pPr>
      <w:pStyle w:val="Header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editId="79C4A43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7" name="Rounded 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w14:anchorId="40EB11B5" id="Rounded Rectangle 17" o:spid="_x0000_s1026" style="position:absolute;margin-left:0;margin-top:0;width:588.75pt;height:763.5pt;z-index:-251657216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" stroked="f" strokeweight="1pt">
              <v:fill r:id="rId1" o:title="" recolor="t" rotate="t" type="tile"/>
              <v:imagedata recolortarget="white [2257]"/>
              <v:textbox inset="0,0,0,0"/>
              <w10:wrap anchorx="page" anchory="page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editId="07DDE02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w14:anchorId="55C2E9EF" id="Rectangle 19" o:spid="_x0000_s1026" style="position:absolute;margin-left:0;margin-top:0;width:546.85pt;height:711.35pt;z-index:-251656192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" stroked="f" strokeweight="2pt">
              <v:fill opacity="54484f"/>
              <v:textbox inset="0,0,0,0"/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editId="65ED0BDC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727190" cy="8756015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27190" cy="87560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105100</wp14:pctWidth>
              </wp14:sizeRelH>
              <wp14:sizeRelV relativeFrom="margin">
                <wp14:pctHeight>100800</wp14:pctHeight>
              </wp14:sizeRelV>
            </wp:anchor>
          </w:drawing>
        </mc:Choice>
        <mc:Fallback>
          <w:pict>
            <v:rect w14:anchorId="486A3DDD" id="Rectangle 11" o:spid="_x0000_s1026" style="position:absolute;margin-left:0;margin-top:0;width:529.7pt;height:689.45pt;z-index:-251655168;visibility:visible;mso-wrap-style:square;mso-width-percent:1051;mso-height-percent:1008;mso-wrap-distance-left:9pt;mso-wrap-distance-top:0;mso-wrap-distance-right:9pt;mso-wrap-distance-bottom:0;mso-position-horizontal:center;mso-position-horizontal-relative:margin;mso-position-vertical:center;mso-position-vertical-relative:margin;mso-width-percent:1051;mso-height-percent:1008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" stroked="f" strokeweight=".5pt">
              <v:stroke linestyle="thinThin"/>
              <v:textbox inset="2.53903mm,1.2695mm,2.53903mm,1.2695mm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B63B7"/>
    <w:multiLevelType w:val="multilevel"/>
    <w:tmpl w:val="763A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35A59"/>
    <w:multiLevelType w:val="multilevel"/>
    <w:tmpl w:val="89B0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36FDE"/>
    <w:multiLevelType w:val="hybridMultilevel"/>
    <w:tmpl w:val="DEBE9A8E"/>
    <w:lvl w:ilvl="0" w:tplc="C74A08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A47D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48D6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D405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6690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90A6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304A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9446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426D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F777F"/>
    <w:multiLevelType w:val="hybridMultilevel"/>
    <w:tmpl w:val="14A8B9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435BEB"/>
    <w:multiLevelType w:val="hybridMultilevel"/>
    <w:tmpl w:val="0BECE2BA"/>
    <w:lvl w:ilvl="0" w:tplc="A13E39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4C7A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1E93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14C5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B836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F44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C27E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68FB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1087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F3CDC"/>
    <w:multiLevelType w:val="multilevel"/>
    <w:tmpl w:val="0388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81752F"/>
    <w:multiLevelType w:val="hybridMultilevel"/>
    <w:tmpl w:val="5CCA31F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427A33"/>
    <w:multiLevelType w:val="hybridMultilevel"/>
    <w:tmpl w:val="B636A45A"/>
    <w:lvl w:ilvl="0" w:tplc="B470CE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143A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9057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F677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BE77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08FF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44E3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FE3B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E37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671CC"/>
    <w:multiLevelType w:val="hybridMultilevel"/>
    <w:tmpl w:val="C870F434"/>
    <w:lvl w:ilvl="0" w:tplc="149878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AE6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7283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10C0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32D1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00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7A37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6FF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468A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63B56"/>
    <w:multiLevelType w:val="multilevel"/>
    <w:tmpl w:val="1C264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8"/>
  </w:num>
  <w:num w:numId="5">
    <w:abstractNumId w:val="3"/>
  </w:num>
  <w:num w:numId="6">
    <w:abstractNumId w:val="6"/>
  </w:num>
  <w:num w:numId="7">
    <w:abstractNumId w:val="0"/>
  </w:num>
  <w:num w:numId="8">
    <w:abstractNumId w:val="0"/>
    <w:lvlOverride w:ilvl="2">
      <w:lvl w:ilvl="2">
        <w:numFmt w:val="decimal"/>
        <w:lvlText w:val="%3."/>
        <w:lvlJc w:val="left"/>
      </w:lvl>
    </w:lvlOverride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  <w:num w:numId="12">
    <w:abstractNumId w:val="5"/>
    <w:lvlOverride w:ilvl="0">
      <w:lvl w:ilvl="0">
        <w:numFmt w:val="decimal"/>
        <w:lvlText w:val="%1."/>
        <w:lvlJc w:val="left"/>
      </w:lvl>
    </w:lvlOverride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1"/>
  </w:num>
  <w:num w:numId="15">
    <w:abstractNumId w:val="9"/>
  </w:num>
  <w:num w:numId="16">
    <w:abstractNumId w:val="9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B66"/>
    <w:rsid w:val="00375C12"/>
    <w:rsid w:val="004E642E"/>
    <w:rsid w:val="0084172F"/>
    <w:rsid w:val="00D8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DE6F3"/>
  <w15:docId w15:val="{4D87112B-CB12-4926-93F6-E0936446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32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120" w:line="240" w:lineRule="auto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28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sonalName">
    <w:name w:val="Personal Name"/>
    <w:basedOn w:val="Title"/>
    <w:qFormat/>
    <w:rPr>
      <w:b/>
      <w:color w:val="40382D" w:themeColor="text2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aps/>
      <w:color w:val="93A299" w:themeColor="accent1"/>
      <w:sz w:val="32"/>
      <w:szCs w:val="28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aps/>
      <w:color w:val="564B3C" w:themeColor="text2"/>
      <w:sz w:val="32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aps/>
      <w:color w:val="564B3C" w:themeColor="text2"/>
      <w:sz w:val="32"/>
      <w:szCs w:val="24"/>
      <w:lang w:bidi="hi-IN"/>
    </w:rPr>
  </w:style>
  <w:style w:type="character" w:styleId="Strong">
    <w:name w:val="Strong"/>
    <w:basedOn w:val="DefaultParagraphFont"/>
    <w:uiPriority w:val="22"/>
    <w:qFormat/>
    <w:rPr>
      <w:b/>
      <w:bCs/>
      <w14:numForm w14:val="oldStyle"/>
    </w:rPr>
  </w:style>
  <w:style w:type="character" w:styleId="Emphasis">
    <w:name w:val="Emphasis"/>
    <w:basedOn w:val="DefaultParagraphFont"/>
    <w:uiPriority w:val="20"/>
    <w:qFormat/>
    <w:rPr>
      <w:i/>
      <w:iCs/>
      <w:color w:val="564B3C" w:themeColor="text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0382D" w:themeColor="text2" w:themeShade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EastAsia" w:hAnsiTheme="majorHAnsi"/>
      <w:iCs/>
      <w:caps/>
      <w:color w:val="93A299" w:themeColor="accent1"/>
      <w:sz w:val="24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:lang w:bidi="hi-IN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:lang w:bidi="hi-IN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basedOn w:val="DefaultParagraphFont"/>
    <w:uiPriority w:val="21"/>
    <w:qFormat/>
    <w:rPr>
      <w:b/>
      <w:bCs/>
      <w:i/>
      <w:iCs/>
      <w:color w:val="93A299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F543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F543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CCC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sz w:val="21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sz w:val="21"/>
    </w:rPr>
  </w:style>
  <w:style w:type="character" w:styleId="PlaceholderText">
    <w:name w:val="Placeholder Text"/>
    <w:uiPriority w:val="99"/>
  </w:style>
  <w:style w:type="paragraph" w:customStyle="1" w:styleId="SenderAddress">
    <w:name w:val="Sender Address"/>
    <w:uiPriority w:val="2"/>
    <w:pPr>
      <w:spacing w:after="0" w:line="240" w:lineRule="auto"/>
    </w:pPr>
    <w:rPr>
      <w:color w:val="93A299" w:themeColor="accent1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losing">
    <w:name w:val="Closing"/>
    <w:basedOn w:val="Normal"/>
    <w:link w:val="ClosingChar"/>
    <w:uiPriority w:val="5"/>
    <w:unhideWhenUsed/>
    <w:pPr>
      <w:spacing w:before="480" w:after="960" w:line="276" w:lineRule="auto"/>
      <w:contextualSpacing/>
    </w:pPr>
    <w:rPr>
      <w:rFonts w:eastAsiaTheme="minorEastAsia"/>
      <w:sz w:val="22"/>
    </w:rPr>
  </w:style>
  <w:style w:type="character" w:customStyle="1" w:styleId="ClosingChar">
    <w:name w:val="Closing Char"/>
    <w:basedOn w:val="DefaultParagraphFont"/>
    <w:link w:val="Closing"/>
    <w:uiPriority w:val="5"/>
    <w:rPr>
      <w:rFonts w:eastAsiaTheme="minorEastAsia"/>
    </w:rPr>
  </w:style>
  <w:style w:type="paragraph" w:customStyle="1" w:styleId="RecipientAddress">
    <w:name w:val="Recipient Address"/>
    <w:basedOn w:val="NoSpacing"/>
    <w:uiPriority w:val="3"/>
    <w:pPr>
      <w:spacing w:after="360"/>
      <w:contextualSpacing/>
    </w:pPr>
    <w:rPr>
      <w:rFonts w:eastAsiaTheme="minorEastAsia"/>
    </w:rPr>
  </w:style>
  <w:style w:type="paragraph" w:styleId="Salutation">
    <w:name w:val="Salutation"/>
    <w:basedOn w:val="NoSpacing"/>
    <w:next w:val="Normal"/>
    <w:link w:val="SalutationChar"/>
    <w:uiPriority w:val="4"/>
    <w:unhideWhenUsed/>
    <w:pPr>
      <w:spacing w:before="480" w:after="320"/>
      <w:contextualSpacing/>
    </w:pPr>
    <w:rPr>
      <w:rFonts w:eastAsiaTheme="minorEastAsia"/>
      <w:b/>
    </w:rPr>
  </w:style>
  <w:style w:type="character" w:customStyle="1" w:styleId="SalutationChar">
    <w:name w:val="Salutation Char"/>
    <w:basedOn w:val="DefaultParagraphFont"/>
    <w:link w:val="Salutation"/>
    <w:uiPriority w:val="4"/>
    <w:rPr>
      <w:rFonts w:eastAsiaTheme="minorEastAsia"/>
      <w:b/>
    </w:rPr>
  </w:style>
  <w:style w:type="paragraph" w:styleId="Signature">
    <w:name w:val="Signature"/>
    <w:basedOn w:val="Normal"/>
    <w:link w:val="SignatureChar"/>
    <w:uiPriority w:val="99"/>
    <w:unhideWhenUsed/>
    <w:pPr>
      <w:spacing w:after="200" w:line="276" w:lineRule="auto"/>
      <w:contextualSpacing/>
    </w:pPr>
    <w:rPr>
      <w:rFonts w:eastAsiaTheme="minorEastAsia"/>
      <w:sz w:val="22"/>
    </w:rPr>
  </w:style>
  <w:style w:type="character" w:customStyle="1" w:styleId="SignatureChar">
    <w:name w:val="Signature Char"/>
    <w:basedOn w:val="DefaultParagraphFont"/>
    <w:link w:val="Signature"/>
    <w:uiPriority w:val="9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1222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7111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091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518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544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900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4007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1657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8178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835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80929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7009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2468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90626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Apothecary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3DCB7930905465990683850E0E34B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B483C-0AFC-4A10-95A2-AEBBEDC735FD}"/>
      </w:docPartPr>
      <w:docPartBody>
        <w:p w:rsidR="00000000" w:rsidRDefault="00FB0792">
          <w:pPr>
            <w:pStyle w:val="33DCB7930905465990683850E0E34BFA"/>
          </w:pPr>
          <w:r>
            <w:rPr>
              <w:color w:val="A6A6A6" w:themeColor="background1" w:themeShade="A6"/>
              <w:sz w:val="18"/>
              <w:szCs w:val="18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GSMinchoB">
    <w:charset w:val="80"/>
    <w:family w:val="roman"/>
    <w:pitch w:val="variable"/>
    <w:sig w:usb0="80000281" w:usb1="28C76CF8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792"/>
    <w:rsid w:val="00FB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412539B4F24316927FD07536880A14">
    <w:name w:val="AC412539B4F24316927FD07536880A14"/>
  </w:style>
  <w:style w:type="paragraph" w:customStyle="1" w:styleId="7C41A1649C1F40B6B12D3EC855F1A20D">
    <w:name w:val="7C41A1649C1F40B6B12D3EC855F1A20D"/>
  </w:style>
  <w:style w:type="paragraph" w:customStyle="1" w:styleId="749DED0CE73D4E1B96BCD82499494329">
    <w:name w:val="749DED0CE73D4E1B96BCD82499494329"/>
  </w:style>
  <w:style w:type="paragraph" w:customStyle="1" w:styleId="08453B9F558C47209A9E72806D6AA693">
    <w:name w:val="08453B9F558C47209A9E72806D6AA693"/>
  </w:style>
  <w:style w:type="paragraph" w:customStyle="1" w:styleId="C29F60FE8FC9455281275B0DADA649E9">
    <w:name w:val="C29F60FE8FC9455281275B0DADA649E9"/>
  </w:style>
  <w:style w:type="paragraph" w:customStyle="1" w:styleId="C7145B27ECF54A438FA3C723ED0C6E8C">
    <w:name w:val="C7145B27ECF54A438FA3C723ED0C6E8C"/>
  </w:style>
  <w:style w:type="paragraph" w:customStyle="1" w:styleId="F1FAB84BCB23419D8097C960097F34F1">
    <w:name w:val="F1FAB84BCB23419D8097C960097F34F1"/>
  </w:style>
  <w:style w:type="paragraph" w:customStyle="1" w:styleId="8A65BB984D5E46B9A06BB75DA82B7D98">
    <w:name w:val="8A65BB984D5E46B9A06BB75DA82B7D98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E01576F31D2E4469A4EB0239EFA60FED">
    <w:name w:val="E01576F31D2E4469A4EB0239EFA60FED"/>
  </w:style>
  <w:style w:type="paragraph" w:customStyle="1" w:styleId="57AA8B2A0F694A81B481D17F51352A7E">
    <w:name w:val="57AA8B2A0F694A81B481D17F51352A7E"/>
  </w:style>
  <w:style w:type="paragraph" w:customStyle="1" w:styleId="2F7918BDBF9E409CB0CB17FC8AA4F781">
    <w:name w:val="2F7918BDBF9E409CB0CB17FC8AA4F781"/>
  </w:style>
  <w:style w:type="paragraph" w:customStyle="1" w:styleId="BA21CB61744F4664AC163077A0A2BED2">
    <w:name w:val="BA21CB61744F4664AC163077A0A2BED2"/>
  </w:style>
  <w:style w:type="paragraph" w:customStyle="1" w:styleId="33DCB7930905465990683850E0E34BFA">
    <w:name w:val="33DCB7930905465990683850E0E34B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826395-68B2-4E0F-A65A-4BB6A19B8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ApothecaryLetter</Template>
  <TotalTime>51</TotalTime>
  <Pages>5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Ashutosh</dc:creator>
  <cp:lastModifiedBy>Ashutosh</cp:lastModifiedBy>
  <cp:revision>1</cp:revision>
  <dcterms:created xsi:type="dcterms:W3CDTF">2020-12-29T07:13:00Z</dcterms:created>
  <dcterms:modified xsi:type="dcterms:W3CDTF">2020-12-29T08:04:00Z</dcterms:modified>
</cp:coreProperties>
</file>