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DC47" w14:textId="626F3980" w:rsidR="001C1D2B" w:rsidRDefault="000951D4" w:rsidP="001C1D2B">
      <w:p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Microservices When to Use:</w:t>
      </w:r>
    </w:p>
    <w:p w14:paraId="5FFDCF18" w14:textId="52D92FD9" w:rsidR="000951D4" w:rsidRDefault="000951D4" w:rsidP="000951D4">
      <w:pPr>
        <w:pStyle w:val="ListParagraph"/>
        <w:numPr>
          <w:ilvl w:val="0"/>
          <w:numId w:val="20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Scalability</w:t>
      </w:r>
    </w:p>
    <w:p w14:paraId="710D7EA2" w14:textId="26A6BB50" w:rsidR="000951D4" w:rsidRDefault="000951D4" w:rsidP="000951D4">
      <w:pPr>
        <w:pStyle w:val="ListParagraph"/>
        <w:numPr>
          <w:ilvl w:val="0"/>
          <w:numId w:val="20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 xml:space="preserve">When </w:t>
      </w:r>
      <w:r w:rsidR="00F74E14">
        <w:rPr>
          <w:rFonts w:eastAsiaTheme="majorEastAsia" w:cstheme="majorBidi"/>
          <w:bCs/>
          <w:color w:val="000000" w:themeColor="text1"/>
          <w:szCs w:val="24"/>
        </w:rPr>
        <w:t>the business boundaries are clear.</w:t>
      </w:r>
    </w:p>
    <w:p w14:paraId="656CBDBB" w14:textId="584CD5EB" w:rsidR="00F74E14" w:rsidRDefault="00F74E14" w:rsidP="000951D4">
      <w:pPr>
        <w:pStyle w:val="ListParagraph"/>
        <w:numPr>
          <w:ilvl w:val="0"/>
          <w:numId w:val="20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High speed delivery</w:t>
      </w:r>
    </w:p>
    <w:p w14:paraId="16B778F5" w14:textId="244E24BF" w:rsidR="00943A07" w:rsidRDefault="00943A07" w:rsidP="00943A07">
      <w:p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Principles:</w:t>
      </w:r>
    </w:p>
    <w:p w14:paraId="2E005CC0" w14:textId="165D66DB" w:rsidR="00943A07" w:rsidRPr="00943A07" w:rsidRDefault="00943A07" w:rsidP="00943A07">
      <w:pPr>
        <w:pStyle w:val="ListParagraph"/>
        <w:numPr>
          <w:ilvl w:val="0"/>
          <w:numId w:val="21"/>
        </w:numPr>
        <w:spacing w:after="0" w:line="240" w:lineRule="auto"/>
        <w:rPr>
          <w:rFonts w:eastAsiaTheme="majorEastAsia" w:cstheme="majorBidi"/>
          <w:bCs/>
          <w:color w:val="000000" w:themeColor="text1"/>
          <w:szCs w:val="24"/>
        </w:rPr>
      </w:pPr>
      <w:r w:rsidRPr="00943A07">
        <w:rPr>
          <w:rFonts w:eastAsiaTheme="majorEastAsia" w:cstheme="majorBidi"/>
          <w:bCs/>
          <w:color w:val="000000" w:themeColor="text1"/>
          <w:szCs w:val="24"/>
        </w:rPr>
        <w:t>High Cohesion Low Coupling</w:t>
      </w:r>
      <w:r w:rsidRPr="00943A07">
        <w:rPr>
          <w:rFonts w:eastAsiaTheme="majorEastAsia" w:cstheme="majorBidi"/>
          <w:bCs/>
          <w:color w:val="000000" w:themeColor="text1"/>
          <w:szCs w:val="24"/>
        </w:rPr>
        <w:br/>
      </w:r>
      <w:r w:rsidRPr="00943A07">
        <w:rPr>
          <w:rFonts w:eastAsiaTheme="majorEastAsia" w:cstheme="majorBidi"/>
          <w:bCs/>
          <w:color w:val="000000" w:themeColor="text1"/>
          <w:szCs w:val="24"/>
        </w:rPr>
        <w:t>high cohesion means keeping parts of a code base that are related to each other in a single place. Low coupling, at the same time, is about separating unrelated parts of the code base as much as possible.</w:t>
      </w:r>
    </w:p>
    <w:p w14:paraId="64E488CE" w14:textId="365C0BE0" w:rsidR="00943A07" w:rsidRDefault="00943A07" w:rsidP="00943A07">
      <w:pPr>
        <w:pStyle w:val="ListParagraph"/>
        <w:numPr>
          <w:ilvl w:val="0"/>
          <w:numId w:val="21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 xml:space="preserve">Single Responsibility Principle and </w:t>
      </w:r>
      <w:r w:rsidR="007256D9">
        <w:rPr>
          <w:rFonts w:eastAsiaTheme="majorEastAsia" w:cstheme="majorBidi"/>
          <w:bCs/>
          <w:color w:val="000000" w:themeColor="text1"/>
          <w:szCs w:val="24"/>
        </w:rPr>
        <w:t xml:space="preserve">Business </w:t>
      </w:r>
      <w:r>
        <w:rPr>
          <w:rFonts w:eastAsiaTheme="majorEastAsia" w:cstheme="majorBidi"/>
          <w:bCs/>
          <w:color w:val="000000" w:themeColor="text1"/>
          <w:szCs w:val="24"/>
        </w:rPr>
        <w:t>Boundary to be defined properly</w:t>
      </w:r>
    </w:p>
    <w:p w14:paraId="2EE8DC68" w14:textId="4951F6C5" w:rsidR="00943A07" w:rsidRDefault="007256D9" w:rsidP="00943A07">
      <w:pPr>
        <w:pStyle w:val="ListParagraph"/>
        <w:numPr>
          <w:ilvl w:val="0"/>
          <w:numId w:val="21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Failure tolerance, One microservice failure should not bring down the other applications.</w:t>
      </w:r>
    </w:p>
    <w:p w14:paraId="6874B90F" w14:textId="1FCEFA16" w:rsidR="007256D9" w:rsidRDefault="00DB2349" w:rsidP="00943A07">
      <w:pPr>
        <w:pStyle w:val="ListParagraph"/>
        <w:numPr>
          <w:ilvl w:val="0"/>
          <w:numId w:val="21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CI/CD automation</w:t>
      </w:r>
    </w:p>
    <w:p w14:paraId="625CE4F3" w14:textId="539DD739" w:rsidR="00DB2349" w:rsidRDefault="00DB2349" w:rsidP="00943A07">
      <w:pPr>
        <w:pStyle w:val="ListParagraph"/>
        <w:numPr>
          <w:ilvl w:val="0"/>
          <w:numId w:val="21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Decentrailsed data as each service has its own data</w:t>
      </w:r>
      <w:r w:rsidR="006D6CCB">
        <w:rPr>
          <w:rFonts w:eastAsiaTheme="majorEastAsia" w:cstheme="majorBidi"/>
          <w:bCs/>
          <w:color w:val="000000" w:themeColor="text1"/>
          <w:szCs w:val="24"/>
        </w:rPr>
        <w:t xml:space="preserve"> to have autonomous property.</w:t>
      </w:r>
    </w:p>
    <w:p w14:paraId="695683AA" w14:textId="050F4EDE" w:rsidR="006D6CCB" w:rsidRPr="006D6CCB" w:rsidRDefault="006D6CCB" w:rsidP="006D6CCB">
      <w:pPr>
        <w:rPr>
          <w:rFonts w:eastAsiaTheme="majorEastAsia" w:cstheme="majorBidi"/>
          <w:bCs/>
          <w:color w:val="000000" w:themeColor="text1"/>
          <w:szCs w:val="24"/>
        </w:rPr>
      </w:pPr>
      <w:r w:rsidRPr="006D6CCB">
        <w:rPr>
          <w:rFonts w:eastAsiaTheme="majorEastAsia" w:cstheme="majorBidi"/>
          <w:bCs/>
          <w:color w:val="000000" w:themeColor="text1"/>
          <w:szCs w:val="24"/>
        </w:rPr>
        <w:t>https://www.techtarget.com/searchapparchitecture/tip/Follow-these-10-fundamental-microservices-design-principles</w:t>
      </w:r>
    </w:p>
    <w:p w14:paraId="648FB1A0" w14:textId="4295A00C" w:rsidR="001C1D2B" w:rsidRDefault="007D59F8" w:rsidP="001C1D2B">
      <w:p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 xml:space="preserve">Difference between virtualisation and containerisation is that, Virtualisation creates a guest OS on top of the existing OS and then spins up a VM as a total machine. Containerisation spins up containers on the existing OS, and the containers use the existing OS resources. </w:t>
      </w:r>
    </w:p>
    <w:p w14:paraId="441271D5" w14:textId="25D03724" w:rsidR="00536155" w:rsidRDefault="00536155" w:rsidP="001C1D2B">
      <w:p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IDEALS:</w:t>
      </w:r>
    </w:p>
    <w:p w14:paraId="08FEAE6C" w14:textId="7615F986" w:rsidR="001C1D2B" w:rsidRDefault="00536155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536155">
        <w:rPr>
          <w:rFonts w:eastAsiaTheme="majorEastAsia" w:cstheme="majorBidi"/>
          <w:bCs/>
          <w:color w:val="000000" w:themeColor="text1"/>
          <w:szCs w:val="24"/>
        </w:rPr>
        <w:t>https://www.infoq.com/articles/microservices-design-ideals/</w:t>
      </w:r>
    </w:p>
    <w:p w14:paraId="26119860" w14:textId="779E2502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UML terminology</w:t>
      </w:r>
    </w:p>
    <w:p w14:paraId="0C0F61E9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grpc</w:t>
      </w:r>
    </w:p>
    <w:p w14:paraId="452BE29D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top down == function driven</w:t>
      </w:r>
    </w:p>
    <w:p w14:paraId="3FA17900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30ABD84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how to identify microservices:</w:t>
      </w:r>
    </w:p>
    <w:p w14:paraId="4B950F7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event drivem</w:t>
      </w:r>
    </w:p>
    <w:p w14:paraId="307FCCE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strict bounded context</w:t>
      </w:r>
    </w:p>
    <w:p w14:paraId="31E4B759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each service owns its own data</w:t>
      </w:r>
    </w:p>
    <w:p w14:paraId="2E5AADB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67C74442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SOA - Does not consider opex, Operations, Not for cloud</w:t>
      </w:r>
    </w:p>
    <w:p w14:paraId="62927EB4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lastRenderedPageBreak/>
        <w:t>microservices came into picture for cloud</w:t>
      </w:r>
    </w:p>
    <w:p w14:paraId="29139A5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70155C2A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SOA - coarse grained services which communicate via Enterprise Service Bus.</w:t>
      </w:r>
    </w:p>
    <w:p w14:paraId="7E7D9F8E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Microservices communicate via language agnostic protocols via network. </w:t>
      </w:r>
    </w:p>
    <w:p w14:paraId="345F04CC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###############################################################################</w:t>
      </w:r>
    </w:p>
    <w:p w14:paraId="3C47C37A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Inversion of Control</w:t>
      </w:r>
    </w:p>
    <w:p w14:paraId="2822F01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Separate what-to-do part from when-to-do part.</w:t>
      </w:r>
    </w:p>
    <w:p w14:paraId="5F619B37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Ensure that when part knows as little as possible about what part; and vice versa.</w:t>
      </w:r>
    </w:p>
    <w:p w14:paraId="3E8C664C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There are several techniques possible for each of these steps based on the technology/language you are using for your implementation.</w:t>
      </w:r>
    </w:p>
    <w:p w14:paraId="2B3D38DE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66BB6C85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The inversion part of the Inversion of Control (IoC) is the confusing thing; because inversion is the relative term. The best way to understand IoC is to forget about that word!</w:t>
      </w:r>
    </w:p>
    <w:p w14:paraId="3F3F1C4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732CDA8F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--</w:t>
      </w:r>
    </w:p>
    <w:p w14:paraId="1AC98914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409C71BF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Examples</w:t>
      </w:r>
    </w:p>
    <w:p w14:paraId="4CC4900A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2BD6BFCD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Event Handling. Event Handlers (what-to-do part) -- Raising Events (when-to-do part)</w:t>
      </w:r>
    </w:p>
    <w:p w14:paraId="6888F216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Dependency Injection. Code that constructs a dependency (what-to-do part) -- instantiating and injecting that dependency for the clients when needed, which is usually taken care of by the DI tools such as Dagger (when-to-do-part).</w:t>
      </w:r>
    </w:p>
    <w:p w14:paraId="68BC354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Interfaces. Component client (when-to-do part) -- Component Interface implementation (what-to-do part)</w:t>
      </w:r>
    </w:p>
    <w:p w14:paraId="17556F64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xUnit fixture. Setup and TearDown (what-to-do part) -- xUnit frameworks calls to Setup at the beginning and TearDown at the end (when-to-do part)</w:t>
      </w:r>
    </w:p>
    <w:p w14:paraId="439F0D72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47D39825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1B80931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###############################################################################</w:t>
      </w:r>
    </w:p>
    <w:p w14:paraId="2E97B66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Points to be followed:</w:t>
      </w:r>
    </w:p>
    <w:p w14:paraId="0D3DF147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1. Every fuction should have single responsibility</w:t>
      </w:r>
    </w:p>
    <w:p w14:paraId="1C5DF26F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5B2A444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SOA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vs Microservice</w:t>
      </w:r>
    </w:p>
    <w:p w14:paraId="7F8AE562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Granularity: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Course grained services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Fine-grained services</w:t>
      </w:r>
    </w:p>
    <w:p w14:paraId="0E8ECF46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Ease of Deployment: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Requires recreating and redeploying entire application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Each service can be built and deployed independently</w:t>
      </w:r>
    </w:p>
    <w:p w14:paraId="17B26ED9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Remote Call Overhead: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Low communication overhead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High communication overhead due to an increase in remote calls</w:t>
      </w:r>
    </w:p>
    <w:p w14:paraId="33533A13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Speed of Deployment: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Slow deployment speeds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Rapid, continuous, and automated deployment</w:t>
      </w:r>
    </w:p>
    <w:p w14:paraId="1AE7AA12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Persistence: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All services in SOA share data storage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Each service is free to choose its own data storage</w:t>
      </w:r>
    </w:p>
    <w:p w14:paraId="44742CBC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Ease of On-Boarding: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Semi-difficult to onboard new developers as the scope of the entire application may need to be understood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Easy to onboard new developers, as there is no need to understand the scope of the entire application</w:t>
      </w:r>
    </w:p>
    <w:p w14:paraId="37E50AFA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Communication Method: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Communicates through an enterprise service bus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Communicates via API layer with lightweight protocols like REST</w:t>
      </w:r>
    </w:p>
    <w:p w14:paraId="6EF515F0" w14:textId="68E2FB20" w:rsidR="00EA407F" w:rsidRPr="001C1D2B" w:rsidRDefault="001C1D2B" w:rsidP="001C1D2B">
      <w:pPr>
        <w:rPr>
          <w:bCs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Scalability: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Can be challenging to scale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Extremely scalable through the use of containers</w:t>
      </w:r>
    </w:p>
    <w:sectPr w:rsidR="00EA407F" w:rsidRPr="001C1D2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82B"/>
    <w:multiLevelType w:val="multilevel"/>
    <w:tmpl w:val="B6E61C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78206C"/>
    <w:multiLevelType w:val="multilevel"/>
    <w:tmpl w:val="035C4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7B3"/>
    <w:multiLevelType w:val="multilevel"/>
    <w:tmpl w:val="BF92B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81435"/>
    <w:multiLevelType w:val="multilevel"/>
    <w:tmpl w:val="B978B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643E1"/>
    <w:multiLevelType w:val="multilevel"/>
    <w:tmpl w:val="85C2CD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53888"/>
    <w:multiLevelType w:val="multilevel"/>
    <w:tmpl w:val="DD70D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F1"/>
    <w:multiLevelType w:val="multilevel"/>
    <w:tmpl w:val="AB521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308"/>
    <w:multiLevelType w:val="multilevel"/>
    <w:tmpl w:val="D0886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1B82"/>
    <w:multiLevelType w:val="multilevel"/>
    <w:tmpl w:val="03AC5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043C"/>
    <w:multiLevelType w:val="multilevel"/>
    <w:tmpl w:val="33F6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9705998"/>
    <w:multiLevelType w:val="hybridMultilevel"/>
    <w:tmpl w:val="9ADEE446"/>
    <w:lvl w:ilvl="0" w:tplc="C9126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F0536"/>
    <w:multiLevelType w:val="multilevel"/>
    <w:tmpl w:val="1428A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C3D51"/>
    <w:multiLevelType w:val="multilevel"/>
    <w:tmpl w:val="23BAE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B4856"/>
    <w:multiLevelType w:val="multilevel"/>
    <w:tmpl w:val="BA5E5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51CE2"/>
    <w:multiLevelType w:val="multilevel"/>
    <w:tmpl w:val="A1165D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1428E9"/>
    <w:multiLevelType w:val="multilevel"/>
    <w:tmpl w:val="60B8C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A3142"/>
    <w:multiLevelType w:val="multilevel"/>
    <w:tmpl w:val="CBAE4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1395788"/>
    <w:multiLevelType w:val="hybridMultilevel"/>
    <w:tmpl w:val="99EA3538"/>
    <w:lvl w:ilvl="0" w:tplc="C7C2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D22C6"/>
    <w:multiLevelType w:val="multilevel"/>
    <w:tmpl w:val="78DE3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3122E"/>
    <w:multiLevelType w:val="multilevel"/>
    <w:tmpl w:val="2CCC1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15F91"/>
    <w:multiLevelType w:val="multilevel"/>
    <w:tmpl w:val="2C76F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06214">
    <w:abstractNumId w:val="0"/>
  </w:num>
  <w:num w:numId="2" w16cid:durableId="1331175956">
    <w:abstractNumId w:val="14"/>
  </w:num>
  <w:num w:numId="3" w16cid:durableId="1257636249">
    <w:abstractNumId w:val="11"/>
  </w:num>
  <w:num w:numId="4" w16cid:durableId="408314001">
    <w:abstractNumId w:val="4"/>
  </w:num>
  <w:num w:numId="5" w16cid:durableId="1703941240">
    <w:abstractNumId w:val="15"/>
  </w:num>
  <w:num w:numId="6" w16cid:durableId="1334989190">
    <w:abstractNumId w:val="19"/>
  </w:num>
  <w:num w:numId="7" w16cid:durableId="1255898510">
    <w:abstractNumId w:val="6"/>
  </w:num>
  <w:num w:numId="8" w16cid:durableId="1460102366">
    <w:abstractNumId w:val="1"/>
  </w:num>
  <w:num w:numId="9" w16cid:durableId="671953958">
    <w:abstractNumId w:val="13"/>
  </w:num>
  <w:num w:numId="10" w16cid:durableId="1593662892">
    <w:abstractNumId w:val="12"/>
  </w:num>
  <w:num w:numId="11" w16cid:durableId="1057044931">
    <w:abstractNumId w:val="20"/>
  </w:num>
  <w:num w:numId="12" w16cid:durableId="1435515847">
    <w:abstractNumId w:val="18"/>
  </w:num>
  <w:num w:numId="13" w16cid:durableId="1157965518">
    <w:abstractNumId w:val="3"/>
  </w:num>
  <w:num w:numId="14" w16cid:durableId="2118132978">
    <w:abstractNumId w:val="2"/>
  </w:num>
  <w:num w:numId="15" w16cid:durableId="228931258">
    <w:abstractNumId w:val="7"/>
  </w:num>
  <w:num w:numId="16" w16cid:durableId="1478036726">
    <w:abstractNumId w:val="8"/>
  </w:num>
  <w:num w:numId="17" w16cid:durableId="589892491">
    <w:abstractNumId w:val="5"/>
  </w:num>
  <w:num w:numId="18" w16cid:durableId="131211839">
    <w:abstractNumId w:val="9"/>
  </w:num>
  <w:num w:numId="19" w16cid:durableId="1804425994">
    <w:abstractNumId w:val="16"/>
  </w:num>
  <w:num w:numId="20" w16cid:durableId="1447506218">
    <w:abstractNumId w:val="10"/>
  </w:num>
  <w:num w:numId="21" w16cid:durableId="12472303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7F"/>
    <w:rsid w:val="000951D4"/>
    <w:rsid w:val="001C1D2B"/>
    <w:rsid w:val="00536155"/>
    <w:rsid w:val="006D6CCB"/>
    <w:rsid w:val="007256D9"/>
    <w:rsid w:val="007D59F8"/>
    <w:rsid w:val="00943A07"/>
    <w:rsid w:val="00A41A09"/>
    <w:rsid w:val="00DB2349"/>
    <w:rsid w:val="00EA407F"/>
    <w:rsid w:val="00F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CA17D"/>
  <w15:docId w15:val="{FE99B055-1A88-9449-BA70-D0509A41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8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B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688B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E2334"/>
  </w:style>
  <w:style w:type="character" w:customStyle="1" w:styleId="FooterChar">
    <w:name w:val="Footer Char"/>
    <w:basedOn w:val="DefaultParagraphFont"/>
    <w:link w:val="Footer"/>
    <w:uiPriority w:val="99"/>
    <w:qFormat/>
    <w:rsid w:val="00AE2334"/>
  </w:style>
  <w:style w:type="character" w:customStyle="1" w:styleId="Heading2Char">
    <w:name w:val="Heading 2 Char"/>
    <w:basedOn w:val="DefaultParagraphFont"/>
    <w:link w:val="Heading2"/>
    <w:uiPriority w:val="9"/>
    <w:qFormat/>
    <w:rsid w:val="00D950B4"/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571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6399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5240C"/>
    <w:pPr>
      <w:ind w:left="720"/>
      <w:contextualSpacing/>
    </w:pPr>
  </w:style>
  <w:style w:type="paragraph" w:customStyle="1" w:styleId="Default">
    <w:name w:val="Default"/>
    <w:qFormat/>
    <w:rsid w:val="00C549D7"/>
    <w:rPr>
      <w:rFonts w:eastAsia="Calibri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31244F"/>
    <w:rPr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19322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APOORVA, Laiti (Laiti)** CTR **</dc:creator>
  <dc:description/>
  <cp:lastModifiedBy>Laiti Apoorva</cp:lastModifiedBy>
  <cp:revision>91</cp:revision>
  <dcterms:created xsi:type="dcterms:W3CDTF">2016-11-29T17:15:00Z</dcterms:created>
  <dcterms:modified xsi:type="dcterms:W3CDTF">2022-05-30T18:22:00Z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HCL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