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Employee Leave Policy</w:t>
      </w:r>
    </w:p>
    <w:p>
      <w:pPr>
        <w:pStyle w:val="Heading2"/>
      </w:pPr>
      <w:r>
        <w:t>Annual leave</w:t>
      </w:r>
    </w:p>
    <w:p>
      <w:r>
        <w:t>Full-time employees are entitled to 24 days of paid annual leave per calendar year plus public holidays. Requests go to the line manager at least two weeks in advance through the HR portal.</w:t>
      </w:r>
    </w:p>
    <w:p>
      <w:pPr>
        <w:pStyle w:val="Heading2"/>
      </w:pPr>
      <w:r>
        <w:t>Sick leave</w:t>
      </w:r>
    </w:p>
    <w:p>
      <w:r>
        <w:t>Sick leave beyond three consecutive days requires a medical certificate.</w:t>
      </w:r>
    </w:p>
    <w:p>
      <w:pPr>
        <w:pStyle w:val="Heading2"/>
      </w:pPr>
      <w:r>
        <w:t>Carry-over</w:t>
      </w:r>
    </w:p>
    <w:p>
      <w:r>
        <w:t>Up to five unused days may be carried into the next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