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Arial" w:hAnsi="Arial" w:cs="Arial"/>
          <w:b/>
          <w:bCs/>
          <w:sz w:val="32"/>
          <w:szCs w:val="32"/>
        </w:rPr>
        <w:t>Predictive Model Plan</w:t>
      </w:r>
    </w:p>
    <w:p>
      <w:pPr>
        <w:spacing w:after="200"/>
      </w:pPr>
      <w:r>
        <w:rPr>
          <w:rFonts w:ascii="Arial" w:hAnsi="Arial" w:cs="Arial"/>
          <w:i/>
          <w:iCs/>
          <w:color w:val="000000"/>
        </w:rPr>
        <w:t xml:space="preserve">Geldium Credit Card Delinquency Prediction  |  Prepared by: Apoorv Bajpai, AI Transformation Consultant, Tata iQ  |  For: Charithra, Senior Manager</w:t>
      </w:r>
    </w:p>
    <w:p>
      <w:pPr>
        <w:pStyle w:val="Heading1"/>
      </w:pPr>
      <w:r>
        <w:rPr>
          <w:rFonts w:ascii="Arial" w:hAnsi="Arial" w:cs="Arial"/>
          <w:color w:val="000000"/>
        </w:rPr>
        <w:t>1. Model Logic (Generated with GenAI)</w:t>
      </w:r>
    </w:p>
    <w:p>
      <w:pPr>
        <w:spacing w:after="120"/>
      </w:pPr>
      <w:r>
        <w:rPr>
          <w:rFonts w:ascii="Arial" w:hAnsi="Arial" w:cs="Arial"/>
          <w:i w:val="0"/>
          <w:iCs w:val="0"/>
          <w:color w:val="000000"/>
        </w:rPr>
        <w:t xml:space="preserve">GenAI (Claude) was used to scaffold the model concept, and the output was refined using the findings from Task 1 EDA. This is a conceptual plan; no production model is proposed.</w:t>
      </w:r>
    </w:p>
    <w:p>
      <w:pPr>
        <w:keepNext/>
        <w:spacing w:after="80"/>
      </w:pPr>
      <w:r>
        <w:rPr>
          <w:rFonts w:ascii="Arial" w:hAnsi="Arial" w:cs="Arial"/>
          <w:b/>
          <w:bCs/>
          <w:i w:val="0"/>
          <w:iCs w:val="0"/>
          <w:color w:val="000000"/>
        </w:rPr>
        <w:t xml:space="preserve">What the model is designed to do</w:t>
      </w:r>
    </w:p>
    <w:p>
      <w:pPr>
        <w:spacing w:after="120"/>
      </w:pPr>
      <w:r>
        <w:rPr>
          <w:rFonts w:ascii="Arial" w:hAnsi="Arial" w:cs="Arial"/>
          <w:i w:val="0"/>
          <w:iCs w:val="0"/>
          <w:color w:val="000000"/>
        </w:rPr>
        <w:t xml:space="preserve">The model estimates, for each customer, the probability of becoming delinquent (30+ days late on a payment). Collections can rank customers by this probability and reach out to the highest-risk customers first, with an intervention suited to their risk tier.</w:t>
      </w:r>
    </w:p>
    <w:p>
      <w:pPr>
        <w:keepNext/>
        <w:spacing w:after="80"/>
      </w:pPr>
      <w:r>
        <w:rPr>
          <w:rFonts w:ascii="Arial" w:hAnsi="Arial" w:cs="Arial"/>
          <w:b/>
          <w:bCs/>
          <w:i w:val="0"/>
          <w:iCs w:val="0"/>
          <w:color w:val="000000"/>
        </w:rPr>
        <w:t xml:space="preserve">Chosen model</w:t>
      </w:r>
    </w:p>
    <w:p>
      <w:pPr>
        <w:spacing w:after="120"/>
      </w:pPr>
      <w:r>
        <w:rPr>
          <w:rFonts w:ascii="Arial" w:hAnsi="Arial" w:cs="Arial"/>
          <w:i w:val="0"/>
          <w:iCs w:val="0"/>
          <w:color w:val="000000"/>
        </w:rPr>
        <w:t xml:space="preserve">Logistic regression. Customer data is ingested, cleaned, encoded and scaled, then the model outputs a risk probability between 0 and 1. Class weights are used because only 16% of customers (80 of 500) are delinquent.</w:t>
      </w:r>
    </w:p>
    <w:p>
      <w:pPr>
        <w:keepNext/>
        <w:spacing w:after="80"/>
      </w:pPr>
      <w:r>
        <w:rPr>
          <w:rFonts w:ascii="Arial" w:hAnsi="Arial" w:cs="Arial"/>
          <w:b/>
          <w:bCs/>
          <w:i w:val="0"/>
          <w:iCs w:val="0"/>
          <w:color w:val="000000"/>
        </w:rPr>
        <w:t xml:space="preserve">Top 5 input features</w:t>
      </w:r>
    </w:p>
    <w:tbl>
      <w:tblPr>
        <w:tblW w:w="864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0" w:type="dxa"/>
          <w:left w:w="90" w:type="dxa"/>
          <w:bottom w:w="50" w:type="dxa"/>
          <w:right w:w="90" w:type="dxa"/>
        </w:tblCellMar>
      </w:tblPr>
      <w:tblGrid>
        <w:gridCol w:w="500"/>
        <w:gridCol w:w="3000"/>
        <w:gridCol w:w="5140"/>
      </w:tblGrid>
      <w:tr>
        <w:trPr>
          <w:tblHeader/>
        </w:trPr>
        <w:tc>
          <w:tcPr>
            <w:tcW w:w="500" w:type="dxa"/>
            <w:shd w:val="clear" w:color="auto" w:fill="D9E2F3"/>
          </w:tcPr>
          <w:p>
            <w:pPr>
              <w:spacing w:after="0"/>
            </w:pPr>
            <w:r>
              <w:rPr>
                <w:rFonts w:ascii="Arial" w:hAnsi="Arial" w:cs="Arial"/>
                <w:b/>
                <w:bCs/>
                <w:i w:val="0"/>
                <w:iCs w:val="0"/>
                <w:color w:val="000000"/>
                <w:sz w:val="18"/>
                <w:szCs w:val="18"/>
              </w:rPr>
              <w:t xml:space="preserve">#</w:t>
            </w:r>
          </w:p>
        </w:tc>
        <w:tc>
          <w:tcPr>
            <w:tcW w:w="3000" w:type="dxa"/>
            <w:shd w:val="clear" w:color="auto" w:fill="D9E2F3"/>
          </w:tcPr>
          <w:p>
            <w:pPr>
              <w:spacing w:after="0"/>
            </w:pPr>
            <w:r>
              <w:rPr>
                <w:rFonts w:ascii="Arial" w:hAnsi="Arial" w:cs="Arial"/>
                <w:b/>
                <w:bCs/>
                <w:i w:val="0"/>
                <w:iCs w:val="0"/>
                <w:color w:val="000000"/>
                <w:sz w:val="18"/>
                <w:szCs w:val="18"/>
              </w:rPr>
              <w:t xml:space="preserve">Feature</w:t>
            </w:r>
          </w:p>
        </w:tc>
        <w:tc>
          <w:tcPr>
            <w:tcW w:w="5140" w:type="dxa"/>
            <w:shd w:val="clear" w:color="auto" w:fill="D9E2F3"/>
          </w:tcPr>
          <w:p>
            <w:pPr>
              <w:spacing w:after="0"/>
            </w:pPr>
            <w:r>
              <w:rPr>
                <w:rFonts w:ascii="Arial" w:hAnsi="Arial" w:cs="Arial"/>
                <w:b/>
                <w:bCs/>
                <w:i w:val="0"/>
                <w:iCs w:val="0"/>
                <w:color w:val="000000"/>
                <w:sz w:val="18"/>
                <w:szCs w:val="18"/>
              </w:rPr>
              <w:t xml:space="preserve">Why it is included</w:t>
            </w:r>
          </w:p>
        </w:tc>
      </w:tr>
      <w:tr>
        <w:trPr>
          <w:cantSplit/>
        </w:trPr>
        <w:tc>
          <w:tcPr>
            <w:tcW w:w="500" w:type="dxa"/>
          </w:tcPr>
          <w:p>
            <w:pPr>
              <w:spacing w:after="0"/>
            </w:pPr>
            <w:r>
              <w:rPr>
                <w:rFonts w:ascii="Arial" w:hAnsi="Arial" w:cs="Arial"/>
                <w:i w:val="0"/>
                <w:iCs w:val="0"/>
                <w:color w:val="000000"/>
                <w:sz w:val="18"/>
                <w:szCs w:val="18"/>
              </w:rPr>
              <w:t xml:space="preserve">1</w:t>
            </w:r>
          </w:p>
        </w:tc>
        <w:tc>
          <w:tcPr>
            <w:tcW w:w="3000" w:type="dxa"/>
          </w:tcPr>
          <w:p>
            <w:pPr>
              <w:spacing w:after="0"/>
            </w:pPr>
            <w:r>
              <w:rPr>
                <w:rFonts w:ascii="Arial" w:hAnsi="Arial" w:cs="Arial"/>
                <w:i w:val="0"/>
                <w:iCs w:val="0"/>
                <w:color w:val="000000"/>
                <w:sz w:val="18"/>
                <w:szCs w:val="18"/>
              </w:rPr>
              <w:t xml:space="preserve">Payment history (Missed_Payments, monthly status)</w:t>
            </w:r>
          </w:p>
        </w:tc>
        <w:tc>
          <w:tcPr>
            <w:tcW w:w="5140" w:type="dxa"/>
          </w:tcPr>
          <w:p>
            <w:pPr>
              <w:spacing w:after="0"/>
            </w:pPr>
            <w:r>
              <w:rPr>
                <w:rFonts w:ascii="Arial" w:hAnsi="Arial" w:cs="Arial"/>
                <w:i w:val="0"/>
                <w:iCs w:val="0"/>
                <w:color w:val="000000"/>
                <w:sz w:val="18"/>
                <w:szCs w:val="18"/>
              </w:rPr>
              <w:t xml:space="preserve">Standard and most direct credit risk signal</w:t>
            </w:r>
          </w:p>
        </w:tc>
      </w:tr>
      <w:tr>
        <w:trPr>
          <w:cantSplit/>
        </w:trPr>
        <w:tc>
          <w:tcPr>
            <w:tcW w:w="500" w:type="dxa"/>
          </w:tcPr>
          <w:p>
            <w:pPr>
              <w:spacing w:after="0"/>
            </w:pPr>
            <w:r>
              <w:rPr>
                <w:rFonts w:ascii="Arial" w:hAnsi="Arial" w:cs="Arial"/>
                <w:i w:val="0"/>
                <w:iCs w:val="0"/>
                <w:color w:val="000000"/>
                <w:sz w:val="18"/>
                <w:szCs w:val="18"/>
              </w:rPr>
              <w:t xml:space="preserve">2</w:t>
            </w:r>
          </w:p>
        </w:tc>
        <w:tc>
          <w:tcPr>
            <w:tcW w:w="3000" w:type="dxa"/>
          </w:tcPr>
          <w:p>
            <w:pPr>
              <w:spacing w:after="0"/>
            </w:pPr>
            <w:r>
              <w:rPr>
                <w:rFonts w:ascii="Arial" w:hAnsi="Arial" w:cs="Arial"/>
                <w:i w:val="0"/>
                <w:iCs w:val="0"/>
                <w:color w:val="000000"/>
                <w:sz w:val="18"/>
                <w:szCs w:val="18"/>
              </w:rPr>
              <w:t xml:space="preserve">Credit_Utilization</w:t>
            </w:r>
          </w:p>
        </w:tc>
        <w:tc>
          <w:tcPr>
            <w:tcW w:w="5140" w:type="dxa"/>
          </w:tcPr>
          <w:p>
            <w:pPr>
              <w:spacing w:after="0"/>
            </w:pPr>
            <w:r>
              <w:rPr>
                <w:rFonts w:ascii="Arial" w:hAnsi="Arial" w:cs="Arial"/>
                <w:i w:val="0"/>
                <w:iCs w:val="0"/>
                <w:color w:val="000000"/>
                <w:sz w:val="18"/>
                <w:szCs w:val="18"/>
              </w:rPr>
              <w:t xml:space="preserve">High usage indicates financial stress. The only factor with a clear upward trend in EDA (12% to 20% delinquency across bands)</w:t>
            </w:r>
          </w:p>
        </w:tc>
      </w:tr>
      <w:tr>
        <w:trPr>
          <w:cantSplit/>
        </w:trPr>
        <w:tc>
          <w:tcPr>
            <w:tcW w:w="500" w:type="dxa"/>
          </w:tcPr>
          <w:p>
            <w:pPr>
              <w:spacing w:after="0"/>
            </w:pPr>
            <w:r>
              <w:rPr>
                <w:rFonts w:ascii="Arial" w:hAnsi="Arial" w:cs="Arial"/>
                <w:i w:val="0"/>
                <w:iCs w:val="0"/>
                <w:color w:val="000000"/>
                <w:sz w:val="18"/>
                <w:szCs w:val="18"/>
              </w:rPr>
              <w:t xml:space="preserve">3</w:t>
            </w:r>
          </w:p>
        </w:tc>
        <w:tc>
          <w:tcPr>
            <w:tcW w:w="3000" w:type="dxa"/>
          </w:tcPr>
          <w:p>
            <w:pPr>
              <w:spacing w:after="0"/>
            </w:pPr>
            <w:r>
              <w:rPr>
                <w:rFonts w:ascii="Arial" w:hAnsi="Arial" w:cs="Arial"/>
                <w:i w:val="0"/>
                <w:iCs w:val="0"/>
                <w:color w:val="000000"/>
                <w:sz w:val="18"/>
                <w:szCs w:val="18"/>
              </w:rPr>
              <w:t xml:space="preserve">Debt_to_Income_Ratio</w:t>
            </w:r>
          </w:p>
        </w:tc>
        <w:tc>
          <w:tcPr>
            <w:tcW w:w="5140" w:type="dxa"/>
          </w:tcPr>
          <w:p>
            <w:pPr>
              <w:spacing w:after="0"/>
            </w:pPr>
            <w:r>
              <w:rPr>
                <w:rFonts w:ascii="Arial" w:hAnsi="Arial" w:cs="Arial"/>
                <w:i w:val="0"/>
                <w:iCs w:val="0"/>
                <w:color w:val="000000"/>
                <w:sz w:val="18"/>
                <w:szCs w:val="18"/>
              </w:rPr>
              <w:t xml:space="preserve">Measures repayment capacity</w:t>
            </w:r>
          </w:p>
        </w:tc>
      </w:tr>
      <w:tr>
        <w:trPr>
          <w:cantSplit/>
        </w:trPr>
        <w:tc>
          <w:tcPr>
            <w:tcW w:w="500" w:type="dxa"/>
          </w:tcPr>
          <w:p>
            <w:pPr>
              <w:spacing w:after="0"/>
            </w:pPr>
            <w:r>
              <w:rPr>
                <w:rFonts w:ascii="Arial" w:hAnsi="Arial" w:cs="Arial"/>
                <w:i w:val="0"/>
                <w:iCs w:val="0"/>
                <w:color w:val="000000"/>
                <w:sz w:val="18"/>
                <w:szCs w:val="18"/>
              </w:rPr>
              <w:t xml:space="preserve">4</w:t>
            </w:r>
          </w:p>
        </w:tc>
        <w:tc>
          <w:tcPr>
            <w:tcW w:w="3000" w:type="dxa"/>
          </w:tcPr>
          <w:p>
            <w:pPr>
              <w:spacing w:after="0"/>
            </w:pPr>
            <w:r>
              <w:rPr>
                <w:rFonts w:ascii="Arial" w:hAnsi="Arial" w:cs="Arial"/>
                <w:i w:val="0"/>
                <w:iCs w:val="0"/>
                <w:color w:val="000000"/>
                <w:sz w:val="18"/>
                <w:szCs w:val="18"/>
              </w:rPr>
              <w:t xml:space="preserve">Credit_Score</w:t>
            </w:r>
          </w:p>
        </w:tc>
        <w:tc>
          <w:tcPr>
            <w:tcW w:w="5140" w:type="dxa"/>
          </w:tcPr>
          <w:p>
            <w:pPr>
              <w:spacing w:after="0"/>
            </w:pPr>
            <w:r>
              <w:rPr>
                <w:rFonts w:ascii="Arial" w:hAnsi="Arial" w:cs="Arial"/>
                <w:i w:val="0"/>
                <w:iCs w:val="0"/>
                <w:color w:val="000000"/>
                <w:sz w:val="18"/>
                <w:szCs w:val="18"/>
              </w:rPr>
              <w:t xml:space="preserve">Summary of overall credit health</w:t>
            </w:r>
          </w:p>
        </w:tc>
      </w:tr>
      <w:tr>
        <w:trPr>
          <w:cantSplit/>
        </w:trPr>
        <w:tc>
          <w:tcPr>
            <w:tcW w:w="500" w:type="dxa"/>
          </w:tcPr>
          <w:p>
            <w:pPr>
              <w:spacing w:after="0"/>
            </w:pPr>
            <w:r>
              <w:rPr>
                <w:rFonts w:ascii="Arial" w:hAnsi="Arial" w:cs="Arial"/>
                <w:i w:val="0"/>
                <w:iCs w:val="0"/>
                <w:color w:val="000000"/>
                <w:sz w:val="18"/>
                <w:szCs w:val="18"/>
              </w:rPr>
              <w:t xml:space="preserve">5</w:t>
            </w:r>
          </w:p>
        </w:tc>
        <w:tc>
          <w:tcPr>
            <w:tcW w:w="3000" w:type="dxa"/>
          </w:tcPr>
          <w:p>
            <w:pPr>
              <w:spacing w:after="0"/>
            </w:pPr>
            <w:r>
              <w:rPr>
                <w:rFonts w:ascii="Arial" w:hAnsi="Arial" w:cs="Arial"/>
                <w:i w:val="0"/>
                <w:iCs w:val="0"/>
                <w:color w:val="000000"/>
                <w:sz w:val="18"/>
                <w:szCs w:val="18"/>
              </w:rPr>
              <w:t xml:space="preserve">Employment_Status (with Income)</w:t>
            </w:r>
          </w:p>
        </w:tc>
        <w:tc>
          <w:tcPr>
            <w:tcW w:w="5140" w:type="dxa"/>
          </w:tcPr>
          <w:p>
            <w:pPr>
              <w:spacing w:after="0"/>
            </w:pPr>
            <w:r>
              <w:rPr>
                <w:rFonts w:ascii="Arial" w:hAnsi="Arial" w:cs="Arial"/>
                <w:i w:val="0"/>
                <w:iCs w:val="0"/>
                <w:color w:val="000000"/>
                <w:sz w:val="18"/>
                <w:szCs w:val="18"/>
              </w:rPr>
              <w:t xml:space="preserve">Proxy for income stability</w:t>
            </w:r>
          </w:p>
        </w:tc>
      </w:tr>
    </w:tbl>
    <w:p>
      <w:pPr>
        <w:spacing w:after="120"/>
      </w:pPr>
    </w:p>
    <w:p>
      <w:pPr>
        <w:spacing w:after="120"/>
      </w:pPr>
      <w:r>
        <w:rPr>
          <w:rFonts w:ascii="Arial" w:hAnsi="Arial" w:cs="Arial"/>
          <w:i w:val="0"/>
          <w:iCs w:val="0"/>
          <w:color w:val="000000"/>
        </w:rPr>
        <w:t xml:space="preserve">Supporting features: Loan_Balance, Account_Tenure, Credit_Card_Type, and the missing-value flags created in Task 1. Age and Location are deliberately excluded from the model and used only for fairness monitoring. These features were chosen using credit-risk domain logic and EDA; EDA also showed their individual relationship with delinquency is weak in this sample.</w:t>
      </w:r>
    </w:p>
    <w:p>
      <w:pPr>
        <w:keepNext/>
        <w:spacing w:after="80"/>
      </w:pPr>
      <w:r>
        <w:rPr>
          <w:rFonts w:ascii="Arial" w:hAnsi="Arial" w:cs="Arial"/>
          <w:b/>
          <w:bCs/>
          <w:i w:val="0"/>
          <w:iCs w:val="0"/>
          <w:color w:val="000000"/>
        </w:rPr>
        <w:t xml:space="preserve">Workflow (pseudocode)</w:t>
      </w:r>
    </w:p>
    <w:p>
      <w:pPr>
        <w:shd w:val="clear" w:color="auto" w:fill="F2F2F2"/>
        <w:spacing w:after="0"/>
      </w:pPr>
      <w:r>
        <w:rPr>
          <w:rFonts w:ascii="Courier New" w:hAnsi="Courier New" w:cs="Courier New"/>
          <w:i w:val="0"/>
          <w:iCs w:val="0"/>
          <w:color w:val="000000"/>
          <w:sz w:val="17"/>
          <w:szCs w:val="17"/>
        </w:rPr>
        <w:t xml:space="preserve">1. Load customer data; drop Customer_ID</w:t>
      </w:r>
    </w:p>
    <w:p>
      <w:pPr>
        <w:shd w:val="clear" w:color="auto" w:fill="F2F2F2"/>
        <w:spacing w:after="0"/>
      </w:pPr>
      <w:r>
        <w:rPr>
          <w:rFonts w:ascii="Courier New" w:hAnsi="Courier New" w:cs="Courier New"/>
          <w:i w:val="0"/>
          <w:iCs w:val="0"/>
          <w:color w:val="000000"/>
          <w:sz w:val="17"/>
          <w:szCs w:val="17"/>
        </w:rPr>
        <w:t xml:space="preserve">2. Standardize Employment_Status labels (EMP -&gt; Employed)</w:t>
      </w:r>
    </w:p>
    <w:p>
      <w:pPr>
        <w:shd w:val="clear" w:color="auto" w:fill="F2F2F2"/>
        <w:spacing w:after="0"/>
      </w:pPr>
      <w:r>
        <w:rPr>
          <w:rFonts w:ascii="Courier New" w:hAnsi="Courier New" w:cs="Courier New"/>
          <w:i w:val="0"/>
          <w:iCs w:val="0"/>
          <w:color w:val="000000"/>
          <w:sz w:val="17"/>
          <w:szCs w:val="17"/>
        </w:rPr>
        <w:t xml:space="preserve">3. Impute Income, Loan_Balance, Credit_Score with median;</w:t>
      </w:r>
    </w:p>
    <w:p>
      <w:pPr>
        <w:shd w:val="clear" w:color="auto" w:fill="F2F2F2"/>
        <w:spacing w:after="0"/>
      </w:pPr>
      <w:r>
        <w:rPr>
          <w:rFonts w:ascii="Courier New" w:hAnsi="Courier New" w:cs="Courier New"/>
          <w:i w:val="0"/>
          <w:iCs w:val="0"/>
          <w:color w:val="000000"/>
          <w:sz w:val="17"/>
          <w:szCs w:val="17"/>
        </w:rPr>
        <w:t xml:space="preserve">   add a *_missing flag for each</w:t>
      </w:r>
    </w:p>
    <w:p>
      <w:pPr>
        <w:shd w:val="clear" w:color="auto" w:fill="F2F2F2"/>
        <w:spacing w:after="0"/>
      </w:pPr>
      <w:r>
        <w:rPr>
          <w:rFonts w:ascii="Courier New" w:hAnsi="Courier New" w:cs="Courier New"/>
          <w:i w:val="0"/>
          <w:iCs w:val="0"/>
          <w:color w:val="000000"/>
          <w:sz w:val="17"/>
          <w:szCs w:val="17"/>
        </w:rPr>
        <w:t xml:space="preserve">4. Build features: Missed_Payments, monthly_missed, monthly_late,</w:t>
      </w:r>
    </w:p>
    <w:p>
      <w:pPr>
        <w:shd w:val="clear" w:color="auto" w:fill="F2F2F2"/>
        <w:spacing w:after="0"/>
      </w:pPr>
      <w:r>
        <w:rPr>
          <w:rFonts w:ascii="Courier New" w:hAnsi="Courier New" w:cs="Courier New"/>
          <w:i w:val="0"/>
          <w:iCs w:val="0"/>
          <w:color w:val="000000"/>
          <w:sz w:val="17"/>
          <w:szCs w:val="17"/>
        </w:rPr>
        <w:t xml:space="preserve">   Credit_Utilization, Debt_to_Income_Ratio, Credit_Score, Income,</w:t>
      </w:r>
    </w:p>
    <w:p>
      <w:pPr>
        <w:shd w:val="clear" w:color="auto" w:fill="F2F2F2"/>
        <w:spacing w:after="0"/>
      </w:pPr>
      <w:r>
        <w:rPr>
          <w:rFonts w:ascii="Courier New" w:hAnsi="Courier New" w:cs="Courier New"/>
          <w:i w:val="0"/>
          <w:iCs w:val="0"/>
          <w:color w:val="000000"/>
          <w:sz w:val="17"/>
          <w:szCs w:val="17"/>
        </w:rPr>
        <w:t xml:space="preserve">   Loan_Balance, Account_Tenure, Employment_Status, Credit_Card_Type</w:t>
      </w:r>
    </w:p>
    <w:p>
      <w:pPr>
        <w:shd w:val="clear" w:color="auto" w:fill="F2F2F2"/>
        <w:spacing w:after="0"/>
      </w:pPr>
      <w:r>
        <w:rPr>
          <w:rFonts w:ascii="Courier New" w:hAnsi="Courier New" w:cs="Courier New"/>
          <w:i w:val="0"/>
          <w:iCs w:val="0"/>
          <w:color w:val="000000"/>
          <w:sz w:val="17"/>
          <w:szCs w:val="17"/>
        </w:rPr>
        <w:t xml:space="preserve">   (exclude Age and Location)</w:t>
      </w:r>
    </w:p>
    <w:p>
      <w:pPr>
        <w:shd w:val="clear" w:color="auto" w:fill="F2F2F2"/>
        <w:spacing w:after="0"/>
      </w:pPr>
      <w:r>
        <w:rPr>
          <w:rFonts w:ascii="Courier New" w:hAnsi="Courier New" w:cs="Courier New"/>
          <w:i w:val="0"/>
          <w:iCs w:val="0"/>
          <w:color w:val="000000"/>
          <w:sz w:val="17"/>
          <w:szCs w:val="17"/>
        </w:rPr>
        <w:t xml:space="preserve">5. Split data 80/20, stratified on Delinquent_Account</w:t>
      </w:r>
    </w:p>
    <w:p>
      <w:pPr>
        <w:shd w:val="clear" w:color="auto" w:fill="F2F2F2"/>
        <w:spacing w:after="0"/>
      </w:pPr>
      <w:r>
        <w:rPr>
          <w:rFonts w:ascii="Courier New" w:hAnsi="Courier New" w:cs="Courier New"/>
          <w:i w:val="0"/>
          <w:iCs w:val="0"/>
          <w:color w:val="000000"/>
          <w:sz w:val="17"/>
          <w:szCs w:val="17"/>
        </w:rPr>
        <w:t xml:space="preserve">6. Scale numeric features; one-hot encode categorical features</w:t>
      </w:r>
    </w:p>
    <w:p>
      <w:pPr>
        <w:shd w:val="clear" w:color="auto" w:fill="F2F2F2"/>
        <w:spacing w:after="0"/>
      </w:pPr>
      <w:r>
        <w:rPr>
          <w:rFonts w:ascii="Courier New" w:hAnsi="Courier New" w:cs="Courier New"/>
          <w:i w:val="0"/>
          <w:iCs w:val="0"/>
          <w:color w:val="000000"/>
          <w:sz w:val="17"/>
          <w:szCs w:val="17"/>
        </w:rPr>
        <w:t xml:space="preserve">7. Train LogisticRegression(class_weight="balanced")</w:t>
      </w:r>
    </w:p>
    <w:p>
      <w:pPr>
        <w:shd w:val="clear" w:color="auto" w:fill="F2F2F2"/>
        <w:spacing w:after="0"/>
      </w:pPr>
      <w:r>
        <w:rPr>
          <w:rFonts w:ascii="Courier New" w:hAnsi="Courier New" w:cs="Courier New"/>
          <w:i w:val="0"/>
          <w:iCs w:val="0"/>
          <w:color w:val="000000"/>
          <w:sz w:val="17"/>
          <w:szCs w:val="17"/>
        </w:rPr>
        <w:t xml:space="preserve">8. risk_probability = model.predict_proba(customer)</w:t>
      </w:r>
    </w:p>
    <w:p>
      <w:pPr>
        <w:shd w:val="clear" w:color="auto" w:fill="F2F2F2"/>
        <w:spacing w:after="0"/>
      </w:pPr>
      <w:r>
        <w:rPr>
          <w:rFonts w:ascii="Courier New" w:hAnsi="Courier New" w:cs="Courier New"/>
          <w:i w:val="0"/>
          <w:iCs w:val="0"/>
          <w:color w:val="000000"/>
          <w:sz w:val="17"/>
          <w:szCs w:val="17"/>
        </w:rPr>
        <w:t xml:space="preserve">9. Assign tier: High (top 20%), Medium, Low</w:t>
      </w:r>
    </w:p>
    <w:p>
      <w:pPr>
        <w:shd w:val="clear" w:color="auto" w:fill="F2F2F2"/>
        <w:spacing w:after="120"/>
      </w:pPr>
      <w:r>
        <w:rPr>
          <w:rFonts w:ascii="Courier New" w:hAnsi="Courier New" w:cs="Courier New"/>
          <w:i w:val="0"/>
          <w:iCs w:val="0"/>
          <w:color w:val="000000"/>
          <w:sz w:val="17"/>
          <w:szCs w:val="17"/>
        </w:rPr>
        <w:t xml:space="preserve">10. Output: ranked list + top contributing factors per customer</w:t>
      </w:r>
    </w:p>
    <w:p>
      <w:pPr>
        <w:pStyle w:val="Heading1"/>
      </w:pPr>
      <w:r>
        <w:rPr>
          <w:rFonts w:ascii="Arial" w:hAnsi="Arial" w:cs="Arial"/>
          <w:color w:val="000000"/>
        </w:rPr>
        <w:t>2. Justification for Model Choice</w:t>
      </w:r>
    </w:p>
    <w:p>
      <w:pPr>
        <w:spacing w:after="120"/>
      </w:pPr>
      <w:r>
        <w:rPr>
          <w:rFonts w:ascii="Arial" w:hAnsi="Arial" w:cs="Arial"/>
          <w:i w:val="0"/>
          <w:iCs w:val="0"/>
          <w:color w:val="000000"/>
        </w:rPr>
        <w:t xml:space="preserve">Logistic regression is the best fit for Geldium because the Collections team needs a transparent, probability-based score it can use to prioritize outreach and explain to regulators and customers. Each feature has a coefficient showing how it raises or lowers risk, which supports fairness reviews and compliance. It is quick to train, simple to deploy and easy to monitor over time. It also suits the size of Geldium's data (500 records, 80 delinquent cases), where a neural network would likely overfit and could not be explained. The main trade-off is that it captures only linear relationships, so a shallow decision tree can be used as a secondary model if segment-level rules are needed.</w:t>
      </w:r>
    </w:p>
    <w:tbl>
      <w:tblPr>
        <w:tblW w:w="864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0" w:type="dxa"/>
          <w:left w:w="90" w:type="dxa"/>
          <w:bottom w:w="50" w:type="dxa"/>
          <w:right w:w="90" w:type="dxa"/>
        </w:tblCellMar>
      </w:tblPr>
      <w:tblGrid>
        <w:gridCol w:w="1700"/>
        <w:gridCol w:w="1900"/>
        <w:gridCol w:w="2400"/>
        <w:gridCol w:w="2640"/>
      </w:tblGrid>
      <w:tr>
        <w:trPr>
          <w:tblHeader/>
        </w:trPr>
        <w:tc>
          <w:tcPr>
            <w:tcW w:w="1700" w:type="dxa"/>
            <w:shd w:val="clear" w:color="auto" w:fill="D9E2F3"/>
          </w:tcPr>
          <w:p>
            <w:pPr>
              <w:spacing w:after="0"/>
            </w:pPr>
            <w:r>
              <w:rPr>
                <w:rFonts w:ascii="Arial" w:hAnsi="Arial" w:cs="Arial"/>
                <w:b/>
                <w:bCs/>
                <w:i w:val="0"/>
                <w:iCs w:val="0"/>
                <w:color w:val="000000"/>
                <w:sz w:val="18"/>
                <w:szCs w:val="18"/>
              </w:rPr>
              <w:t xml:space="preserve">Model</w:t>
            </w:r>
          </w:p>
        </w:tc>
        <w:tc>
          <w:tcPr>
            <w:tcW w:w="1900" w:type="dxa"/>
            <w:shd w:val="clear" w:color="auto" w:fill="D9E2F3"/>
          </w:tcPr>
          <w:p>
            <w:pPr>
              <w:spacing w:after="0"/>
            </w:pPr>
            <w:r>
              <w:rPr>
                <w:rFonts w:ascii="Arial" w:hAnsi="Arial" w:cs="Arial"/>
                <w:b/>
                <w:bCs/>
                <w:i w:val="0"/>
                <w:iCs w:val="0"/>
                <w:color w:val="000000"/>
                <w:sz w:val="18"/>
                <w:szCs w:val="18"/>
              </w:rPr>
              <w:t xml:space="preserve">Strengths</w:t>
            </w:r>
          </w:p>
        </w:tc>
        <w:tc>
          <w:tcPr>
            <w:tcW w:w="2400" w:type="dxa"/>
            <w:shd w:val="clear" w:color="auto" w:fill="D9E2F3"/>
          </w:tcPr>
          <w:p>
            <w:pPr>
              <w:spacing w:after="0"/>
            </w:pPr>
            <w:r>
              <w:rPr>
                <w:rFonts w:ascii="Arial" w:hAnsi="Arial" w:cs="Arial"/>
                <w:b/>
                <w:bCs/>
                <w:i w:val="0"/>
                <w:iCs w:val="0"/>
                <w:color w:val="000000"/>
                <w:sz w:val="18"/>
                <w:szCs w:val="18"/>
              </w:rPr>
              <w:t xml:space="preserve">Trade-offs</w:t>
            </w:r>
          </w:p>
        </w:tc>
        <w:tc>
          <w:tcPr>
            <w:tcW w:w="2640" w:type="dxa"/>
            <w:shd w:val="clear" w:color="auto" w:fill="D9E2F3"/>
          </w:tcPr>
          <w:p>
            <w:pPr>
              <w:spacing w:after="0"/>
            </w:pPr>
            <w:r>
              <w:rPr>
                <w:rFonts w:ascii="Arial" w:hAnsi="Arial" w:cs="Arial"/>
                <w:b/>
                <w:bCs/>
                <w:i w:val="0"/>
                <w:iCs w:val="0"/>
                <w:color w:val="000000"/>
                <w:sz w:val="18"/>
                <w:szCs w:val="18"/>
              </w:rPr>
              <w:t xml:space="preserve">Fit for Geldium</w:t>
            </w:r>
          </w:p>
        </w:tc>
      </w:tr>
      <w:tr>
        <w:trPr>
          <w:cantSplit/>
        </w:trPr>
        <w:tc>
          <w:tcPr>
            <w:tcW w:w="1700" w:type="dxa"/>
          </w:tcPr>
          <w:p>
            <w:pPr>
              <w:spacing w:after="0"/>
            </w:pPr>
            <w:r>
              <w:rPr>
                <w:rFonts w:ascii="Arial" w:hAnsi="Arial" w:cs="Arial"/>
                <w:i w:val="0"/>
                <w:iCs w:val="0"/>
                <w:color w:val="000000"/>
                <w:sz w:val="18"/>
                <w:szCs w:val="18"/>
              </w:rPr>
              <w:t xml:space="preserve">Logistic regression</w:t>
            </w:r>
          </w:p>
        </w:tc>
        <w:tc>
          <w:tcPr>
            <w:tcW w:w="1900" w:type="dxa"/>
          </w:tcPr>
          <w:p>
            <w:pPr>
              <w:spacing w:after="0"/>
            </w:pPr>
            <w:r>
              <w:rPr>
                <w:rFonts w:ascii="Arial" w:hAnsi="Arial" w:cs="Arial"/>
                <w:i w:val="0"/>
                <w:iCs w:val="0"/>
                <w:color w:val="000000"/>
                <w:sz w:val="18"/>
                <w:szCs w:val="18"/>
              </w:rPr>
              <w:t xml:space="preserve">Probability output, interpretable, fast, regulator-friendly</w:t>
            </w:r>
          </w:p>
        </w:tc>
        <w:tc>
          <w:tcPr>
            <w:tcW w:w="2400" w:type="dxa"/>
          </w:tcPr>
          <w:p>
            <w:pPr>
              <w:spacing w:after="0"/>
            </w:pPr>
            <w:r>
              <w:rPr>
                <w:rFonts w:ascii="Arial" w:hAnsi="Arial" w:cs="Arial"/>
                <w:i w:val="0"/>
                <w:iCs w:val="0"/>
                <w:color w:val="000000"/>
                <w:sz w:val="18"/>
                <w:szCs w:val="18"/>
              </w:rPr>
              <w:t xml:space="preserve">Linear relationships only</w:t>
            </w:r>
          </w:p>
        </w:tc>
        <w:tc>
          <w:tcPr>
            <w:tcW w:w="2640" w:type="dxa"/>
          </w:tcPr>
          <w:p>
            <w:pPr>
              <w:spacing w:after="0"/>
            </w:pPr>
            <w:r>
              <w:rPr>
                <w:rFonts w:ascii="Arial" w:hAnsi="Arial" w:cs="Arial"/>
                <w:i w:val="0"/>
                <w:iCs w:val="0"/>
                <w:color w:val="000000"/>
                <w:sz w:val="18"/>
                <w:szCs w:val="18"/>
              </w:rPr>
              <w:t xml:space="preserve">Best fit (chosen)</w:t>
            </w:r>
          </w:p>
        </w:tc>
      </w:tr>
      <w:tr>
        <w:trPr>
          <w:cantSplit/>
        </w:trPr>
        <w:tc>
          <w:tcPr>
            <w:tcW w:w="1700" w:type="dxa"/>
          </w:tcPr>
          <w:p>
            <w:pPr>
              <w:spacing w:after="0"/>
            </w:pPr>
            <w:r>
              <w:rPr>
                <w:rFonts w:ascii="Arial" w:hAnsi="Arial" w:cs="Arial"/>
                <w:i w:val="0"/>
                <w:iCs w:val="0"/>
                <w:color w:val="000000"/>
                <w:sz w:val="18"/>
                <w:szCs w:val="18"/>
              </w:rPr>
              <w:t xml:space="preserve">Decision tree</w:t>
            </w:r>
          </w:p>
        </w:tc>
        <w:tc>
          <w:tcPr>
            <w:tcW w:w="1900" w:type="dxa"/>
          </w:tcPr>
          <w:p>
            <w:pPr>
              <w:spacing w:after="0"/>
            </w:pPr>
            <w:r>
              <w:rPr>
                <w:rFonts w:ascii="Arial" w:hAnsi="Arial" w:cs="Arial"/>
                <w:i w:val="0"/>
                <w:iCs w:val="0"/>
                <w:color w:val="000000"/>
                <w:sz w:val="18"/>
                <w:szCs w:val="18"/>
              </w:rPr>
              <w:t xml:space="preserve">Clear rules and risk segments</w:t>
            </w:r>
          </w:p>
        </w:tc>
        <w:tc>
          <w:tcPr>
            <w:tcW w:w="2400" w:type="dxa"/>
          </w:tcPr>
          <w:p>
            <w:pPr>
              <w:spacing w:after="0"/>
            </w:pPr>
            <w:r>
              <w:rPr>
                <w:rFonts w:ascii="Arial" w:hAnsi="Arial" w:cs="Arial"/>
                <w:i w:val="0"/>
                <w:iCs w:val="0"/>
                <w:color w:val="000000"/>
                <w:sz w:val="18"/>
                <w:szCs w:val="18"/>
              </w:rPr>
              <w:t xml:space="preserve">Overfits small data, less stable</w:t>
            </w:r>
          </w:p>
        </w:tc>
        <w:tc>
          <w:tcPr>
            <w:tcW w:w="2640" w:type="dxa"/>
          </w:tcPr>
          <w:p>
            <w:pPr>
              <w:spacing w:after="0"/>
            </w:pPr>
            <w:r>
              <w:rPr>
                <w:rFonts w:ascii="Arial" w:hAnsi="Arial" w:cs="Arial"/>
                <w:i w:val="0"/>
                <w:iCs w:val="0"/>
                <w:color w:val="000000"/>
                <w:sz w:val="18"/>
                <w:szCs w:val="18"/>
              </w:rPr>
              <w:t xml:space="preserve">Good secondary model</w:t>
            </w:r>
          </w:p>
        </w:tc>
      </w:tr>
      <w:tr>
        <w:trPr>
          <w:cantSplit/>
        </w:trPr>
        <w:tc>
          <w:tcPr>
            <w:tcW w:w="1700" w:type="dxa"/>
          </w:tcPr>
          <w:p>
            <w:pPr>
              <w:spacing w:after="0"/>
            </w:pPr>
            <w:r>
              <w:rPr>
                <w:rFonts w:ascii="Arial" w:hAnsi="Arial" w:cs="Arial"/>
                <w:i w:val="0"/>
                <w:iCs w:val="0"/>
                <w:color w:val="000000"/>
                <w:sz w:val="18"/>
                <w:szCs w:val="18"/>
              </w:rPr>
              <w:t xml:space="preserve">Neural network</w:t>
            </w:r>
          </w:p>
        </w:tc>
        <w:tc>
          <w:tcPr>
            <w:tcW w:w="1900" w:type="dxa"/>
          </w:tcPr>
          <w:p>
            <w:pPr>
              <w:spacing w:after="0"/>
            </w:pPr>
            <w:r>
              <w:rPr>
                <w:rFonts w:ascii="Arial" w:hAnsi="Arial" w:cs="Arial"/>
                <w:i w:val="0"/>
                <w:iCs w:val="0"/>
                <w:color w:val="000000"/>
                <w:sz w:val="18"/>
                <w:szCs w:val="18"/>
              </w:rPr>
              <w:t xml:space="preserve">Captures complex patterns, potentially higher accuracy</w:t>
            </w:r>
          </w:p>
        </w:tc>
        <w:tc>
          <w:tcPr>
            <w:tcW w:w="2400" w:type="dxa"/>
          </w:tcPr>
          <w:p>
            <w:pPr>
              <w:spacing w:after="0"/>
            </w:pPr>
            <w:r>
              <w:rPr>
                <w:rFonts w:ascii="Arial" w:hAnsi="Arial" w:cs="Arial"/>
                <w:i w:val="0"/>
                <w:iCs w:val="0"/>
                <w:color w:val="000000"/>
                <w:sz w:val="18"/>
                <w:szCs w:val="18"/>
              </w:rPr>
              <w:t xml:space="preserve">Black box, needs more data, hard to justify</w:t>
            </w:r>
          </w:p>
        </w:tc>
        <w:tc>
          <w:tcPr>
            <w:tcW w:w="2640" w:type="dxa"/>
          </w:tcPr>
          <w:p>
            <w:pPr>
              <w:spacing w:after="0"/>
            </w:pPr>
            <w:r>
              <w:rPr>
                <w:rFonts w:ascii="Arial" w:hAnsi="Arial" w:cs="Arial"/>
                <w:i w:val="0"/>
                <w:iCs w:val="0"/>
                <w:color w:val="000000"/>
                <w:sz w:val="18"/>
                <w:szCs w:val="18"/>
              </w:rPr>
              <w:t xml:space="preserve">Not suitable at this stage</w:t>
            </w:r>
          </w:p>
        </w:tc>
      </w:tr>
    </w:tbl>
    <w:p>
      <w:pPr>
        <w:spacing w:after="120"/>
      </w:pPr>
    </w:p>
    <w:p>
      <w:pPr>
        <w:spacing w:after="80"/>
      </w:pPr>
      <w:r>
        <w:rPr>
          <w:rFonts w:ascii="Arial" w:hAnsi="Arial" w:cs="Arial"/>
          <w:i w:val="0"/>
          <w:iCs w:val="0"/>
          <w:color w:val="000000"/>
        </w:rPr>
        <w:t xml:space="preserve">- </w:t>
      </w:r>
      <w:r>
        <w:rPr>
          <w:rFonts w:ascii="Arial" w:hAnsi="Arial" w:cs="Arial"/>
          <w:b/>
          <w:bCs/>
          <w:i w:val="0"/>
          <w:iCs w:val="0"/>
          <w:color w:val="000000"/>
        </w:rPr>
        <w:t xml:space="preserve">Accuracy: </w:t>
      </w:r>
      <w:r>
        <w:rPr>
          <w:rFonts w:ascii="Arial" w:hAnsi="Arial" w:cs="Arial"/>
          <w:i w:val="0"/>
          <w:iCs w:val="0"/>
          <w:color w:val="000000"/>
        </w:rPr>
        <w:t xml:space="preserve">sufficient for ranking customers; accuracy alone is not the target (see Section 3).</w:t>
      </w:r>
    </w:p>
    <w:p>
      <w:pPr>
        <w:spacing w:after="80"/>
      </w:pPr>
      <w:r>
        <w:rPr>
          <w:rFonts w:ascii="Arial" w:hAnsi="Arial" w:cs="Arial"/>
          <w:i w:val="0"/>
          <w:iCs w:val="0"/>
          <w:color w:val="000000"/>
        </w:rPr>
        <w:t xml:space="preserve">- </w:t>
      </w:r>
      <w:r>
        <w:rPr>
          <w:rFonts w:ascii="Arial" w:hAnsi="Arial" w:cs="Arial"/>
          <w:b/>
          <w:bCs/>
          <w:i w:val="0"/>
          <w:iCs w:val="0"/>
          <w:color w:val="000000"/>
        </w:rPr>
        <w:t xml:space="preserve">Transparency: </w:t>
      </w:r>
      <w:r>
        <w:rPr>
          <w:rFonts w:ascii="Arial" w:hAnsi="Arial" w:cs="Arial"/>
          <w:i w:val="0"/>
          <w:iCs w:val="0"/>
          <w:color w:val="000000"/>
        </w:rPr>
        <w:t xml:space="preserve">coefficients can be shown to Collections, auditors and regulators.</w:t>
      </w:r>
    </w:p>
    <w:p>
      <w:pPr>
        <w:spacing w:after="80"/>
      </w:pPr>
      <w:r>
        <w:rPr>
          <w:rFonts w:ascii="Arial" w:hAnsi="Arial" w:cs="Arial"/>
          <w:i w:val="0"/>
          <w:iCs w:val="0"/>
          <w:color w:val="000000"/>
        </w:rPr>
        <w:t xml:space="preserve">- </w:t>
      </w:r>
      <w:r>
        <w:rPr>
          <w:rFonts w:ascii="Arial" w:hAnsi="Arial" w:cs="Arial"/>
          <w:b/>
          <w:bCs/>
          <w:i w:val="0"/>
          <w:iCs w:val="0"/>
          <w:color w:val="000000"/>
        </w:rPr>
        <w:t xml:space="preserve">Ease of implementation: </w:t>
      </w:r>
      <w:r>
        <w:rPr>
          <w:rFonts w:ascii="Arial" w:hAnsi="Arial" w:cs="Arial"/>
          <w:i w:val="0"/>
          <w:iCs w:val="0"/>
          <w:color w:val="000000"/>
        </w:rPr>
        <w:t xml:space="preserve">standard library support, low compute, simple monitoring.</w:t>
      </w:r>
    </w:p>
    <w:p>
      <w:pPr>
        <w:spacing w:after="80"/>
      </w:pPr>
      <w:r>
        <w:rPr>
          <w:rFonts w:ascii="Arial" w:hAnsi="Arial" w:cs="Arial"/>
          <w:i w:val="0"/>
          <w:iCs w:val="0"/>
          <w:color w:val="000000"/>
        </w:rPr>
        <w:t xml:space="preserve">- </w:t>
      </w:r>
      <w:r>
        <w:rPr>
          <w:rFonts w:ascii="Arial" w:hAnsi="Arial" w:cs="Arial"/>
          <w:b/>
          <w:bCs/>
          <w:i w:val="0"/>
          <w:iCs w:val="0"/>
          <w:color w:val="000000"/>
        </w:rPr>
        <w:t xml:space="preserve">Financial relevance: </w:t>
      </w:r>
      <w:r>
        <w:rPr>
          <w:rFonts w:ascii="Arial" w:hAnsi="Arial" w:cs="Arial"/>
          <w:i w:val="0"/>
          <w:iCs w:val="0"/>
          <w:color w:val="000000"/>
        </w:rPr>
        <w:t xml:space="preserve">logistic regression is a long-established standard in credit scoring.</w:t>
      </w:r>
    </w:p>
    <w:p>
      <w:pPr>
        <w:pStyle w:val="Heading1"/>
      </w:pPr>
      <w:r>
        <w:rPr>
          <w:rFonts w:ascii="Arial" w:hAnsi="Arial" w:cs="Arial"/>
          <w:color w:val="000000"/>
        </w:rPr>
        <w:t>3. Evaluation Strategy</w:t>
      </w:r>
    </w:p>
    <w:p>
      <w:pPr>
        <w:keepNext/>
        <w:spacing w:after="80"/>
      </w:pPr>
      <w:r>
        <w:rPr>
          <w:rFonts w:ascii="Arial" w:hAnsi="Arial" w:cs="Arial"/>
          <w:b/>
          <w:bCs/>
          <w:i w:val="0"/>
          <w:iCs w:val="0"/>
          <w:color w:val="000000"/>
        </w:rPr>
        <w:t xml:space="preserve">Metrics and how to interpret them</w:t>
      </w:r>
    </w:p>
    <w:tbl>
      <w:tblPr>
        <w:tblW w:w="864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0" w:type="dxa"/>
          <w:left w:w="90" w:type="dxa"/>
          <w:bottom w:w="50" w:type="dxa"/>
          <w:right w:w="90" w:type="dxa"/>
        </w:tblCellMar>
      </w:tblPr>
      <w:tblGrid>
        <w:gridCol w:w="1500"/>
        <w:gridCol w:w="3000"/>
        <w:gridCol w:w="4140"/>
      </w:tblGrid>
      <w:tr>
        <w:trPr>
          <w:tblHeader/>
        </w:trPr>
        <w:tc>
          <w:tcPr>
            <w:tcW w:w="1500" w:type="dxa"/>
            <w:shd w:val="clear" w:color="auto" w:fill="D9E2F3"/>
          </w:tcPr>
          <w:p>
            <w:pPr>
              <w:spacing w:after="0"/>
            </w:pPr>
            <w:r>
              <w:rPr>
                <w:rFonts w:ascii="Arial" w:hAnsi="Arial" w:cs="Arial"/>
                <w:b/>
                <w:bCs/>
                <w:i w:val="0"/>
                <w:iCs w:val="0"/>
                <w:color w:val="000000"/>
                <w:sz w:val="18"/>
                <w:szCs w:val="18"/>
              </w:rPr>
              <w:t xml:space="preserve">Metric</w:t>
            </w:r>
          </w:p>
        </w:tc>
        <w:tc>
          <w:tcPr>
            <w:tcW w:w="3000" w:type="dxa"/>
            <w:shd w:val="clear" w:color="auto" w:fill="D9E2F3"/>
          </w:tcPr>
          <w:p>
            <w:pPr>
              <w:spacing w:after="0"/>
            </w:pPr>
            <w:r>
              <w:rPr>
                <w:rFonts w:ascii="Arial" w:hAnsi="Arial" w:cs="Arial"/>
                <w:b/>
                <w:bCs/>
                <w:i w:val="0"/>
                <w:iCs w:val="0"/>
                <w:color w:val="000000"/>
                <w:sz w:val="18"/>
                <w:szCs w:val="18"/>
              </w:rPr>
              <w:t xml:space="preserve">Purpose</w:t>
            </w:r>
          </w:p>
        </w:tc>
        <w:tc>
          <w:tcPr>
            <w:tcW w:w="4140" w:type="dxa"/>
            <w:shd w:val="clear" w:color="auto" w:fill="D9E2F3"/>
          </w:tcPr>
          <w:p>
            <w:pPr>
              <w:spacing w:after="0"/>
            </w:pPr>
            <w:r>
              <w:rPr>
                <w:rFonts w:ascii="Arial" w:hAnsi="Arial" w:cs="Arial"/>
                <w:b/>
                <w:bCs/>
                <w:i w:val="0"/>
                <w:iCs w:val="0"/>
                <w:color w:val="000000"/>
                <w:sz w:val="18"/>
                <w:szCs w:val="18"/>
              </w:rPr>
              <w:t xml:space="preserve">How to interpret</w:t>
            </w:r>
          </w:p>
        </w:tc>
      </w:tr>
      <w:tr>
        <w:trPr>
          <w:cantSplit/>
        </w:trPr>
        <w:tc>
          <w:tcPr>
            <w:tcW w:w="1500" w:type="dxa"/>
          </w:tcPr>
          <w:p>
            <w:pPr>
              <w:spacing w:after="0"/>
            </w:pPr>
            <w:r>
              <w:rPr>
                <w:rFonts w:ascii="Arial" w:hAnsi="Arial" w:cs="Arial"/>
                <w:i w:val="0"/>
                <w:iCs w:val="0"/>
                <w:color w:val="000000"/>
                <w:sz w:val="18"/>
                <w:szCs w:val="18"/>
              </w:rPr>
              <w:t xml:space="preserve">Accuracy</w:t>
            </w:r>
          </w:p>
        </w:tc>
        <w:tc>
          <w:tcPr>
            <w:tcW w:w="3000" w:type="dxa"/>
          </w:tcPr>
          <w:p>
            <w:pPr>
              <w:spacing w:after="0"/>
            </w:pPr>
            <w:r>
              <w:rPr>
                <w:rFonts w:ascii="Arial" w:hAnsi="Arial" w:cs="Arial"/>
                <w:i w:val="0"/>
                <w:iCs w:val="0"/>
                <w:color w:val="000000"/>
                <w:sz w:val="18"/>
                <w:szCs w:val="18"/>
              </w:rPr>
              <w:t xml:space="preserve">Overall correctness (reference only)</w:t>
            </w:r>
          </w:p>
        </w:tc>
        <w:tc>
          <w:tcPr>
            <w:tcW w:w="4140" w:type="dxa"/>
          </w:tcPr>
          <w:p>
            <w:pPr>
              <w:spacing w:after="0"/>
            </w:pPr>
            <w:r>
              <w:rPr>
                <w:rFonts w:ascii="Arial" w:hAnsi="Arial" w:cs="Arial"/>
                <w:i w:val="0"/>
                <w:iCs w:val="0"/>
                <w:color w:val="000000"/>
                <w:sz w:val="18"/>
                <w:szCs w:val="18"/>
              </w:rPr>
              <w:t xml:space="preserve">Misleading here: predicting "not delinquent" for everyone already gives 84%</w:t>
            </w:r>
          </w:p>
        </w:tc>
      </w:tr>
      <w:tr>
        <w:trPr>
          <w:cantSplit/>
        </w:trPr>
        <w:tc>
          <w:tcPr>
            <w:tcW w:w="1500" w:type="dxa"/>
          </w:tcPr>
          <w:p>
            <w:pPr>
              <w:spacing w:after="0"/>
            </w:pPr>
            <w:r>
              <w:rPr>
                <w:rFonts w:ascii="Arial" w:hAnsi="Arial" w:cs="Arial"/>
                <w:i w:val="0"/>
                <w:iCs w:val="0"/>
                <w:color w:val="000000"/>
                <w:sz w:val="18"/>
                <w:szCs w:val="18"/>
              </w:rPr>
              <w:t xml:space="preserve">Recall</w:t>
            </w:r>
          </w:p>
        </w:tc>
        <w:tc>
          <w:tcPr>
            <w:tcW w:w="3000" w:type="dxa"/>
          </w:tcPr>
          <w:p>
            <w:pPr>
              <w:spacing w:after="0"/>
            </w:pPr>
            <w:r>
              <w:rPr>
                <w:rFonts w:ascii="Arial" w:hAnsi="Arial" w:cs="Arial"/>
                <w:i w:val="0"/>
                <w:iCs w:val="0"/>
                <w:color w:val="000000"/>
                <w:sz w:val="18"/>
                <w:szCs w:val="18"/>
              </w:rPr>
              <w:t xml:space="preserve">Share of truly delinquent customers caught</w:t>
            </w:r>
          </w:p>
        </w:tc>
        <w:tc>
          <w:tcPr>
            <w:tcW w:w="4140" w:type="dxa"/>
          </w:tcPr>
          <w:p>
            <w:pPr>
              <w:spacing w:after="0"/>
            </w:pPr>
            <w:r>
              <w:rPr>
                <w:rFonts w:ascii="Arial" w:hAnsi="Arial" w:cs="Arial"/>
                <w:i w:val="0"/>
                <w:iCs w:val="0"/>
                <w:color w:val="000000"/>
                <w:sz w:val="18"/>
                <w:szCs w:val="18"/>
              </w:rPr>
              <w:t xml:space="preserve">Most important for Collections; missing a delinquent customer is costly</w:t>
            </w:r>
          </w:p>
        </w:tc>
      </w:tr>
      <w:tr>
        <w:trPr>
          <w:cantSplit/>
        </w:trPr>
        <w:tc>
          <w:tcPr>
            <w:tcW w:w="1500" w:type="dxa"/>
          </w:tcPr>
          <w:p>
            <w:pPr>
              <w:spacing w:after="0"/>
            </w:pPr>
            <w:r>
              <w:rPr>
                <w:rFonts w:ascii="Arial" w:hAnsi="Arial" w:cs="Arial"/>
                <w:i w:val="0"/>
                <w:iCs w:val="0"/>
                <w:color w:val="000000"/>
                <w:sz w:val="18"/>
                <w:szCs w:val="18"/>
              </w:rPr>
              <w:t xml:space="preserve">Precision</w:t>
            </w:r>
          </w:p>
        </w:tc>
        <w:tc>
          <w:tcPr>
            <w:tcW w:w="3000" w:type="dxa"/>
          </w:tcPr>
          <w:p>
            <w:pPr>
              <w:spacing w:after="0"/>
            </w:pPr>
            <w:r>
              <w:rPr>
                <w:rFonts w:ascii="Arial" w:hAnsi="Arial" w:cs="Arial"/>
                <w:i w:val="0"/>
                <w:iCs w:val="0"/>
                <w:color w:val="000000"/>
                <w:sz w:val="18"/>
                <w:szCs w:val="18"/>
              </w:rPr>
              <w:t xml:space="preserve">Share of flagged customers who are truly delinquent</w:t>
            </w:r>
          </w:p>
        </w:tc>
        <w:tc>
          <w:tcPr>
            <w:tcW w:w="4140" w:type="dxa"/>
          </w:tcPr>
          <w:p>
            <w:pPr>
              <w:spacing w:after="0"/>
            </w:pPr>
            <w:r>
              <w:rPr>
                <w:rFonts w:ascii="Arial" w:hAnsi="Arial" w:cs="Arial"/>
                <w:i w:val="0"/>
                <w:iCs w:val="0"/>
                <w:color w:val="000000"/>
                <w:sz w:val="18"/>
                <w:szCs w:val="18"/>
              </w:rPr>
              <w:t xml:space="preserve">Controls wasted outreach effort</w:t>
            </w:r>
          </w:p>
        </w:tc>
      </w:tr>
      <w:tr>
        <w:trPr>
          <w:cantSplit/>
        </w:trPr>
        <w:tc>
          <w:tcPr>
            <w:tcW w:w="1500" w:type="dxa"/>
          </w:tcPr>
          <w:p>
            <w:pPr>
              <w:spacing w:after="0"/>
            </w:pPr>
            <w:r>
              <w:rPr>
                <w:rFonts w:ascii="Arial" w:hAnsi="Arial" w:cs="Arial"/>
                <w:i w:val="0"/>
                <w:iCs w:val="0"/>
                <w:color w:val="000000"/>
                <w:sz w:val="18"/>
                <w:szCs w:val="18"/>
              </w:rPr>
              <w:t xml:space="preserve">F1 score</w:t>
            </w:r>
          </w:p>
        </w:tc>
        <w:tc>
          <w:tcPr>
            <w:tcW w:w="3000" w:type="dxa"/>
          </w:tcPr>
          <w:p>
            <w:pPr>
              <w:spacing w:after="0"/>
            </w:pPr>
            <w:r>
              <w:rPr>
                <w:rFonts w:ascii="Arial" w:hAnsi="Arial" w:cs="Arial"/>
                <w:i w:val="0"/>
                <w:iCs w:val="0"/>
                <w:color w:val="000000"/>
                <w:sz w:val="18"/>
                <w:szCs w:val="18"/>
              </w:rPr>
              <w:t xml:space="preserve">Balance of precision and recall</w:t>
            </w:r>
          </w:p>
        </w:tc>
        <w:tc>
          <w:tcPr>
            <w:tcW w:w="4140" w:type="dxa"/>
          </w:tcPr>
          <w:p>
            <w:pPr>
              <w:spacing w:after="0"/>
            </w:pPr>
            <w:r>
              <w:rPr>
                <w:rFonts w:ascii="Arial" w:hAnsi="Arial" w:cs="Arial"/>
                <w:i w:val="0"/>
                <w:iCs w:val="0"/>
                <w:color w:val="000000"/>
                <w:sz w:val="18"/>
                <w:szCs w:val="18"/>
              </w:rPr>
              <w:t xml:space="preserve">Main summary score for imbalanced data</w:t>
            </w:r>
          </w:p>
        </w:tc>
      </w:tr>
      <w:tr>
        <w:trPr>
          <w:cantSplit/>
        </w:trPr>
        <w:tc>
          <w:tcPr>
            <w:tcW w:w="1500" w:type="dxa"/>
          </w:tcPr>
          <w:p>
            <w:pPr>
              <w:spacing w:after="0"/>
            </w:pPr>
            <w:r>
              <w:rPr>
                <w:rFonts w:ascii="Arial" w:hAnsi="Arial" w:cs="Arial"/>
                <w:i w:val="0"/>
                <w:iCs w:val="0"/>
                <w:color w:val="000000"/>
                <w:sz w:val="18"/>
                <w:szCs w:val="18"/>
              </w:rPr>
              <w:t xml:space="preserve">ROC-AUC</w:t>
            </w:r>
          </w:p>
        </w:tc>
        <w:tc>
          <w:tcPr>
            <w:tcW w:w="3000" w:type="dxa"/>
          </w:tcPr>
          <w:p>
            <w:pPr>
              <w:spacing w:after="0"/>
            </w:pPr>
            <w:r>
              <w:rPr>
                <w:rFonts w:ascii="Arial" w:hAnsi="Arial" w:cs="Arial"/>
                <w:i w:val="0"/>
                <w:iCs w:val="0"/>
                <w:color w:val="000000"/>
                <w:sz w:val="18"/>
                <w:szCs w:val="18"/>
              </w:rPr>
              <w:t xml:space="preserve">Quality of risk ranking</w:t>
            </w:r>
          </w:p>
        </w:tc>
        <w:tc>
          <w:tcPr>
            <w:tcW w:w="4140" w:type="dxa"/>
          </w:tcPr>
          <w:p>
            <w:pPr>
              <w:spacing w:after="0"/>
            </w:pPr>
            <w:r>
              <w:rPr>
                <w:rFonts w:ascii="Arial" w:hAnsi="Arial" w:cs="Arial"/>
                <w:i w:val="0"/>
                <w:iCs w:val="0"/>
                <w:color w:val="000000"/>
                <w:sz w:val="18"/>
                <w:szCs w:val="18"/>
              </w:rPr>
              <w:t xml:space="preserve">0.5 = random; about 0.7 or above = usable; 0.8 or above = strong</w:t>
            </w:r>
          </w:p>
        </w:tc>
      </w:tr>
      <w:tr>
        <w:trPr>
          <w:cantSplit/>
        </w:trPr>
        <w:tc>
          <w:tcPr>
            <w:tcW w:w="1500" w:type="dxa"/>
          </w:tcPr>
          <w:p>
            <w:pPr>
              <w:spacing w:after="0"/>
            </w:pPr>
            <w:r>
              <w:rPr>
                <w:rFonts w:ascii="Arial" w:hAnsi="Arial" w:cs="Arial"/>
                <w:i w:val="0"/>
                <w:iCs w:val="0"/>
                <w:color w:val="000000"/>
                <w:sz w:val="18"/>
                <w:szCs w:val="18"/>
              </w:rPr>
              <w:t xml:space="preserve">Lift (top 20%)</w:t>
            </w:r>
          </w:p>
        </w:tc>
        <w:tc>
          <w:tcPr>
            <w:tcW w:w="3000" w:type="dxa"/>
          </w:tcPr>
          <w:p>
            <w:pPr>
              <w:spacing w:after="0"/>
            </w:pPr>
            <w:r>
              <w:rPr>
                <w:rFonts w:ascii="Arial" w:hAnsi="Arial" w:cs="Arial"/>
                <w:i w:val="0"/>
                <w:iCs w:val="0"/>
                <w:color w:val="000000"/>
                <w:sz w:val="18"/>
                <w:szCs w:val="18"/>
              </w:rPr>
              <w:t xml:space="preserve">Delinquency rate among highest-risk 20% vs average</w:t>
            </w:r>
          </w:p>
        </w:tc>
        <w:tc>
          <w:tcPr>
            <w:tcW w:w="4140" w:type="dxa"/>
          </w:tcPr>
          <w:p>
            <w:pPr>
              <w:spacing w:after="0"/>
            </w:pPr>
            <w:r>
              <w:rPr>
                <w:rFonts w:ascii="Arial" w:hAnsi="Arial" w:cs="Arial"/>
                <w:i w:val="0"/>
                <w:iCs w:val="0"/>
                <w:color w:val="000000"/>
                <w:sz w:val="18"/>
                <w:szCs w:val="18"/>
              </w:rPr>
              <w:t xml:space="preserve">Should be clearly above the 16% overall rate</w:t>
            </w:r>
          </w:p>
        </w:tc>
      </w:tr>
    </w:tbl>
    <w:p>
      <w:pPr>
        <w:spacing w:after="120"/>
      </w:pPr>
    </w:p>
    <w:p>
      <w:pPr>
        <w:spacing w:after="120"/>
      </w:pPr>
      <w:r>
        <w:rPr>
          <w:rFonts w:ascii="Arial" w:hAnsi="Arial" w:cs="Arial"/>
          <w:i w:val="0"/>
          <w:iCs w:val="0"/>
          <w:color w:val="000000"/>
        </w:rPr>
        <w:t xml:space="preserve">Reliability would be assessed with stratified 5-fold cross-validation, repeated with different random seeds, plus a held-out test set. Calibration would also be checked so that a predicted 30% risk corresponds to roughly 30% actual delinquency.</w:t>
      </w:r>
    </w:p>
    <w:p>
      <w:pPr>
        <w:keepNext/>
        <w:spacing w:after="80"/>
      </w:pPr>
      <w:r>
        <w:rPr>
          <w:rFonts w:ascii="Arial" w:hAnsi="Arial" w:cs="Arial"/>
          <w:b/>
          <w:bCs/>
          <w:i w:val="0"/>
          <w:iCs w:val="0"/>
          <w:color w:val="000000"/>
        </w:rPr>
        <w:t xml:space="preserve">Preliminary check on the provided dataset</w:t>
      </w:r>
    </w:p>
    <w:p>
      <w:pPr>
        <w:spacing w:after="120"/>
      </w:pPr>
      <w:r>
        <w:rPr>
          <w:rFonts w:ascii="Arial" w:hAnsi="Arial" w:cs="Arial"/>
          <w:i w:val="0"/>
          <w:iCs w:val="0"/>
          <w:color w:val="000000"/>
        </w:rPr>
        <w:t xml:space="preserve">A quick 5-fold cross-validation on the Task 1 data gave the results below.</w:t>
      </w:r>
    </w:p>
    <w:tbl>
      <w:tblPr>
        <w:tblW w:w="864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0" w:type="dxa"/>
          <w:left w:w="90" w:type="dxa"/>
          <w:bottom w:w="50" w:type="dxa"/>
          <w:right w:w="90" w:type="dxa"/>
        </w:tblCellMar>
      </w:tblPr>
      <w:tblGrid>
        <w:gridCol w:w="2800"/>
        <w:gridCol w:w="1200"/>
        <w:gridCol w:w="1500"/>
        <w:gridCol w:w="1500"/>
        <w:gridCol w:w="1640"/>
      </w:tblGrid>
      <w:tr>
        <w:trPr>
          <w:tblHeader/>
        </w:trPr>
        <w:tc>
          <w:tcPr>
            <w:tcW w:w="2800" w:type="dxa"/>
            <w:shd w:val="clear" w:color="auto" w:fill="D9E2F3"/>
          </w:tcPr>
          <w:p>
            <w:pPr>
              <w:spacing w:after="0"/>
            </w:pPr>
            <w:r>
              <w:rPr>
                <w:rFonts w:ascii="Arial" w:hAnsi="Arial" w:cs="Arial"/>
                <w:b/>
                <w:bCs/>
                <w:i w:val="0"/>
                <w:iCs w:val="0"/>
                <w:color w:val="000000"/>
                <w:sz w:val="18"/>
                <w:szCs w:val="18"/>
              </w:rPr>
              <w:t xml:space="preserve">Model</w:t>
            </w:r>
          </w:p>
        </w:tc>
        <w:tc>
          <w:tcPr>
            <w:tcW w:w="1200" w:type="dxa"/>
            <w:shd w:val="clear" w:color="auto" w:fill="D9E2F3"/>
          </w:tcPr>
          <w:p>
            <w:pPr>
              <w:spacing w:after="0"/>
            </w:pPr>
            <w:r>
              <w:rPr>
                <w:rFonts w:ascii="Arial" w:hAnsi="Arial" w:cs="Arial"/>
                <w:b/>
                <w:bCs/>
                <w:i w:val="0"/>
                <w:iCs w:val="0"/>
                <w:color w:val="000000"/>
                <w:sz w:val="18"/>
                <w:szCs w:val="18"/>
              </w:rPr>
              <w:t xml:space="preserve">AUC</w:t>
            </w:r>
          </w:p>
        </w:tc>
        <w:tc>
          <w:tcPr>
            <w:tcW w:w="1500" w:type="dxa"/>
            <w:shd w:val="clear" w:color="auto" w:fill="D9E2F3"/>
          </w:tcPr>
          <w:p>
            <w:pPr>
              <w:spacing w:after="0"/>
            </w:pPr>
            <w:r>
              <w:rPr>
                <w:rFonts w:ascii="Arial" w:hAnsi="Arial" w:cs="Arial"/>
                <w:b/>
                <w:bCs/>
                <w:i w:val="0"/>
                <w:iCs w:val="0"/>
                <w:color w:val="000000"/>
                <w:sz w:val="18"/>
                <w:szCs w:val="18"/>
              </w:rPr>
              <w:t xml:space="preserve">Recall</w:t>
            </w:r>
          </w:p>
        </w:tc>
        <w:tc>
          <w:tcPr>
            <w:tcW w:w="1500" w:type="dxa"/>
            <w:shd w:val="clear" w:color="auto" w:fill="D9E2F3"/>
          </w:tcPr>
          <w:p>
            <w:pPr>
              <w:spacing w:after="0"/>
            </w:pPr>
            <w:r>
              <w:rPr>
                <w:rFonts w:ascii="Arial" w:hAnsi="Arial" w:cs="Arial"/>
                <w:b/>
                <w:bCs/>
                <w:i w:val="0"/>
                <w:iCs w:val="0"/>
                <w:color w:val="000000"/>
                <w:sz w:val="18"/>
                <w:szCs w:val="18"/>
              </w:rPr>
              <w:t xml:space="preserve">Precision</w:t>
            </w:r>
          </w:p>
        </w:tc>
        <w:tc>
          <w:tcPr>
            <w:tcW w:w="1640" w:type="dxa"/>
            <w:shd w:val="clear" w:color="auto" w:fill="D9E2F3"/>
          </w:tcPr>
          <w:p>
            <w:pPr>
              <w:spacing w:after="0"/>
            </w:pPr>
            <w:r>
              <w:rPr>
                <w:rFonts w:ascii="Arial" w:hAnsi="Arial" w:cs="Arial"/>
                <w:b/>
                <w:bCs/>
                <w:i w:val="0"/>
                <w:iCs w:val="0"/>
                <w:color w:val="000000"/>
                <w:sz w:val="18"/>
                <w:szCs w:val="18"/>
              </w:rPr>
              <w:t xml:space="preserve">F1</w:t>
            </w:r>
          </w:p>
        </w:tc>
      </w:tr>
      <w:tr>
        <w:trPr>
          <w:cantSplit/>
        </w:trPr>
        <w:tc>
          <w:tcPr>
            <w:tcW w:w="2800" w:type="dxa"/>
          </w:tcPr>
          <w:p>
            <w:pPr>
              <w:spacing w:after="0"/>
            </w:pPr>
            <w:r>
              <w:rPr>
                <w:rFonts w:ascii="Arial" w:hAnsi="Arial" w:cs="Arial"/>
                <w:i w:val="0"/>
                <w:iCs w:val="0"/>
                <w:color w:val="000000"/>
                <w:sz w:val="18"/>
                <w:szCs w:val="18"/>
              </w:rPr>
              <w:t xml:space="preserve">Logistic regression</w:t>
            </w:r>
          </w:p>
        </w:tc>
        <w:tc>
          <w:tcPr>
            <w:tcW w:w="1200" w:type="dxa"/>
          </w:tcPr>
          <w:p>
            <w:pPr>
              <w:spacing w:after="0"/>
            </w:pPr>
            <w:r>
              <w:rPr>
                <w:rFonts w:ascii="Arial" w:hAnsi="Arial" w:cs="Arial"/>
                <w:i w:val="0"/>
                <w:iCs w:val="0"/>
                <w:color w:val="000000"/>
                <w:sz w:val="18"/>
                <w:szCs w:val="18"/>
              </w:rPr>
              <w:t xml:space="preserve">0.45</w:t>
            </w:r>
          </w:p>
        </w:tc>
        <w:tc>
          <w:tcPr>
            <w:tcW w:w="1500" w:type="dxa"/>
          </w:tcPr>
          <w:p>
            <w:pPr>
              <w:spacing w:after="0"/>
            </w:pPr>
            <w:r>
              <w:rPr>
                <w:rFonts w:ascii="Arial" w:hAnsi="Arial" w:cs="Arial"/>
                <w:i w:val="0"/>
                <w:iCs w:val="0"/>
                <w:color w:val="000000"/>
                <w:sz w:val="18"/>
                <w:szCs w:val="18"/>
              </w:rPr>
              <w:t xml:space="preserve">0.40</w:t>
            </w:r>
          </w:p>
        </w:tc>
        <w:tc>
          <w:tcPr>
            <w:tcW w:w="1500" w:type="dxa"/>
          </w:tcPr>
          <w:p>
            <w:pPr>
              <w:spacing w:after="0"/>
            </w:pPr>
            <w:r>
              <w:rPr>
                <w:rFonts w:ascii="Arial" w:hAnsi="Arial" w:cs="Arial"/>
                <w:i w:val="0"/>
                <w:iCs w:val="0"/>
                <w:color w:val="000000"/>
                <w:sz w:val="18"/>
                <w:szCs w:val="18"/>
              </w:rPr>
              <w:t xml:space="preserve">0.14</w:t>
            </w:r>
          </w:p>
        </w:tc>
        <w:tc>
          <w:tcPr>
            <w:tcW w:w="1640" w:type="dxa"/>
          </w:tcPr>
          <w:p>
            <w:pPr>
              <w:spacing w:after="0"/>
            </w:pPr>
            <w:r>
              <w:rPr>
                <w:rFonts w:ascii="Arial" w:hAnsi="Arial" w:cs="Arial"/>
                <w:i w:val="0"/>
                <w:iCs w:val="0"/>
                <w:color w:val="000000"/>
                <w:sz w:val="18"/>
                <w:szCs w:val="18"/>
              </w:rPr>
              <w:t xml:space="preserve">0.21</w:t>
            </w:r>
          </w:p>
        </w:tc>
      </w:tr>
      <w:tr>
        <w:trPr>
          <w:cantSplit/>
        </w:trPr>
        <w:tc>
          <w:tcPr>
            <w:tcW w:w="2800" w:type="dxa"/>
          </w:tcPr>
          <w:p>
            <w:pPr>
              <w:spacing w:after="0"/>
            </w:pPr>
            <w:r>
              <w:rPr>
                <w:rFonts w:ascii="Arial" w:hAnsi="Arial" w:cs="Arial"/>
                <w:i w:val="0"/>
                <w:iCs w:val="0"/>
                <w:color w:val="000000"/>
                <w:sz w:val="18"/>
                <w:szCs w:val="18"/>
              </w:rPr>
              <w:t xml:space="preserve">Decision tree (depth 3)</w:t>
            </w:r>
          </w:p>
        </w:tc>
        <w:tc>
          <w:tcPr>
            <w:tcW w:w="1200" w:type="dxa"/>
          </w:tcPr>
          <w:p>
            <w:pPr>
              <w:spacing w:after="0"/>
            </w:pPr>
            <w:r>
              <w:rPr>
                <w:rFonts w:ascii="Arial" w:hAnsi="Arial" w:cs="Arial"/>
                <w:i w:val="0"/>
                <w:iCs w:val="0"/>
                <w:color w:val="000000"/>
                <w:sz w:val="18"/>
                <w:szCs w:val="18"/>
              </w:rPr>
              <w:t xml:space="preserve">0.54</w:t>
            </w:r>
          </w:p>
        </w:tc>
        <w:tc>
          <w:tcPr>
            <w:tcW w:w="1500" w:type="dxa"/>
          </w:tcPr>
          <w:p>
            <w:pPr>
              <w:spacing w:after="0"/>
            </w:pPr>
            <w:r>
              <w:rPr>
                <w:rFonts w:ascii="Arial" w:hAnsi="Arial" w:cs="Arial"/>
                <w:i w:val="0"/>
                <w:iCs w:val="0"/>
                <w:color w:val="000000"/>
                <w:sz w:val="18"/>
                <w:szCs w:val="18"/>
              </w:rPr>
              <w:t xml:space="preserve">0.45</w:t>
            </w:r>
          </w:p>
        </w:tc>
        <w:tc>
          <w:tcPr>
            <w:tcW w:w="1500" w:type="dxa"/>
          </w:tcPr>
          <w:p>
            <w:pPr>
              <w:spacing w:after="0"/>
            </w:pPr>
            <w:r>
              <w:rPr>
                <w:rFonts w:ascii="Arial" w:hAnsi="Arial" w:cs="Arial"/>
                <w:i w:val="0"/>
                <w:iCs w:val="0"/>
                <w:color w:val="000000"/>
                <w:sz w:val="18"/>
                <w:szCs w:val="18"/>
              </w:rPr>
              <w:t xml:space="preserve">0.17</w:t>
            </w:r>
          </w:p>
        </w:tc>
        <w:tc>
          <w:tcPr>
            <w:tcW w:w="1640" w:type="dxa"/>
          </w:tcPr>
          <w:p>
            <w:pPr>
              <w:spacing w:after="0"/>
            </w:pPr>
            <w:r>
              <w:rPr>
                <w:rFonts w:ascii="Arial" w:hAnsi="Arial" w:cs="Arial"/>
                <w:i w:val="0"/>
                <w:iCs w:val="0"/>
                <w:color w:val="000000"/>
                <w:sz w:val="18"/>
                <w:szCs w:val="18"/>
              </w:rPr>
              <w:t xml:space="preserve">0.25</w:t>
            </w:r>
          </w:p>
        </w:tc>
      </w:tr>
    </w:tbl>
    <w:p>
      <w:pPr>
        <w:spacing w:after="120"/>
      </w:pPr>
    </w:p>
    <w:p>
      <w:pPr>
        <w:spacing w:after="120"/>
      </w:pPr>
      <w:r>
        <w:rPr>
          <w:rFonts w:ascii="Arial" w:hAnsi="Arial" w:cs="Arial"/>
          <w:i w:val="0"/>
          <w:iCs w:val="0"/>
          <w:color w:val="000000"/>
        </w:rPr>
        <w:t xml:space="preserve">Both models perform no better than random guessing (AUC about 0.5), and the top 20% highest-risk group had an 11% delinquency rate versus 16% overall. This matches the EDA finding that individual features have almost no relationship with delinquency (maximum correlation 0.045). The model would therefore not be ready for deployment, and improvement would be needed first: reconcile the Missed_Payments and monthly status fields (68 contradictions found), confirm the delinquency definition with Geldium, and add stronger signals such as longer payment history or recent credit activity. The difference between the two models is within noise for a sample of 500 customers.</w:t>
      </w:r>
    </w:p>
    <w:p>
      <w:pPr>
        <w:keepNext/>
        <w:spacing w:after="80"/>
      </w:pPr>
      <w:r>
        <w:rPr>
          <w:rFonts w:ascii="Arial" w:hAnsi="Arial" w:cs="Arial"/>
          <w:b/>
          <w:bCs/>
          <w:i w:val="0"/>
          <w:iCs w:val="0"/>
          <w:color w:val="000000"/>
        </w:rPr>
        <w:t xml:space="preserve">Bias detection and reduction</w:t>
      </w:r>
    </w:p>
    <w:p>
      <w:pPr>
        <w:spacing w:after="80"/>
      </w:pPr>
      <w:r>
        <w:rPr>
          <w:rFonts w:ascii="Arial" w:hAnsi="Arial" w:cs="Arial"/>
          <w:i w:val="0"/>
          <w:iCs w:val="0"/>
          <w:color w:val="000000"/>
        </w:rPr>
        <w:t xml:space="preserve">- </w:t>
      </w:r>
      <w:r>
        <w:rPr>
          <w:rFonts w:ascii="Arial" w:hAnsi="Arial" w:cs="Arial"/>
          <w:b/>
          <w:bCs/>
          <w:i w:val="0"/>
          <w:iCs w:val="0"/>
          <w:color w:val="000000"/>
        </w:rPr>
        <w:t xml:space="preserve">Excluded attributes: </w:t>
      </w:r>
      <w:r>
        <w:rPr>
          <w:rFonts w:ascii="Arial" w:hAnsi="Arial" w:cs="Arial"/>
          <w:i w:val="0"/>
          <w:iCs w:val="0"/>
          <w:color w:val="000000"/>
        </w:rPr>
        <w:t xml:space="preserve">Age and Location are not model inputs.</w:t>
      </w:r>
    </w:p>
    <w:p>
      <w:pPr>
        <w:spacing w:after="80"/>
      </w:pPr>
      <w:r>
        <w:rPr>
          <w:rFonts w:ascii="Arial" w:hAnsi="Arial" w:cs="Arial"/>
          <w:i w:val="0"/>
          <w:iCs w:val="0"/>
          <w:color w:val="000000"/>
        </w:rPr>
        <w:t xml:space="preserve">- </w:t>
      </w:r>
      <w:r>
        <w:rPr>
          <w:rFonts w:ascii="Arial" w:hAnsi="Arial" w:cs="Arial"/>
          <w:b/>
          <w:bCs/>
          <w:i w:val="0"/>
          <w:iCs w:val="0"/>
          <w:color w:val="000000"/>
        </w:rPr>
        <w:t xml:space="preserve">Group comparison: </w:t>
      </w:r>
      <w:r>
        <w:rPr>
          <w:rFonts w:ascii="Arial" w:hAnsi="Arial" w:cs="Arial"/>
          <w:i w:val="0"/>
          <w:iCs w:val="0"/>
          <w:color w:val="000000"/>
        </w:rPr>
        <w:t xml:space="preserve">compare recall, flag rate and AUC across age groups and locations. In the preliminary check, recall ranged from 33% to 47% across age groups and locations, which would need review with a larger sample. A gap of about 10 percentage points or more triggers mitigation.</w:t>
      </w:r>
    </w:p>
    <w:p>
      <w:pPr>
        <w:spacing w:after="80"/>
      </w:pPr>
      <w:r>
        <w:rPr>
          <w:rFonts w:ascii="Arial" w:hAnsi="Arial" w:cs="Arial"/>
          <w:i w:val="0"/>
          <w:iCs w:val="0"/>
          <w:color w:val="000000"/>
        </w:rPr>
        <w:t xml:space="preserve">- </w:t>
      </w:r>
      <w:r>
        <w:rPr>
          <w:rFonts w:ascii="Arial" w:hAnsi="Arial" w:cs="Arial"/>
          <w:b/>
          <w:bCs/>
          <w:i w:val="0"/>
          <w:iCs w:val="0"/>
          <w:color w:val="000000"/>
        </w:rPr>
        <w:t xml:space="preserve">Proxy check: </w:t>
      </w:r>
      <w:r>
        <w:rPr>
          <w:rFonts w:ascii="Arial" w:hAnsi="Arial" w:cs="Arial"/>
          <w:i w:val="0"/>
          <w:iCs w:val="0"/>
          <w:color w:val="000000"/>
        </w:rPr>
        <w:t xml:space="preserve">test whether remaining features (for example Credit_Card_Type or Employment_Status) act as proxies for protected groups.</w:t>
      </w:r>
    </w:p>
    <w:p>
      <w:pPr>
        <w:spacing w:after="80"/>
      </w:pPr>
      <w:r>
        <w:rPr>
          <w:rFonts w:ascii="Arial" w:hAnsi="Arial" w:cs="Arial"/>
          <w:i w:val="0"/>
          <w:iCs w:val="0"/>
          <w:color w:val="000000"/>
        </w:rPr>
        <w:t xml:space="preserve">- </w:t>
      </w:r>
      <w:r>
        <w:rPr>
          <w:rFonts w:ascii="Arial" w:hAnsi="Arial" w:cs="Arial"/>
          <w:b/>
          <w:bCs/>
          <w:i w:val="0"/>
          <w:iCs w:val="0"/>
          <w:color w:val="000000"/>
        </w:rPr>
        <w:t xml:space="preserve">Mitigation options: </w:t>
      </w:r>
      <w:r>
        <w:rPr>
          <w:rFonts w:ascii="Arial" w:hAnsi="Arial" w:cs="Arial"/>
          <w:i w:val="0"/>
          <w:iCs w:val="0"/>
          <w:color w:val="000000"/>
        </w:rPr>
        <w:t xml:space="preserve">reweighting training data, group-aware threshold review, removing proxy features, and periodic re-testing.</w:t>
      </w:r>
    </w:p>
    <w:p>
      <w:pPr>
        <w:keepNext/>
        <w:spacing w:after="80"/>
      </w:pPr>
      <w:r>
        <w:rPr>
          <w:rFonts w:ascii="Arial" w:hAnsi="Arial" w:cs="Arial"/>
          <w:b/>
          <w:bCs/>
          <w:i w:val="0"/>
          <w:iCs w:val="0"/>
          <w:color w:val="000000"/>
        </w:rPr>
        <w:t xml:space="preserve">Ethical considerations</w:t>
      </w:r>
    </w:p>
    <w:p>
      <w:pPr>
        <w:spacing w:after="80"/>
      </w:pPr>
      <w:r>
        <w:rPr>
          <w:rFonts w:ascii="Arial" w:hAnsi="Arial" w:cs="Arial"/>
          <w:i w:val="0"/>
          <w:iCs w:val="0"/>
          <w:color w:val="000000"/>
        </w:rPr>
        <w:t xml:space="preserve">- </w:t>
      </w:r>
      <w:r>
        <w:rPr>
          <w:rFonts w:ascii="Arial" w:hAnsi="Arial" w:cs="Arial"/>
          <w:b/>
          <w:bCs/>
          <w:i w:val="0"/>
          <w:iCs w:val="0"/>
          <w:color w:val="000000"/>
        </w:rPr>
        <w:t xml:space="preserve">Human oversight: </w:t>
      </w:r>
      <w:r>
        <w:rPr>
          <w:rFonts w:ascii="Arial" w:hAnsi="Arial" w:cs="Arial"/>
          <w:i w:val="0"/>
          <w:iCs w:val="0"/>
          <w:color w:val="000000"/>
        </w:rPr>
        <w:t xml:space="preserve">the score supports Collections decisions; it does not automatically penalize customers.</w:t>
      </w:r>
    </w:p>
    <w:p>
      <w:pPr>
        <w:spacing w:after="80"/>
      </w:pPr>
      <w:r>
        <w:rPr>
          <w:rFonts w:ascii="Arial" w:hAnsi="Arial" w:cs="Arial"/>
          <w:i w:val="0"/>
          <w:iCs w:val="0"/>
          <w:color w:val="000000"/>
        </w:rPr>
        <w:t xml:space="preserve">- </w:t>
      </w:r>
      <w:r>
        <w:rPr>
          <w:rFonts w:ascii="Arial" w:hAnsi="Arial" w:cs="Arial"/>
          <w:b/>
          <w:bCs/>
          <w:i w:val="0"/>
          <w:iCs w:val="0"/>
          <w:color w:val="000000"/>
        </w:rPr>
        <w:t xml:space="preserve">Supportive interventions: </w:t>
      </w:r>
      <w:r>
        <w:rPr>
          <w:rFonts w:ascii="Arial" w:hAnsi="Arial" w:cs="Arial"/>
          <w:i w:val="0"/>
          <w:iCs w:val="0"/>
          <w:color w:val="000000"/>
        </w:rPr>
        <w:t xml:space="preserve">use risk tiers for early reminders, payment plans and outreach, not for punitive actions such as rate increases.</w:t>
      </w:r>
    </w:p>
    <w:p>
      <w:pPr>
        <w:spacing w:after="80"/>
      </w:pPr>
      <w:r>
        <w:rPr>
          <w:rFonts w:ascii="Arial" w:hAnsi="Arial" w:cs="Arial"/>
          <w:i w:val="0"/>
          <w:iCs w:val="0"/>
          <w:color w:val="000000"/>
        </w:rPr>
        <w:t xml:space="preserve">- </w:t>
      </w:r>
      <w:r>
        <w:rPr>
          <w:rFonts w:ascii="Arial" w:hAnsi="Arial" w:cs="Arial"/>
          <w:b/>
          <w:bCs/>
          <w:i w:val="0"/>
          <w:iCs w:val="0"/>
          <w:color w:val="000000"/>
        </w:rPr>
        <w:t xml:space="preserve">Explainability: </w:t>
      </w:r>
      <w:r>
        <w:rPr>
          <w:rFonts w:ascii="Arial" w:hAnsi="Arial" w:cs="Arial"/>
          <w:i w:val="0"/>
          <w:iCs w:val="0"/>
          <w:color w:val="000000"/>
        </w:rPr>
        <w:t xml:space="preserve">provide the top factors behind each score so decisions can be reviewed and explained.</w:t>
      </w:r>
    </w:p>
    <w:p>
      <w:pPr>
        <w:spacing w:after="80"/>
      </w:pPr>
      <w:r>
        <w:rPr>
          <w:rFonts w:ascii="Arial" w:hAnsi="Arial" w:cs="Arial"/>
          <w:i w:val="0"/>
          <w:iCs w:val="0"/>
          <w:color w:val="000000"/>
        </w:rPr>
        <w:t xml:space="preserve">- </w:t>
      </w:r>
      <w:r>
        <w:rPr>
          <w:rFonts w:ascii="Arial" w:hAnsi="Arial" w:cs="Arial"/>
          <w:b/>
          <w:bCs/>
          <w:i w:val="0"/>
          <w:iCs w:val="0"/>
          <w:color w:val="000000"/>
        </w:rPr>
        <w:t xml:space="preserve">Privacy: </w:t>
      </w:r>
      <w:r>
        <w:rPr>
          <w:rFonts w:ascii="Arial" w:hAnsi="Arial" w:cs="Arial"/>
          <w:i w:val="0"/>
          <w:iCs w:val="0"/>
          <w:color w:val="000000"/>
        </w:rPr>
        <w:t xml:space="preserve">use only necessary data, protect customer information, and share only aggregated data with GenAI tools.</w:t>
      </w:r>
    </w:p>
    <w:p>
      <w:pPr>
        <w:spacing w:after="80"/>
      </w:pPr>
      <w:r>
        <w:rPr>
          <w:rFonts w:ascii="Arial" w:hAnsi="Arial" w:cs="Arial"/>
          <w:i w:val="0"/>
          <w:iCs w:val="0"/>
          <w:color w:val="000000"/>
        </w:rPr>
        <w:t xml:space="preserve">- </w:t>
      </w:r>
      <w:r>
        <w:rPr>
          <w:rFonts w:ascii="Arial" w:hAnsi="Arial" w:cs="Arial"/>
          <w:b/>
          <w:bCs/>
          <w:i w:val="0"/>
          <w:iCs w:val="0"/>
          <w:color w:val="000000"/>
        </w:rPr>
        <w:t xml:space="preserve">Monitoring: </w:t>
      </w:r>
      <w:r>
        <w:rPr>
          <w:rFonts w:ascii="Arial" w:hAnsi="Arial" w:cs="Arial"/>
          <w:i w:val="0"/>
          <w:iCs w:val="0"/>
          <w:color w:val="000000"/>
        </w:rPr>
        <w:t xml:space="preserve">track performance and fairness regularly, and retrain when data or customer behavior changes.</w:t>
      </w:r>
    </w:p>
    <w:sectPr w:rsidR="004B5529" w:rsidRPr="00E311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93FDF" w14:textId="77777777" w:rsidR="00E31114" w:rsidRDefault="00E31114" w:rsidP="00E31114">
      <w:pPr>
        <w:spacing w:after="0" w:line="240" w:lineRule="auto"/>
      </w:pPr>
      <w:r>
        <w:separator/>
      </w:r>
    </w:p>
  </w:endnote>
  <w:endnote w:type="continuationSeparator" w:id="0">
    <w:p w14:paraId="45D9DEED" w14:textId="77777777" w:rsidR="00E31114" w:rsidRDefault="00E31114"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6222F" w14:textId="77777777" w:rsidR="00E31114" w:rsidRDefault="00E31114" w:rsidP="00E31114">
      <w:pPr>
        <w:spacing w:after="0" w:line="240" w:lineRule="auto"/>
      </w:pPr>
      <w:r>
        <w:separator/>
      </w:r>
    </w:p>
  </w:footnote>
  <w:footnote w:type="continuationSeparator" w:id="0">
    <w:p w14:paraId="5357F110" w14:textId="77777777" w:rsidR="00E31114" w:rsidRDefault="00E31114"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5529"/>
    <w:rsid w:val="008237CA"/>
    <w:rsid w:val="00AA1D8D"/>
    <w:rsid w:val="00B47730"/>
    <w:rsid w:val="00CB0664"/>
    <w:rsid w:val="00E31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Tammy</cp:lastModifiedBy>
  <cp:revision>2</cp:revision>
  <dcterms:created xsi:type="dcterms:W3CDTF">2013-12-23T23:15:00Z</dcterms:created>
  <dcterms:modified xsi:type="dcterms:W3CDTF">2025-03-21T17:26:00Z</dcterms:modified>
  <cp:category/>
</cp:coreProperties>
</file>