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3A6" w14:textId="77777777" w:rsidR="007D72C2" w:rsidRPr="00A537D1" w:rsidRDefault="00A537D1">
      <w:pPr>
        <w:pStyle w:val="Title"/>
        <w:jc w:val="center"/>
        <w:rPr>
          <w:rFonts w:ascii="Arial" w:hAnsi="Arial" w:cs="Arial"/>
          <w:color w:val="000000" w:themeColor="text1"/>
        </w:rPr>
      </w:pPr>
      <w:r w:rsidRPr="00A537D1">
        <w:rPr>
          <w:rFonts w:ascii="Arial" w:hAnsi="Arial" w:cs="Arial"/>
          <w:color w:val="000000" w:themeColor="text1"/>
        </w:rPr>
        <w:t>Business Summary Report: Predictive Insights for Collections Strategy</w:t>
      </w:r>
    </w:p>
    <w:p>
      <w:pPr>
        <w:spacing w:after="40" w:line="247" w:lineRule="auto"/>
      </w:pPr>
      <w:r>
        <w:rPr>
          <w:rFonts w:ascii="Arial" w:hAnsi="Arial" w:cs="Arial"/>
          <w:i/>
          <w:iCs/>
          <w:color w:val="000000"/>
          <w:sz w:val="21"/>
          <w:szCs w:val="21"/>
        </w:rPr>
        <w:t xml:space="preserve">For: Head of Collections, Geldium  |  Prepared by: Apoorv Bajpai, AI Transformation Consultant, Tata iQ</w:t>
      </w:r>
    </w:p>
    <w:p>
      <w:pPr>
        <w:pStyle w:val="Heading1"/>
        <w:spacing w:before="160" w:after="60"/>
        <w:rPr>
          <w:rFonts w:ascii="Arial" w:hAnsi="Arial" w:cs="Arial"/>
          <w:color w:val="000000" w:themeColor="text1"/>
        </w:rPr>
      </w:pPr>
      <w:r>
        <w:rPr>
          <w:rFonts w:ascii="Arial" w:hAnsi="Arial" w:cs="Arial"/>
          <w:color w:val="000000" w:themeColor="text1"/>
        </w:rPr>
        <w:t>1. Summary of Predictive Insights</w:t>
      </w:r>
    </w:p>
    <w:p>
      <w:pPr>
        <w:spacing w:after="60" w:line="247" w:lineRule="auto"/>
      </w:pPr>
      <w:r>
        <w:rPr>
          <w:rFonts w:ascii="Arial" w:hAnsi="Arial" w:cs="Arial"/>
          <w:i w:val="0"/>
          <w:iCs w:val="0"/>
          <w:color w:val="000000"/>
          <w:sz w:val="21"/>
          <w:szCs w:val="21"/>
        </w:rPr>
        <w:t xml:space="preserve">Of the 500 customers analysed, 16% (80) are delinquent. Patterns below come from our exploratory analysis (Task 1) and model framework (Task 2). A preliminary test of the logistic regression model performed no better than chance, and no factor below is statistically significant, so these are directional signals to test, not proven drivers.</w:t>
      </w:r>
    </w:p>
    <w:p>
      <w:pPr>
        <w:keepNext/>
        <w:spacing w:after="30" w:line="247" w:lineRule="auto"/>
      </w:pPr>
      <w:r>
        <w:rPr>
          <w:rFonts w:ascii="Arial" w:hAnsi="Arial" w:cs="Arial"/>
          <w:b/>
          <w:bCs/>
          <w:i w:val="0"/>
          <w:iCs w:val="0"/>
          <w:color w:val="000000"/>
          <w:sz w:val="21"/>
          <w:szCs w:val="21"/>
        </w:rPr>
        <w:t xml:space="preserve">Top 3 Risk Factors</w:t>
      </w:r>
    </w:p>
    <w:p>
      <w:pPr>
        <w:spacing w:after="40" w:line="247" w:lineRule="auto"/>
      </w:pPr>
      <w:r>
        <w:rPr>
          <w:rFonts w:ascii="Arial" w:hAnsi="Arial" w:cs="Arial"/>
          <w:i w:val="0"/>
          <w:iCs w:val="0"/>
          <w:color w:val="000000"/>
          <w:sz w:val="21"/>
          <w:szCs w:val="21"/>
        </w:rPr>
        <w:t xml:space="preserve">- </w:t>
      </w:r>
      <w:r>
        <w:rPr>
          <w:rFonts w:ascii="Arial" w:hAnsi="Arial" w:cs="Arial"/>
          <w:b/>
          <w:bCs/>
          <w:i w:val="0"/>
          <w:iCs w:val="0"/>
          <w:color w:val="000000"/>
          <w:sz w:val="21"/>
          <w:szCs w:val="21"/>
        </w:rPr>
        <w:t xml:space="preserve">Credit utilization: </w:t>
      </w:r>
      <w:r>
        <w:rPr>
          <w:rFonts w:ascii="Arial" w:hAnsi="Arial" w:cs="Arial"/>
          <w:i w:val="0"/>
          <w:iCs w:val="0"/>
          <w:color w:val="000000"/>
          <w:sz w:val="21"/>
          <w:szCs w:val="21"/>
        </w:rPr>
        <w:t xml:space="preserve">delinquency rises from 12% (under 30% utilization) to 20% (70-90%).</w:t>
      </w:r>
    </w:p>
    <w:p>
      <w:pPr>
        <w:spacing w:after="40" w:line="247" w:lineRule="auto"/>
      </w:pPr>
      <w:r>
        <w:rPr>
          <w:rFonts w:ascii="Arial" w:hAnsi="Arial" w:cs="Arial"/>
          <w:i w:val="0"/>
          <w:iCs w:val="0"/>
          <w:color w:val="000000"/>
          <w:sz w:val="21"/>
          <w:szCs w:val="21"/>
        </w:rPr>
        <w:t xml:space="preserve">- </w:t>
      </w:r>
      <w:r>
        <w:rPr>
          <w:rFonts w:ascii="Arial" w:hAnsi="Arial" w:cs="Arial"/>
          <w:b/>
          <w:bCs/>
          <w:i w:val="0"/>
          <w:iCs w:val="0"/>
          <w:color w:val="000000"/>
          <w:sz w:val="21"/>
          <w:szCs w:val="21"/>
        </w:rPr>
        <w:t xml:space="preserve">Credit card type: </w:t>
      </w:r>
      <w:r>
        <w:rPr>
          <w:rFonts w:ascii="Arial" w:hAnsi="Arial" w:cs="Arial"/>
          <w:i w:val="0"/>
          <w:iCs w:val="0"/>
          <w:color w:val="000000"/>
          <w:sz w:val="21"/>
          <w:szCs w:val="21"/>
        </w:rPr>
        <w:t xml:space="preserve">Business card holders 21.3% vs Platinum 11.8%.</w:t>
      </w:r>
    </w:p>
    <w:p>
      <w:pPr>
        <w:spacing w:after="80" w:line="247" w:lineRule="auto"/>
      </w:pPr>
      <w:r>
        <w:rPr>
          <w:rFonts w:ascii="Arial" w:hAnsi="Arial" w:cs="Arial"/>
          <w:i w:val="0"/>
          <w:iCs w:val="0"/>
          <w:color w:val="000000"/>
          <w:sz w:val="21"/>
          <w:szCs w:val="21"/>
        </w:rPr>
        <w:t xml:space="preserve">- </w:t>
      </w:r>
      <w:r>
        <w:rPr>
          <w:rFonts w:ascii="Arial" w:hAnsi="Arial" w:cs="Arial"/>
          <w:b/>
          <w:bCs/>
          <w:i w:val="0"/>
          <w:iCs w:val="0"/>
          <w:color w:val="000000"/>
          <w:sz w:val="21"/>
          <w:szCs w:val="21"/>
        </w:rPr>
        <w:t xml:space="preserve">Employment status: </w:t>
      </w:r>
      <w:r>
        <w:rPr>
          <w:rFonts w:ascii="Arial" w:hAnsi="Arial" w:cs="Arial"/>
          <w:i w:val="0"/>
          <w:iCs w:val="0"/>
          <w:color w:val="000000"/>
          <w:sz w:val="21"/>
          <w:szCs w:val="21"/>
        </w:rPr>
        <w:t xml:space="preserve">Unemployed customers 19.4% vs Retired 11.5%.</w:t>
      </w:r>
    </w:p>
    <w:tbl>
      <w:tblPr>
        <w:tblW w:w="86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30" w:type="dxa"/>
          <w:left w:w="70" w:type="dxa"/>
          <w:bottom w:w="30" w:type="dxa"/>
          <w:right w:w="70" w:type="dxa"/>
        </w:tblCellMar>
      </w:tblPr>
      <w:tblGrid>
        <w:gridCol w:w="1900"/>
        <w:gridCol w:w="1700"/>
        <w:gridCol w:w="2000"/>
        <w:gridCol w:w="3040"/>
      </w:tblGrid>
      <w:tr>
        <w:trPr>
          <w:cantSplit/>
        </w:trPr>
        <w:tc>
          <w:tcPr>
            <w:tcW w:w="1900" w:type="dxa"/>
            <w:shd w:val="clear" w:color="auto" w:fill="D9E2F3"/>
          </w:tcPr>
          <w:p>
            <w:pPr>
              <w:spacing w:after="0"/>
            </w:pPr>
            <w:r>
              <w:rPr>
                <w:rFonts w:ascii="Arial" w:hAnsi="Arial" w:cs="Arial"/>
                <w:b/>
                <w:bCs/>
                <w:i w:val="0"/>
                <w:iCs w:val="0"/>
                <w:color w:val="000000"/>
                <w:sz w:val="18"/>
                <w:szCs w:val="18"/>
              </w:rPr>
              <w:t xml:space="preserve">Key Insight</w:t>
            </w:r>
          </w:p>
        </w:tc>
        <w:tc>
          <w:tcPr>
            <w:tcW w:w="1700" w:type="dxa"/>
            <w:shd w:val="clear" w:color="auto" w:fill="D9E2F3"/>
          </w:tcPr>
          <w:p>
            <w:pPr>
              <w:spacing w:after="0"/>
            </w:pPr>
            <w:r>
              <w:rPr>
                <w:rFonts w:ascii="Arial" w:hAnsi="Arial" w:cs="Arial"/>
                <w:b/>
                <w:bCs/>
                <w:i w:val="0"/>
                <w:iCs w:val="0"/>
                <w:color w:val="000000"/>
                <w:sz w:val="18"/>
                <w:szCs w:val="18"/>
              </w:rPr>
              <w:t xml:space="preserve">Customer Segment</w:t>
            </w:r>
          </w:p>
        </w:tc>
        <w:tc>
          <w:tcPr>
            <w:tcW w:w="2000" w:type="dxa"/>
            <w:shd w:val="clear" w:color="auto" w:fill="D9E2F3"/>
          </w:tcPr>
          <w:p>
            <w:pPr>
              <w:spacing w:after="0"/>
            </w:pPr>
            <w:r>
              <w:rPr>
                <w:rFonts w:ascii="Arial" w:hAnsi="Arial" w:cs="Arial"/>
                <w:b/>
                <w:bCs/>
                <w:i w:val="0"/>
                <w:iCs w:val="0"/>
                <w:color w:val="000000"/>
                <w:sz w:val="18"/>
                <w:szCs w:val="18"/>
              </w:rPr>
              <w:t xml:space="preserve">Influencing Variables</w:t>
            </w:r>
          </w:p>
        </w:tc>
        <w:tc>
          <w:tcPr>
            <w:tcW w:w="3040" w:type="dxa"/>
            <w:shd w:val="clear" w:color="auto" w:fill="D9E2F3"/>
          </w:tcPr>
          <w:p>
            <w:pPr>
              <w:spacing w:after="0"/>
            </w:pPr>
            <w:r>
              <w:rPr>
                <w:rFonts w:ascii="Arial" w:hAnsi="Arial" w:cs="Arial"/>
                <w:b/>
                <w:bCs/>
                <w:i w:val="0"/>
                <w:iCs w:val="0"/>
                <w:color w:val="000000"/>
                <w:sz w:val="18"/>
                <w:szCs w:val="18"/>
              </w:rPr>
              <w:t xml:space="preserve">Potential Impact</w:t>
            </w:r>
          </w:p>
        </w:tc>
      </w:tr>
      <w:tr>
        <w:trPr>
          <w:cantSplit/>
        </w:trPr>
        <w:tc>
          <w:tcPr>
            <w:tcW w:w="1900" w:type="dxa"/>
          </w:tcPr>
          <w:p>
            <w:pPr>
              <w:spacing w:after="0"/>
            </w:pPr>
            <w:r>
              <w:rPr>
                <w:rFonts w:ascii="Arial" w:hAnsi="Arial" w:cs="Arial"/>
                <w:i w:val="0"/>
                <w:iCs w:val="0"/>
                <w:color w:val="000000"/>
                <w:sz w:val="18"/>
                <w:szCs w:val="18"/>
              </w:rPr>
              <w:t xml:space="preserve">Delinquency rises steadily as utilization increases</w:t>
            </w:r>
          </w:p>
        </w:tc>
        <w:tc>
          <w:tcPr>
            <w:tcW w:w="1700" w:type="dxa"/>
          </w:tcPr>
          <w:p>
            <w:pPr>
              <w:spacing w:after="0"/>
            </w:pPr>
            <w:r>
              <w:rPr>
                <w:rFonts w:ascii="Arial" w:hAnsi="Arial" w:cs="Arial"/>
                <w:i w:val="0"/>
                <w:iCs w:val="0"/>
                <w:color w:val="000000"/>
                <w:sz w:val="18"/>
                <w:szCs w:val="18"/>
              </w:rPr>
              <w:t xml:space="preserve">Higher-utilization customers (above 50%)</w:t>
            </w:r>
          </w:p>
        </w:tc>
        <w:tc>
          <w:tcPr>
            <w:tcW w:w="2000" w:type="dxa"/>
          </w:tcPr>
          <w:p>
            <w:pPr>
              <w:spacing w:after="0"/>
            </w:pPr>
            <w:r>
              <w:rPr>
                <w:rFonts w:ascii="Arial" w:hAnsi="Arial" w:cs="Arial"/>
                <w:i w:val="0"/>
                <w:iCs w:val="0"/>
                <w:color w:val="000000"/>
                <w:sz w:val="18"/>
                <w:szCs w:val="18"/>
              </w:rPr>
              <w:t xml:space="preserve">Credit_Utilization</w:t>
            </w:r>
          </w:p>
        </w:tc>
        <w:tc>
          <w:tcPr>
            <w:tcW w:w="3040" w:type="dxa"/>
          </w:tcPr>
          <w:p>
            <w:pPr>
              <w:spacing w:after="0"/>
            </w:pPr>
            <w:r>
              <w:rPr>
                <w:rFonts w:ascii="Arial" w:hAnsi="Arial" w:cs="Arial"/>
                <w:i w:val="0"/>
                <w:iCs w:val="0"/>
                <w:color w:val="000000"/>
                <w:sz w:val="18"/>
                <w:szCs w:val="18"/>
              </w:rPr>
              <w:t xml:space="preserve">Target early outreach and payment-plan offers at this group</w:t>
            </w:r>
          </w:p>
        </w:tc>
      </w:tr>
      <w:tr>
        <w:trPr>
          <w:cantSplit/>
        </w:trPr>
        <w:tc>
          <w:tcPr>
            <w:tcW w:w="1900" w:type="dxa"/>
          </w:tcPr>
          <w:p>
            <w:pPr>
              <w:spacing w:after="0"/>
            </w:pPr>
            <w:r>
              <w:rPr>
                <w:rFonts w:ascii="Arial" w:hAnsi="Arial" w:cs="Arial"/>
                <w:i w:val="0"/>
                <w:iCs w:val="0"/>
                <w:color w:val="000000"/>
                <w:sz w:val="18"/>
                <w:szCs w:val="18"/>
              </w:rPr>
              <w:t xml:space="preserve">Business card holders show the highest rate</w:t>
            </w:r>
          </w:p>
        </w:tc>
        <w:tc>
          <w:tcPr>
            <w:tcW w:w="1700" w:type="dxa"/>
          </w:tcPr>
          <w:p>
            <w:pPr>
              <w:spacing w:after="0"/>
            </w:pPr>
            <w:r>
              <w:rPr>
                <w:rFonts w:ascii="Arial" w:hAnsi="Arial" w:cs="Arial"/>
                <w:i w:val="0"/>
                <w:iCs w:val="0"/>
                <w:color w:val="000000"/>
                <w:sz w:val="18"/>
                <w:szCs w:val="18"/>
              </w:rPr>
              <w:t xml:space="preserve">Business card holders (108)</w:t>
            </w:r>
          </w:p>
        </w:tc>
        <w:tc>
          <w:tcPr>
            <w:tcW w:w="2000" w:type="dxa"/>
          </w:tcPr>
          <w:p>
            <w:pPr>
              <w:spacing w:after="0"/>
            </w:pPr>
            <w:r>
              <w:rPr>
                <w:rFonts w:ascii="Arial" w:hAnsi="Arial" w:cs="Arial"/>
                <w:i w:val="0"/>
                <w:iCs w:val="0"/>
                <w:color w:val="000000"/>
                <w:sz w:val="18"/>
                <w:szCs w:val="18"/>
              </w:rPr>
              <w:t xml:space="preserve">Credit_Card_Type</w:t>
            </w:r>
          </w:p>
        </w:tc>
        <w:tc>
          <w:tcPr>
            <w:tcW w:w="3040" w:type="dxa"/>
          </w:tcPr>
          <w:p>
            <w:pPr>
              <w:spacing w:after="0"/>
            </w:pPr>
            <w:r>
              <w:rPr>
                <w:rFonts w:ascii="Arial" w:hAnsi="Arial" w:cs="Arial"/>
                <w:i w:val="0"/>
                <w:iCs w:val="0"/>
                <w:color w:val="000000"/>
                <w:sz w:val="18"/>
                <w:szCs w:val="18"/>
              </w:rPr>
              <w:t xml:space="preserve">Review whether this product needs different support</w:t>
            </w:r>
          </w:p>
        </w:tc>
      </w:tr>
      <w:tr>
        <w:trPr>
          <w:cantSplit/>
        </w:trPr>
        <w:tc>
          <w:tcPr>
            <w:tcW w:w="1900" w:type="dxa"/>
          </w:tcPr>
          <w:p>
            <w:pPr>
              <w:spacing w:after="0"/>
            </w:pPr>
            <w:r>
              <w:rPr>
                <w:rFonts w:ascii="Arial" w:hAnsi="Arial" w:cs="Arial"/>
                <w:i w:val="0"/>
                <w:iCs w:val="0"/>
                <w:color w:val="000000"/>
                <w:sz w:val="18"/>
                <w:szCs w:val="18"/>
              </w:rPr>
              <w:t xml:space="preserve">Unemployed customers show above-average rate</w:t>
            </w:r>
          </w:p>
        </w:tc>
        <w:tc>
          <w:tcPr>
            <w:tcW w:w="1700" w:type="dxa"/>
          </w:tcPr>
          <w:p>
            <w:pPr>
              <w:spacing w:after="0"/>
            </w:pPr>
            <w:r>
              <w:rPr>
                <w:rFonts w:ascii="Arial" w:hAnsi="Arial" w:cs="Arial"/>
                <w:i w:val="0"/>
                <w:iCs w:val="0"/>
                <w:color w:val="000000"/>
                <w:sz w:val="18"/>
                <w:szCs w:val="18"/>
              </w:rPr>
              <w:t xml:space="preserve">Unemployed customers (93)</w:t>
            </w:r>
          </w:p>
        </w:tc>
        <w:tc>
          <w:tcPr>
            <w:tcW w:w="2000" w:type="dxa"/>
          </w:tcPr>
          <w:p>
            <w:pPr>
              <w:spacing w:after="0"/>
            </w:pPr>
            <w:r>
              <w:rPr>
                <w:rFonts w:ascii="Arial" w:hAnsi="Arial" w:cs="Arial"/>
                <w:i w:val="0"/>
                <w:iCs w:val="0"/>
                <w:color w:val="000000"/>
                <w:sz w:val="18"/>
                <w:szCs w:val="18"/>
              </w:rPr>
              <w:t xml:space="preserve">Employment_Status, Income</w:t>
            </w:r>
          </w:p>
        </w:tc>
        <w:tc>
          <w:tcPr>
            <w:tcW w:w="3040" w:type="dxa"/>
          </w:tcPr>
          <w:p>
            <w:pPr>
              <w:spacing w:after="0"/>
            </w:pPr>
            <w:r>
              <w:rPr>
                <w:rFonts w:ascii="Arial" w:hAnsi="Arial" w:cs="Arial"/>
                <w:i w:val="0"/>
                <w:iCs w:val="0"/>
                <w:color w:val="000000"/>
                <w:sz w:val="18"/>
                <w:szCs w:val="18"/>
              </w:rPr>
              <w:t xml:space="preserve">Offer hardship support; monitor for fairness</w:t>
            </w:r>
          </w:p>
        </w:tc>
      </w:tr>
      <w:tr>
        <w:trPr>
          <w:cantSplit/>
        </w:trPr>
        <w:tc>
          <w:tcPr>
            <w:tcW w:w="1900" w:type="dxa"/>
          </w:tcPr>
          <w:p>
            <w:pPr>
              <w:spacing w:after="0"/>
            </w:pPr>
            <w:r>
              <w:rPr>
                <w:rFonts w:ascii="Arial" w:hAnsi="Arial" w:cs="Arial"/>
                <w:i w:val="0"/>
                <w:iCs w:val="0"/>
                <w:color w:val="000000"/>
                <w:sz w:val="18"/>
                <w:szCs w:val="18"/>
              </w:rPr>
              <w:t xml:space="preserve">Payment history data is inconsistent</w:t>
            </w:r>
          </w:p>
        </w:tc>
        <w:tc>
          <w:tcPr>
            <w:tcW w:w="1700" w:type="dxa"/>
          </w:tcPr>
          <w:p>
            <w:pPr>
              <w:spacing w:after="0"/>
            </w:pPr>
            <w:r>
              <w:rPr>
                <w:rFonts w:ascii="Arial" w:hAnsi="Arial" w:cs="Arial"/>
                <w:i w:val="0"/>
                <w:iCs w:val="0"/>
                <w:color w:val="000000"/>
                <w:sz w:val="18"/>
                <w:szCs w:val="18"/>
              </w:rPr>
              <w:t xml:space="preserve">All customers</w:t>
            </w:r>
          </w:p>
        </w:tc>
        <w:tc>
          <w:tcPr>
            <w:tcW w:w="2000" w:type="dxa"/>
          </w:tcPr>
          <w:p>
            <w:pPr>
              <w:spacing w:after="0"/>
            </w:pPr>
            <w:r>
              <w:rPr>
                <w:rFonts w:ascii="Arial" w:hAnsi="Arial" w:cs="Arial"/>
                <w:i w:val="0"/>
                <w:iCs w:val="0"/>
                <w:color w:val="000000"/>
                <w:sz w:val="18"/>
                <w:szCs w:val="18"/>
              </w:rPr>
              <w:t xml:space="preserve">Missed_Payments vs Month_1 to Month_6</w:t>
            </w:r>
          </w:p>
        </w:tc>
        <w:tc>
          <w:tcPr>
            <w:tcW w:w="3040" w:type="dxa"/>
          </w:tcPr>
          <w:p>
            <w:pPr>
              <w:spacing w:after="0"/>
            </w:pPr>
            <w:r>
              <w:rPr>
                <w:rFonts w:ascii="Arial" w:hAnsi="Arial" w:cs="Arial"/>
                <w:i w:val="0"/>
                <w:iCs w:val="0"/>
                <w:color w:val="000000"/>
                <w:sz w:val="18"/>
                <w:szCs w:val="18"/>
              </w:rPr>
              <w:t xml:space="preserve">68 customers show 0 missed payments but a "Missed" month. Fix before modeling</w:t>
            </w:r>
          </w:p>
        </w:tc>
      </w:tr>
    </w:tbl>
    <w:p>
      <w:pPr>
        <w:spacing w:after="40" w:line="247" w:lineRule="auto"/>
      </w:pPr>
    </w:p>
    <w:p>
      <w:pPr>
        <w:pStyle w:val="Heading1"/>
        <w:spacing w:before="160" w:after="60"/>
        <w:rPr>
          <w:rFonts w:ascii="Arial" w:hAnsi="Arial" w:cs="Arial"/>
          <w:color w:val="000000" w:themeColor="text1"/>
        </w:rPr>
      </w:pPr>
      <w:r>
        <w:rPr>
          <w:rFonts w:ascii="Arial" w:hAnsi="Arial" w:cs="Arial"/>
          <w:color w:val="000000" w:themeColor="text1"/>
        </w:rPr>
        <w:t>2. Recommendation Framework</w:t>
      </w:r>
    </w:p>
    <w:p>
      <w:pPr>
        <w:spacing w:after="40" w:line="247" w:lineRule="auto"/>
      </w:pPr>
      <w:r>
        <w:rPr>
          <w:rFonts w:ascii="Arial" w:hAnsi="Arial" w:cs="Arial"/>
          <w:i w:val="0"/>
          <w:iCs w:val="0"/>
          <w:color w:val="000000"/>
          <w:sz w:val="21"/>
          <w:szCs w:val="21"/>
        </w:rPr>
        <w:t xml:space="preserve">- </w:t>
      </w:r>
      <w:r>
        <w:rPr>
          <w:rFonts w:ascii="Arial" w:hAnsi="Arial" w:cs="Arial"/>
          <w:b/>
          <w:bCs/>
          <w:i w:val="0"/>
          <w:iCs w:val="0"/>
          <w:color w:val="000000"/>
          <w:sz w:val="21"/>
          <w:szCs w:val="21"/>
        </w:rPr>
        <w:t xml:space="preserve">Restated Insight: </w:t>
      </w:r>
      <w:r>
        <w:rPr>
          <w:rFonts w:ascii="Arial" w:hAnsi="Arial" w:cs="Arial"/>
          <w:i w:val="0"/>
          <w:iCs w:val="0"/>
          <w:color w:val="000000"/>
          <w:sz w:val="21"/>
          <w:szCs w:val="21"/>
        </w:rPr>
        <w:t xml:space="preserve">Delinquency rises from 12% among customers with utilization under 30% to 20% among those at 70-90%, against 16% overall. This trend is the clearest in the data, though small in sample.</w:t>
      </w:r>
    </w:p>
    <w:p>
      <w:pPr>
        <w:spacing w:after="40" w:line="247" w:lineRule="auto"/>
      </w:pPr>
      <w:r>
        <w:rPr>
          <w:rFonts w:ascii="Arial" w:hAnsi="Arial" w:cs="Arial"/>
          <w:i w:val="0"/>
          <w:iCs w:val="0"/>
          <w:color w:val="000000"/>
          <w:sz w:val="21"/>
          <w:szCs w:val="21"/>
        </w:rPr>
        <w:t xml:space="preserve">- </w:t>
      </w:r>
      <w:r>
        <w:rPr>
          <w:rFonts w:ascii="Arial" w:hAnsi="Arial" w:cs="Arial"/>
          <w:b/>
          <w:bCs/>
          <w:i w:val="0"/>
          <w:iCs w:val="0"/>
          <w:color w:val="000000"/>
          <w:sz w:val="21"/>
          <w:szCs w:val="21"/>
        </w:rPr>
        <w:t xml:space="preserve">Proposed Recommendation: </w:t>
      </w:r>
      <w:r>
        <w:rPr>
          <w:rFonts w:ascii="Arial" w:hAnsi="Arial" w:cs="Arial"/>
          <w:i w:val="0"/>
          <w:iCs w:val="0"/>
          <w:color w:val="000000"/>
          <w:sz w:val="21"/>
          <w:szCs w:val="21"/>
        </w:rPr>
        <w:t xml:space="preserve">Pilot proactive payment reminders plus a flexible payment-plan offer for customers with credit utilization above 50%, with a randomly selected control group on the standard process.</w:t>
      </w:r>
    </w:p>
    <w:p>
      <w:pPr>
        <w:spacing w:after="40" w:line="247" w:lineRule="auto"/>
      </w:pPr>
      <w:r>
        <w:rPr>
          <w:rFonts w:ascii="Arial" w:hAnsi="Arial" w:cs="Arial"/>
          <w:i w:val="0"/>
          <w:iCs w:val="0"/>
          <w:color w:val="000000"/>
          <w:sz w:val="21"/>
          <w:szCs w:val="21"/>
        </w:rPr>
        <w:t xml:space="preserve">- </w:t>
      </w:r>
      <w:r>
        <w:rPr>
          <w:rFonts w:ascii="Arial" w:hAnsi="Arial" w:cs="Arial"/>
          <w:b/>
          <w:bCs/>
          <w:i w:val="0"/>
          <w:iCs w:val="0"/>
          <w:color w:val="000000"/>
          <w:sz w:val="21"/>
          <w:szCs w:val="21"/>
        </w:rPr>
        <w:t xml:space="preserve">Specific: </w:t>
      </w:r>
      <w:r>
        <w:rPr>
          <w:rFonts w:ascii="Arial" w:hAnsi="Arial" w:cs="Arial"/>
          <w:i w:val="0"/>
          <w:iCs w:val="0"/>
          <w:color w:val="000000"/>
          <w:sz w:val="21"/>
          <w:szCs w:val="21"/>
        </w:rPr>
        <w:t xml:space="preserve">Send reminders before the due date and offer a flexible payment plan to customers above 50% utilization. The control group gets no change.</w:t>
      </w:r>
    </w:p>
    <w:p>
      <w:pPr>
        <w:spacing w:after="40" w:line="247" w:lineRule="auto"/>
      </w:pPr>
      <w:r>
        <w:rPr>
          <w:rFonts w:ascii="Arial" w:hAnsi="Arial" w:cs="Arial"/>
          <w:i w:val="0"/>
          <w:iCs w:val="0"/>
          <w:color w:val="000000"/>
          <w:sz w:val="21"/>
          <w:szCs w:val="21"/>
        </w:rPr>
        <w:t xml:space="preserve">- </w:t>
      </w:r>
      <w:r>
        <w:rPr>
          <w:rFonts w:ascii="Arial" w:hAnsi="Arial" w:cs="Arial"/>
          <w:b/>
          <w:bCs/>
          <w:i w:val="0"/>
          <w:iCs w:val="0"/>
          <w:color w:val="000000"/>
          <w:sz w:val="21"/>
          <w:szCs w:val="21"/>
        </w:rPr>
        <w:t xml:space="preserve">Measurable: </w:t>
      </w:r>
      <w:r>
        <w:rPr>
          <w:rFonts w:ascii="Arial" w:hAnsi="Arial" w:cs="Arial"/>
          <w:i w:val="0"/>
          <w:iCs w:val="0"/>
          <w:color w:val="000000"/>
          <w:sz w:val="21"/>
          <w:szCs w:val="21"/>
        </w:rPr>
        <w:t xml:space="preserve">Compare the 30+ day delinquency rate of pilot vs control. Goal: a 10% relative reduction (for example, 17% to about 15%). Also track plan uptake and customer complaints.</w:t>
      </w:r>
    </w:p>
    <w:p>
      <w:pPr>
        <w:spacing w:after="40" w:line="247" w:lineRule="auto"/>
      </w:pPr>
      <w:r>
        <w:rPr>
          <w:rFonts w:ascii="Arial" w:hAnsi="Arial" w:cs="Arial"/>
          <w:i w:val="0"/>
          <w:iCs w:val="0"/>
          <w:color w:val="000000"/>
          <w:sz w:val="21"/>
          <w:szCs w:val="21"/>
        </w:rPr>
        <w:t xml:space="preserve">- </w:t>
      </w:r>
      <w:r>
        <w:rPr>
          <w:rFonts w:ascii="Arial" w:hAnsi="Arial" w:cs="Arial"/>
          <w:b/>
          <w:bCs/>
          <w:i w:val="0"/>
          <w:iCs w:val="0"/>
          <w:color w:val="000000"/>
          <w:sz w:val="21"/>
          <w:szCs w:val="21"/>
        </w:rPr>
        <w:t xml:space="preserve">Actionable: </w:t>
      </w:r>
      <w:r>
        <w:rPr>
          <w:rFonts w:ascii="Arial" w:hAnsi="Arial" w:cs="Arial"/>
          <w:i w:val="0"/>
          <w:iCs w:val="0"/>
          <w:color w:val="000000"/>
          <w:sz w:val="21"/>
          <w:szCs w:val="21"/>
        </w:rPr>
        <w:t xml:space="preserve">Uses existing SMS/email channels and the Collections team. Sample size should be set on Geldium's full portfolio, as our 500-record dataset is too small to measure impact.</w:t>
      </w:r>
    </w:p>
    <w:p>
      <w:pPr>
        <w:spacing w:after="40" w:line="247" w:lineRule="auto"/>
      </w:pPr>
      <w:r>
        <w:rPr>
          <w:rFonts w:ascii="Arial" w:hAnsi="Arial" w:cs="Arial"/>
          <w:i w:val="0"/>
          <w:iCs w:val="0"/>
          <w:color w:val="000000"/>
          <w:sz w:val="21"/>
          <w:szCs w:val="21"/>
        </w:rPr>
        <w:t xml:space="preserve">- </w:t>
      </w:r>
      <w:r>
        <w:rPr>
          <w:rFonts w:ascii="Arial" w:hAnsi="Arial" w:cs="Arial"/>
          <w:b/>
          <w:bCs/>
          <w:i w:val="0"/>
          <w:iCs w:val="0"/>
          <w:color w:val="000000"/>
          <w:sz w:val="21"/>
          <w:szCs w:val="21"/>
        </w:rPr>
        <w:t xml:space="preserve">Relevant: </w:t>
      </w:r>
      <w:r>
        <w:rPr>
          <w:rFonts w:ascii="Arial" w:hAnsi="Arial" w:cs="Arial"/>
          <w:i w:val="0"/>
          <w:iCs w:val="0"/>
          <w:color w:val="000000"/>
          <w:sz w:val="21"/>
          <w:szCs w:val="21"/>
        </w:rPr>
        <w:t xml:space="preserve">Utilization is the only factor with a steady upward trend, and the action supports Geldium's goal of acting before payments are missed.</w:t>
      </w:r>
    </w:p>
    <w:p>
      <w:pPr>
        <w:spacing w:after="40" w:line="247" w:lineRule="auto"/>
      </w:pPr>
      <w:r>
        <w:rPr>
          <w:rFonts w:ascii="Arial" w:hAnsi="Arial" w:cs="Arial"/>
          <w:i w:val="0"/>
          <w:iCs w:val="0"/>
          <w:color w:val="000000"/>
          <w:sz w:val="21"/>
          <w:szCs w:val="21"/>
        </w:rPr>
        <w:t xml:space="preserve">- </w:t>
      </w:r>
      <w:r>
        <w:rPr>
          <w:rFonts w:ascii="Arial" w:hAnsi="Arial" w:cs="Arial"/>
          <w:b/>
          <w:bCs/>
          <w:i w:val="0"/>
          <w:iCs w:val="0"/>
          <w:color w:val="000000"/>
          <w:sz w:val="21"/>
          <w:szCs w:val="21"/>
        </w:rPr>
        <w:t xml:space="preserve">Time-bound: </w:t>
      </w:r>
      <w:r>
        <w:rPr>
          <w:rFonts w:ascii="Arial" w:hAnsi="Arial" w:cs="Arial"/>
          <w:i w:val="0"/>
          <w:iCs w:val="0"/>
          <w:color w:val="000000"/>
          <w:sz w:val="21"/>
          <w:szCs w:val="21"/>
        </w:rPr>
        <w:t xml:space="preserve">8-week pilot, results reviewed in week 9, scale-up decision after review.</w:t>
      </w:r>
    </w:p>
    <w:p>
      <w:pPr>
        <w:spacing w:after="40" w:line="247" w:lineRule="auto"/>
      </w:pPr>
      <w:r>
        <w:rPr>
          <w:rFonts w:ascii="Arial" w:hAnsi="Arial" w:cs="Arial"/>
          <w:i w:val="0"/>
          <w:iCs w:val="0"/>
          <w:color w:val="000000"/>
          <w:sz w:val="21"/>
          <w:szCs w:val="21"/>
        </w:rPr>
        <w:t xml:space="preserve">- </w:t>
      </w:r>
      <w:r>
        <w:rPr>
          <w:rFonts w:ascii="Arial" w:hAnsi="Arial" w:cs="Arial"/>
          <w:b/>
          <w:bCs/>
          <w:i w:val="0"/>
          <w:iCs w:val="0"/>
          <w:color w:val="000000"/>
          <w:sz w:val="21"/>
          <w:szCs w:val="21"/>
        </w:rPr>
        <w:t xml:space="preserve">Justification and Business Rationale: </w:t>
      </w:r>
      <w:r>
        <w:rPr>
          <w:rFonts w:ascii="Arial" w:hAnsi="Arial" w:cs="Arial"/>
          <w:i w:val="0"/>
          <w:iCs w:val="0"/>
          <w:color w:val="000000"/>
          <w:sz w:val="21"/>
          <w:szCs w:val="21"/>
        </w:rPr>
        <w:t xml:space="preserve">The action is low-cost, supportive and easy to scale. The control group lets Geldium measure real impact before investing further, which matters because the model is not yet validated. The rule is based on customer behavior, not age or location, so eligible customers are treated equally. ROI should be calculated from Geldium's cost data (avoided losses minus campaign cost); we make no dollar claim here.</w:t>
      </w:r>
    </w:p>
    <w:p>
      <w:pPr>
        <w:pStyle w:val="Heading1"/>
        <w:spacing w:before="160" w:after="60"/>
        <w:rPr>
          <w:rFonts w:ascii="Arial" w:hAnsi="Arial" w:cs="Arial"/>
          <w:color w:val="000000" w:themeColor="text1"/>
        </w:rPr>
      </w:pPr>
      <w:r>
        <w:rPr>
          <w:rFonts w:ascii="Arial" w:hAnsi="Arial" w:cs="Arial"/>
          <w:color w:val="000000" w:themeColor="text1"/>
        </w:rPr>
        <w:t>3. Ethical and Responsible AI Considerations</w:t>
      </w:r>
    </w:p>
    <w:p>
      <w:pPr>
        <w:spacing w:after="40" w:line="247" w:lineRule="auto"/>
      </w:pPr>
      <w:r>
        <w:rPr>
          <w:rFonts w:ascii="Arial" w:hAnsi="Arial" w:cs="Arial"/>
          <w:i w:val="0"/>
          <w:iCs w:val="0"/>
          <w:color w:val="000000"/>
          <w:sz w:val="21"/>
          <w:szCs w:val="21"/>
        </w:rPr>
        <w:t xml:space="preserve">- </w:t>
      </w:r>
      <w:r>
        <w:rPr>
          <w:rFonts w:ascii="Arial" w:hAnsi="Arial" w:cs="Arial"/>
          <w:b/>
          <w:bCs/>
          <w:i w:val="0"/>
          <w:iCs w:val="0"/>
          <w:color w:val="000000"/>
          <w:sz w:val="21"/>
          <w:szCs w:val="21"/>
        </w:rPr>
        <w:t xml:space="preserve">Bias and fairness risk 1, proxy variables: </w:t>
      </w:r>
      <w:r>
        <w:rPr>
          <w:rFonts w:ascii="Arial" w:hAnsi="Arial" w:cs="Arial"/>
          <w:i w:val="0"/>
          <w:iCs w:val="0"/>
          <w:color w:val="000000"/>
          <w:sz w:val="21"/>
          <w:szCs w:val="21"/>
        </w:rPr>
        <w:t xml:space="preserve">Employment status, card type and location can indirectly reflect protected groups. Age and Location are excluded from the model and used only for monitoring. In a preliminary check, recall varied from 33% to 47% across age and location groups, so group-level results must be reviewed regularly.</w:t>
      </w:r>
    </w:p>
    <w:p>
      <w:pPr>
        <w:spacing w:after="40" w:line="247" w:lineRule="auto"/>
      </w:pPr>
      <w:r>
        <w:rPr>
          <w:rFonts w:ascii="Arial" w:hAnsi="Arial" w:cs="Arial"/>
          <w:i w:val="0"/>
          <w:iCs w:val="0"/>
          <w:color w:val="000000"/>
          <w:sz w:val="21"/>
          <w:szCs w:val="21"/>
        </w:rPr>
        <w:t xml:space="preserve">- </w:t>
      </w:r>
      <w:r>
        <w:rPr>
          <w:rFonts w:ascii="Arial" w:hAnsi="Arial" w:cs="Arial"/>
          <w:b/>
          <w:bCs/>
          <w:i w:val="0"/>
          <w:iCs w:val="0"/>
          <w:color w:val="000000"/>
          <w:sz w:val="21"/>
          <w:szCs w:val="21"/>
        </w:rPr>
        <w:t xml:space="preserve">Bias and fairness risk 2, small data: </w:t>
      </w:r>
      <w:r>
        <w:rPr>
          <w:rFonts w:ascii="Arial" w:hAnsi="Arial" w:cs="Arial"/>
          <w:i w:val="0"/>
          <w:iCs w:val="0"/>
          <w:color w:val="000000"/>
          <w:sz w:val="21"/>
          <w:szCs w:val="21"/>
        </w:rPr>
        <w:t xml:space="preserve">With only 80 delinquent cases, scores may be unreliable for smaller groups. Mitigation: class weighting, more data, and human review of decisions.</w:t>
      </w:r>
    </w:p>
    <w:p>
      <w:pPr>
        <w:spacing w:after="40" w:line="247" w:lineRule="auto"/>
      </w:pPr>
      <w:r>
        <w:rPr>
          <w:rFonts w:ascii="Arial" w:hAnsi="Arial" w:cs="Arial"/>
          <w:i w:val="0"/>
          <w:iCs w:val="0"/>
          <w:color w:val="000000"/>
          <w:sz w:val="21"/>
          <w:szCs w:val="21"/>
        </w:rPr>
        <w:t xml:space="preserve">- </w:t>
      </w:r>
      <w:r>
        <w:rPr>
          <w:rFonts w:ascii="Arial" w:hAnsi="Arial" w:cs="Arial"/>
          <w:b/>
          <w:bCs/>
          <w:i w:val="0"/>
          <w:iCs w:val="0"/>
          <w:color w:val="000000"/>
          <w:sz w:val="21"/>
          <w:szCs w:val="21"/>
        </w:rPr>
        <w:t xml:space="preserve">Explainability: </w:t>
      </w:r>
      <w:r>
        <w:rPr>
          <w:rFonts w:ascii="Arial" w:hAnsi="Arial" w:cs="Arial"/>
          <w:i w:val="0"/>
          <w:iCs w:val="0"/>
          <w:color w:val="000000"/>
          <w:sz w:val="21"/>
          <w:szCs w:val="21"/>
        </w:rPr>
        <w:t xml:space="preserve">Logistic regression shows how each factor raises or lowers risk. In plain terms, the score works like a weather forecast: it shows how likely a missed payment is, not that one will happen, and each score comes with its main reasons.</w:t>
      </w:r>
    </w:p>
    <w:p>
      <w:pPr>
        <w:spacing w:after="40" w:line="247" w:lineRule="auto"/>
      </w:pPr>
      <w:r>
        <w:rPr>
          <w:rFonts w:ascii="Arial" w:hAnsi="Arial" w:cs="Arial"/>
          <w:i w:val="0"/>
          <w:iCs w:val="0"/>
          <w:color w:val="000000"/>
          <w:sz w:val="21"/>
          <w:szCs w:val="21"/>
        </w:rPr>
        <w:t xml:space="preserve">- </w:t>
      </w:r>
      <w:r>
        <w:rPr>
          <w:rFonts w:ascii="Arial" w:hAnsi="Arial" w:cs="Arial"/>
          <w:b/>
          <w:bCs/>
          <w:i w:val="0"/>
          <w:iCs w:val="0"/>
          <w:color w:val="000000"/>
          <w:sz w:val="21"/>
          <w:szCs w:val="21"/>
        </w:rPr>
        <w:t xml:space="preserve">Responsible decisions: </w:t>
      </w:r>
      <w:r>
        <w:rPr>
          <w:rFonts w:ascii="Arial" w:hAnsi="Arial" w:cs="Arial"/>
          <w:i w:val="0"/>
          <w:iCs w:val="0"/>
          <w:color w:val="000000"/>
          <w:sz w:val="21"/>
          <w:szCs w:val="21"/>
        </w:rPr>
        <w:t xml:space="preserve">The score should trigger supportive actions (reminders, payment plans), never automatic limit cuts or rate increases, and a person should review high-impact decisions.</w:t>
      </w:r>
    </w:p>
    <w:p>
      <w:pPr>
        <w:spacing w:after="0" w:line="247" w:lineRule="auto"/>
      </w:pPr>
      <w:r>
        <w:rPr>
          <w:rFonts w:ascii="Arial" w:hAnsi="Arial" w:cs="Arial"/>
          <w:i w:val="0"/>
          <w:iCs w:val="0"/>
          <w:color w:val="000000"/>
          <w:sz w:val="21"/>
          <w:szCs w:val="21"/>
        </w:rPr>
        <w:t xml:space="preserve">- </w:t>
      </w:r>
      <w:r>
        <w:rPr>
          <w:rFonts w:ascii="Arial" w:hAnsi="Arial" w:cs="Arial"/>
          <w:b/>
          <w:bCs/>
          <w:i w:val="0"/>
          <w:iCs w:val="0"/>
          <w:color w:val="000000"/>
          <w:sz w:val="21"/>
          <w:szCs w:val="21"/>
        </w:rPr>
        <w:t xml:space="preserve">Other principles: </w:t>
      </w:r>
      <w:r>
        <w:rPr>
          <w:rFonts w:ascii="Arial" w:hAnsi="Arial" w:cs="Arial"/>
          <w:i w:val="0"/>
          <w:iCs w:val="0"/>
          <w:color w:val="000000"/>
          <w:sz w:val="21"/>
          <w:szCs w:val="21"/>
        </w:rPr>
        <w:t xml:space="preserve">Transparency (limits of the model are documented), accountability (Collections owns the decisions and reviews results), and privacy (only needed fields are used, Customer_ID is excluded, and only aggregated data is shared with GenAI tools).</w:t>
      </w:r>
    </w:p>
    <w:sectPr w:rsidR="007D72C2" w:rsidRPr="00A537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674117">
    <w:abstractNumId w:val="8"/>
  </w:num>
  <w:num w:numId="2" w16cid:durableId="1801531605">
    <w:abstractNumId w:val="6"/>
  </w:num>
  <w:num w:numId="3" w16cid:durableId="486094038">
    <w:abstractNumId w:val="5"/>
  </w:num>
  <w:num w:numId="4" w16cid:durableId="255750852">
    <w:abstractNumId w:val="4"/>
  </w:num>
  <w:num w:numId="5" w16cid:durableId="1951626911">
    <w:abstractNumId w:val="7"/>
  </w:num>
  <w:num w:numId="6" w16cid:durableId="1111168920">
    <w:abstractNumId w:val="3"/>
  </w:num>
  <w:num w:numId="7" w16cid:durableId="124276201">
    <w:abstractNumId w:val="2"/>
  </w:num>
  <w:num w:numId="8" w16cid:durableId="1778476411">
    <w:abstractNumId w:val="1"/>
  </w:num>
  <w:num w:numId="9" w16cid:durableId="1111129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72C2"/>
    <w:rsid w:val="008237CA"/>
    <w:rsid w:val="00A537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DB5BE"/>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291</Words>
  <Characters>1662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Tammy</cp:lastModifiedBy>
  <cp:revision>2</cp:revision>
  <dcterms:created xsi:type="dcterms:W3CDTF">2013-12-23T23:15:00Z</dcterms:created>
  <dcterms:modified xsi:type="dcterms:W3CDTF">2025-03-23T11:41:00Z</dcterms:modified>
  <cp:category/>
</cp:coreProperties>
</file>