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7C3F0" w14:textId="77777777" w:rsidR="008E318F" w:rsidRPr="008E318F" w:rsidRDefault="008E318F" w:rsidP="008E318F">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r w:rsidRPr="008E318F">
        <w:rPr>
          <w:rFonts w:ascii="Times New Roman" w:eastAsia="Times New Roman" w:hAnsi="Times New Roman" w:cs="Times New Roman"/>
          <w:b/>
          <w:bCs/>
          <w:kern w:val="0"/>
          <w:sz w:val="36"/>
          <w:szCs w:val="36"/>
          <w:lang w:val="es-ES" w:eastAsia="es-ES"/>
          <w14:ligatures w14:val="none"/>
        </w:rPr>
        <w:t>CAPÍTULO 14. RIESGOS Y CONTINGENCIAS</w:t>
      </w:r>
    </w:p>
    <w:p w14:paraId="4E7494C5"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14.1 Introducción</w:t>
      </w:r>
    </w:p>
    <w:p w14:paraId="697C2773"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Todo proyecto tecnológico-financiero con impacto en el mercado del crédito alternativo conlleva un conjunto de riesgos que deben ser identificados, evaluados y gestionados con antelación. En el caso del sistema de </w:t>
      </w:r>
      <w:r w:rsidRPr="008E318F">
        <w:rPr>
          <w:rFonts w:ascii="Times New Roman" w:eastAsia="Times New Roman" w:hAnsi="Times New Roman" w:cs="Times New Roman"/>
          <w:i/>
          <w:iCs/>
          <w:kern w:val="0"/>
          <w:lang w:val="es-ES" w:eastAsia="es-ES"/>
          <w14:ligatures w14:val="none"/>
        </w:rPr>
        <w:t>scoring fintech</w:t>
      </w:r>
      <w:r w:rsidRPr="008E318F">
        <w:rPr>
          <w:rFonts w:ascii="Times New Roman" w:eastAsia="Times New Roman" w:hAnsi="Times New Roman" w:cs="Times New Roman"/>
          <w:kern w:val="0"/>
          <w:lang w:val="es-ES" w:eastAsia="es-ES"/>
          <w14:ligatures w14:val="none"/>
        </w:rPr>
        <w:t xml:space="preserve"> desarrollado por PFM, los riesgos no se limitan al ámbito técnico o financiero, sino que abarcan dimensiones regulatorias, éticas y reputaciones que pueden afectar su viabilidad y sostenibilidad a largo plazo.</w:t>
      </w:r>
    </w:p>
    <w:p w14:paraId="5B025778"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14.2 Riesgos operativos y tecnológicos</w:t>
      </w:r>
    </w:p>
    <w:p w14:paraId="03E277A1"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Uno de los principales desafíos de una plataforma de </w:t>
      </w:r>
      <w:r w:rsidRPr="008E318F">
        <w:rPr>
          <w:rFonts w:ascii="Times New Roman" w:eastAsia="Times New Roman" w:hAnsi="Times New Roman" w:cs="Times New Roman"/>
          <w:i/>
          <w:iCs/>
          <w:kern w:val="0"/>
          <w:lang w:val="es-ES" w:eastAsia="es-ES"/>
          <w14:ligatures w14:val="none"/>
        </w:rPr>
        <w:t>scoring</w:t>
      </w:r>
      <w:r w:rsidRPr="008E318F">
        <w:rPr>
          <w:rFonts w:ascii="Times New Roman" w:eastAsia="Times New Roman" w:hAnsi="Times New Roman" w:cs="Times New Roman"/>
          <w:kern w:val="0"/>
          <w:lang w:val="es-ES" w:eastAsia="es-ES"/>
          <w14:ligatures w14:val="none"/>
        </w:rPr>
        <w:t xml:space="preserve"> basada en datos alternativos radica en la fiabilidad de su infraestructura tecnológica. Fallos en los sistemas de integración de APIs, errores en la transmisión de datos o interrupciones en los servicios de almacenamiento en la nube pueden afectar la continuidad del servicio y generar pérdidas reputaciones o económicas para las entidades clientes. Según el Banco de España (2025), el 37% de las fintech españolas reportaron algún incidente de interrupción de servicios en el último año, principalmente relacionados con ciberseguridad o fallos en sus proveedores cloud.</w:t>
      </w:r>
    </w:p>
    <w:p w14:paraId="22141795"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Para mitigar estos riesgos, se recomienda la implementación de estrategias de redundancia, monitoreo en tiempo real y pruebas de resiliencia cibernética. La adopción de protocolos ISO 27001 y políticas de </w:t>
      </w:r>
      <w:r w:rsidRPr="008E318F">
        <w:rPr>
          <w:rFonts w:ascii="Times New Roman" w:eastAsia="Times New Roman" w:hAnsi="Times New Roman" w:cs="Times New Roman"/>
          <w:i/>
          <w:iCs/>
          <w:kern w:val="0"/>
          <w:lang w:val="es-ES" w:eastAsia="es-ES"/>
          <w14:ligatures w14:val="none"/>
        </w:rPr>
        <w:t>disaster recovery</w:t>
      </w:r>
      <w:r w:rsidRPr="008E318F">
        <w:rPr>
          <w:rFonts w:ascii="Times New Roman" w:eastAsia="Times New Roman" w:hAnsi="Times New Roman" w:cs="Times New Roman"/>
          <w:kern w:val="0"/>
          <w:lang w:val="es-ES" w:eastAsia="es-ES"/>
          <w14:ligatures w14:val="none"/>
        </w:rPr>
        <w:t xml:space="preserve"> resulta fundamental para garantizar la continuidad del servicio ante eventos críticos.</w:t>
      </w:r>
    </w:p>
    <w:p w14:paraId="77D97C87"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14.3 Riesgos regulatorios y de cumplimiento</w:t>
      </w:r>
    </w:p>
    <w:p w14:paraId="6D8B393B"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El marco legal europeo, especialmente el Reglamento General de Protección de Datos (RGPD) y la Directiva PSD2, exige un manejo transparente, seguro y consentido de los datos personales. Cualquier incumplimiento puede derivar en sanciones que alcanzan hasta el 4% de la facturación global anual (Comisión Europea, 2024). Asimismo, la Autoridad Bancaria Europea (EBA) establece guías específicas sobre modelos de inteligencia artificial aplicados al crédito, enfatizando la necesidad de explicabilidad y no discriminación algorítmica.</w:t>
      </w:r>
    </w:p>
    <w:p w14:paraId="111F85BF"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El modelo de PFM, basado en datos de consumo digital, enfrenta el reto de garantizar que los usuarios comprendan y aprueben el uso de sus datos en procesos de evaluación crediticia. Una gestión inadecuada del consentimiento o la falta de transparencia en los algoritmos podría suponer infracciones regulatorias graves o pérdida de confianza de los clientes.</w:t>
      </w:r>
    </w:p>
    <w:p w14:paraId="015AA6DD"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14.4 Riesgos financieros y de mercado</w:t>
      </w:r>
    </w:p>
    <w:p w14:paraId="0DC021CA"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El entorno fintech europeo es altamente competitivo y sensible a las variaciones macroeconómicas. Cambios en los tipos de interés, desaceleraciones en el consumo o reducciones en la inversión de capital riesgo pueden afectar directamente la liquidez y sostenibilidad del modelo. De acuerdo con AEFI (2025), la financiación de startups fintech en España se redujo un 18% durante 2024, lo que demuestra la vulnerabilidad del sector frente a cambios económicos globales.</w:t>
      </w:r>
    </w:p>
    <w:p w14:paraId="1EDCEA06"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lastRenderedPageBreak/>
        <w:t xml:space="preserve">Para mitigar estos riesgos, se recomienda diversificar las fuentes de ingresos —por ejemplo, mediante la oferta de servicios de </w:t>
      </w:r>
      <w:r w:rsidRPr="008E318F">
        <w:rPr>
          <w:rFonts w:ascii="Times New Roman" w:eastAsia="Times New Roman" w:hAnsi="Times New Roman" w:cs="Times New Roman"/>
          <w:i/>
          <w:iCs/>
          <w:kern w:val="0"/>
          <w:lang w:val="es-ES" w:eastAsia="es-ES"/>
          <w14:ligatures w14:val="none"/>
        </w:rPr>
        <w:t>consultoría de scoring</w:t>
      </w:r>
      <w:r w:rsidRPr="008E318F">
        <w:rPr>
          <w:rFonts w:ascii="Times New Roman" w:eastAsia="Times New Roman" w:hAnsi="Times New Roman" w:cs="Times New Roman"/>
          <w:kern w:val="0"/>
          <w:lang w:val="es-ES" w:eastAsia="es-ES"/>
          <w14:ligatures w14:val="none"/>
        </w:rPr>
        <w:t xml:space="preserve"> o licencias </w:t>
      </w:r>
      <w:r w:rsidRPr="008E318F">
        <w:rPr>
          <w:rFonts w:ascii="Times New Roman" w:eastAsia="Times New Roman" w:hAnsi="Times New Roman" w:cs="Times New Roman"/>
          <w:i/>
          <w:iCs/>
          <w:kern w:val="0"/>
          <w:lang w:val="es-ES" w:eastAsia="es-ES"/>
          <w14:ligatures w14:val="none"/>
        </w:rPr>
        <w:t>white label</w:t>
      </w:r>
      <w:r w:rsidRPr="008E318F">
        <w:rPr>
          <w:rFonts w:ascii="Times New Roman" w:eastAsia="Times New Roman" w:hAnsi="Times New Roman" w:cs="Times New Roman"/>
          <w:kern w:val="0"/>
          <w:lang w:val="es-ES" w:eastAsia="es-ES"/>
          <w14:ligatures w14:val="none"/>
        </w:rPr>
        <w:t>—, así como mantener reservas financieras equivalentes a seis meses de operación.</w:t>
      </w:r>
    </w:p>
    <w:p w14:paraId="1C0AAA88"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14.5 Riesgos éticos y sociales</w:t>
      </w:r>
    </w:p>
    <w:p w14:paraId="603CE408"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El uso de </w:t>
      </w:r>
      <w:r w:rsidRPr="008E318F">
        <w:rPr>
          <w:rFonts w:ascii="Times New Roman" w:eastAsia="Times New Roman" w:hAnsi="Times New Roman" w:cs="Times New Roman"/>
          <w:i/>
          <w:iCs/>
          <w:kern w:val="0"/>
          <w:lang w:val="es-ES" w:eastAsia="es-ES"/>
          <w14:ligatures w14:val="none"/>
        </w:rPr>
        <w:t>big data</w:t>
      </w:r>
      <w:r w:rsidRPr="008E318F">
        <w:rPr>
          <w:rFonts w:ascii="Times New Roman" w:eastAsia="Times New Roman" w:hAnsi="Times New Roman" w:cs="Times New Roman"/>
          <w:kern w:val="0"/>
          <w:lang w:val="es-ES" w:eastAsia="es-ES"/>
          <w14:ligatures w14:val="none"/>
        </w:rPr>
        <w:t xml:space="preserve"> e inteligencia artificial para evaluar el riesgo crediticio genera debates éticos relacionados con la privacidad, la equidad y la transparencia. Existe el riesgo de que los modelos aprendan sesgos derivados de los datos de entrenamiento, afectando de forma injusta a ciertos grupos poblacionales, como inmigrantes o trabajadores precarios. Organismos como el Consejo Económico y Social Europeo (2024) subrayan la importancia de garantizar que los sistemas de IA sean explicables, auditables y no discriminatorios. La empresa debe implementar auditorías periódicas de sesgos y mecanismos de apelación para los usuarios afectados por decisiones automatizadas.</w:t>
      </w:r>
    </w:p>
    <w:p w14:paraId="1B04E714"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14.6 Contingencias estratégicas</w:t>
      </w:r>
    </w:p>
    <w:p w14:paraId="2621B618"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Ante escenarios de riesgo extremo —como ciberataques, sanciones regulatorias o pérdida de alianzas clave—, el proyecto debe contar con un plan de contingencia estructurado. Este incluiría:</w:t>
      </w:r>
    </w:p>
    <w:p w14:paraId="765389A9" w14:textId="77777777" w:rsidR="008E318F" w:rsidRPr="008E318F" w:rsidRDefault="008E318F" w:rsidP="008E318F">
      <w:pPr>
        <w:numPr>
          <w:ilvl w:val="0"/>
          <w:numId w:val="1"/>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Copia de seguridad integral del sistema en una nube secundaria (AWS y GCP).</w:t>
      </w:r>
    </w:p>
    <w:p w14:paraId="7DD51B84" w14:textId="77777777" w:rsidR="008E318F" w:rsidRPr="008E318F" w:rsidRDefault="008E318F" w:rsidP="008E318F">
      <w:pPr>
        <w:numPr>
          <w:ilvl w:val="0"/>
          <w:numId w:val="1"/>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Planes de respuesta ante incidentes con roles definidos y comunicación inmediata con los clientes afectados.</w:t>
      </w:r>
    </w:p>
    <w:p w14:paraId="738D925B" w14:textId="77777777" w:rsidR="008E318F" w:rsidRPr="008E318F" w:rsidRDefault="008E318F" w:rsidP="008E318F">
      <w:pPr>
        <w:numPr>
          <w:ilvl w:val="0"/>
          <w:numId w:val="1"/>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Comité de crisis con representantes técnicos, legales y de negocio para la toma de decisiones en tiempo real.</w:t>
      </w:r>
    </w:p>
    <w:p w14:paraId="1934B38F" w14:textId="77777777" w:rsidR="008E318F" w:rsidRPr="008E318F" w:rsidRDefault="008E318F" w:rsidP="008E318F">
      <w:pPr>
        <w:numPr>
          <w:ilvl w:val="0"/>
          <w:numId w:val="1"/>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Seguro de responsabilidad tecnológica que cubra incidentes de seguridad de datos o fallos en el servicio.</w:t>
      </w:r>
    </w:p>
    <w:p w14:paraId="15D92A3A"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Referencias bibliográficas (Capítulo 14)</w:t>
      </w:r>
    </w:p>
    <w:p w14:paraId="4735AC2A" w14:textId="77777777" w:rsidR="008E318F" w:rsidRPr="008E318F" w:rsidRDefault="008E318F" w:rsidP="008E318F">
      <w:pPr>
        <w:numPr>
          <w:ilvl w:val="0"/>
          <w:numId w:val="2"/>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Asociación Española de Fintech e Insurtech (AEFI). (2025). </w:t>
      </w:r>
      <w:r w:rsidRPr="008E318F">
        <w:rPr>
          <w:rFonts w:ascii="Times New Roman" w:eastAsia="Times New Roman" w:hAnsi="Times New Roman" w:cs="Times New Roman"/>
          <w:i/>
          <w:iCs/>
          <w:kern w:val="0"/>
          <w:lang w:val="es-ES" w:eastAsia="es-ES"/>
          <w14:ligatures w14:val="none"/>
        </w:rPr>
        <w:t>Informe anual del ecosistema fintech en España</w:t>
      </w:r>
      <w:r w:rsidRPr="008E318F">
        <w:rPr>
          <w:rFonts w:ascii="Times New Roman" w:eastAsia="Times New Roman" w:hAnsi="Times New Roman" w:cs="Times New Roman"/>
          <w:kern w:val="0"/>
          <w:lang w:val="es-ES" w:eastAsia="es-ES"/>
          <w14:ligatures w14:val="none"/>
        </w:rPr>
        <w:t>. Madrid: AEFI.</w:t>
      </w:r>
    </w:p>
    <w:p w14:paraId="711AB0D4" w14:textId="77777777" w:rsidR="008E318F" w:rsidRPr="008E318F" w:rsidRDefault="008E318F" w:rsidP="008E318F">
      <w:pPr>
        <w:numPr>
          <w:ilvl w:val="0"/>
          <w:numId w:val="2"/>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Banco de España. (2025). </w:t>
      </w:r>
      <w:r w:rsidRPr="008E318F">
        <w:rPr>
          <w:rFonts w:ascii="Times New Roman" w:eastAsia="Times New Roman" w:hAnsi="Times New Roman" w:cs="Times New Roman"/>
          <w:i/>
          <w:iCs/>
          <w:kern w:val="0"/>
          <w:lang w:val="es-ES" w:eastAsia="es-ES"/>
          <w14:ligatures w14:val="none"/>
        </w:rPr>
        <w:t>Memoria de Supervisión Financiera 2024</w:t>
      </w:r>
      <w:r w:rsidRPr="008E318F">
        <w:rPr>
          <w:rFonts w:ascii="Times New Roman" w:eastAsia="Times New Roman" w:hAnsi="Times New Roman" w:cs="Times New Roman"/>
          <w:kern w:val="0"/>
          <w:lang w:val="es-ES" w:eastAsia="es-ES"/>
          <w14:ligatures w14:val="none"/>
        </w:rPr>
        <w:t>. Madrid: Banco de España.</w:t>
      </w:r>
    </w:p>
    <w:p w14:paraId="27FEB299" w14:textId="77777777" w:rsidR="008E318F" w:rsidRPr="008E318F" w:rsidRDefault="008E318F" w:rsidP="008E318F">
      <w:pPr>
        <w:numPr>
          <w:ilvl w:val="0"/>
          <w:numId w:val="2"/>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Comisión Europea. (2024). </w:t>
      </w:r>
      <w:r w:rsidRPr="008E318F">
        <w:rPr>
          <w:rFonts w:ascii="Times New Roman" w:eastAsia="Times New Roman" w:hAnsi="Times New Roman" w:cs="Times New Roman"/>
          <w:i/>
          <w:iCs/>
          <w:kern w:val="0"/>
          <w:lang w:val="es-ES" w:eastAsia="es-ES"/>
          <w14:ligatures w14:val="none"/>
        </w:rPr>
        <w:t>Reglamento General de Protección de Datos (UE) 2016/679 y directrices de cumplimiento 2024</w:t>
      </w:r>
      <w:r w:rsidRPr="008E318F">
        <w:rPr>
          <w:rFonts w:ascii="Times New Roman" w:eastAsia="Times New Roman" w:hAnsi="Times New Roman" w:cs="Times New Roman"/>
          <w:kern w:val="0"/>
          <w:lang w:val="es-ES" w:eastAsia="es-ES"/>
          <w14:ligatures w14:val="none"/>
        </w:rPr>
        <w:t>. Bruselas.</w:t>
      </w:r>
    </w:p>
    <w:p w14:paraId="71165B8A" w14:textId="77777777" w:rsidR="008E318F" w:rsidRPr="008E318F" w:rsidRDefault="008E318F" w:rsidP="008E318F">
      <w:pPr>
        <w:numPr>
          <w:ilvl w:val="0"/>
          <w:numId w:val="2"/>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Consejo Económico y Social Europeo. (2024). </w:t>
      </w:r>
      <w:r w:rsidRPr="008E318F">
        <w:rPr>
          <w:rFonts w:ascii="Times New Roman" w:eastAsia="Times New Roman" w:hAnsi="Times New Roman" w:cs="Times New Roman"/>
          <w:i/>
          <w:iCs/>
          <w:kern w:val="0"/>
          <w:lang w:val="es-ES" w:eastAsia="es-ES"/>
          <w14:ligatures w14:val="none"/>
        </w:rPr>
        <w:t>Ética de la inteligencia artificial en los servicios financieros</w:t>
      </w:r>
      <w:r w:rsidRPr="008E318F">
        <w:rPr>
          <w:rFonts w:ascii="Times New Roman" w:eastAsia="Times New Roman" w:hAnsi="Times New Roman" w:cs="Times New Roman"/>
          <w:kern w:val="0"/>
          <w:lang w:val="es-ES" w:eastAsia="es-ES"/>
          <w14:ligatures w14:val="none"/>
        </w:rPr>
        <w:t>. Luxemburgo: Oficina de Publicaciones de la Unión Europea.</w:t>
      </w:r>
    </w:p>
    <w:p w14:paraId="01C2B3AC" w14:textId="77777777" w:rsidR="008E318F" w:rsidRPr="008E318F" w:rsidRDefault="008E318F" w:rsidP="008E318F">
      <w:pPr>
        <w:numPr>
          <w:ilvl w:val="0"/>
          <w:numId w:val="2"/>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n-US" w:eastAsia="es-ES"/>
          <w14:ligatures w14:val="none"/>
        </w:rPr>
        <w:t xml:space="preserve">Autoridad Bancaria Europea (EBA). (2024). </w:t>
      </w:r>
      <w:r w:rsidRPr="008E318F">
        <w:rPr>
          <w:rFonts w:ascii="Times New Roman" w:eastAsia="Times New Roman" w:hAnsi="Times New Roman" w:cs="Times New Roman"/>
          <w:i/>
          <w:iCs/>
          <w:kern w:val="0"/>
          <w:lang w:val="en-US" w:eastAsia="es-ES"/>
          <w14:ligatures w14:val="none"/>
        </w:rPr>
        <w:t>Guidelines on the use of AI in credit risk assessment</w:t>
      </w:r>
      <w:r w:rsidRPr="008E318F">
        <w:rPr>
          <w:rFonts w:ascii="Times New Roman" w:eastAsia="Times New Roman" w:hAnsi="Times New Roman" w:cs="Times New Roman"/>
          <w:kern w:val="0"/>
          <w:lang w:val="en-US" w:eastAsia="es-ES"/>
          <w14:ligatures w14:val="none"/>
        </w:rPr>
        <w:t xml:space="preserve">. </w:t>
      </w:r>
      <w:r w:rsidRPr="008E318F">
        <w:rPr>
          <w:rFonts w:ascii="Times New Roman" w:eastAsia="Times New Roman" w:hAnsi="Times New Roman" w:cs="Times New Roman"/>
          <w:kern w:val="0"/>
          <w:lang w:val="es-ES" w:eastAsia="es-ES"/>
          <w14:ligatures w14:val="none"/>
        </w:rPr>
        <w:t>Bruselas: EBA.</w:t>
      </w:r>
    </w:p>
    <w:p w14:paraId="25738EC0" w14:textId="77777777" w:rsidR="008E318F" w:rsidRPr="008E318F" w:rsidRDefault="008E318F" w:rsidP="008E318F">
      <w:pPr>
        <w:spacing w:after="0" w:line="240" w:lineRule="auto"/>
        <w:rPr>
          <w:rFonts w:ascii="Times New Roman" w:eastAsia="Times New Roman" w:hAnsi="Times New Roman" w:cs="Times New Roman"/>
          <w:kern w:val="0"/>
          <w:lang w:val="es-ES" w:eastAsia="es-ES"/>
          <w14:ligatures w14:val="none"/>
        </w:rPr>
      </w:pPr>
    </w:p>
    <w:p w14:paraId="5D38173E" w14:textId="77777777" w:rsidR="008E318F" w:rsidRDefault="008E318F" w:rsidP="008E318F">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4BE09EE8" w14:textId="77777777" w:rsidR="008E318F" w:rsidRDefault="008E318F" w:rsidP="008E318F">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p>
    <w:p w14:paraId="033D0E04" w14:textId="77777777" w:rsidR="008E318F" w:rsidRPr="008E318F" w:rsidRDefault="008E318F" w:rsidP="008E318F">
      <w:pPr>
        <w:spacing w:before="100" w:beforeAutospacing="1" w:after="100" w:afterAutospacing="1" w:line="240" w:lineRule="auto"/>
        <w:outlineLvl w:val="1"/>
        <w:rPr>
          <w:rFonts w:ascii="Times New Roman" w:eastAsia="Times New Roman" w:hAnsi="Times New Roman" w:cs="Times New Roman"/>
          <w:b/>
          <w:bCs/>
          <w:kern w:val="0"/>
          <w:sz w:val="36"/>
          <w:szCs w:val="36"/>
          <w:lang w:val="es-ES" w:eastAsia="es-ES"/>
          <w14:ligatures w14:val="none"/>
        </w:rPr>
      </w:pPr>
      <w:r w:rsidRPr="008E318F">
        <w:rPr>
          <w:rFonts w:ascii="Times New Roman" w:eastAsia="Times New Roman" w:hAnsi="Times New Roman" w:cs="Times New Roman"/>
          <w:b/>
          <w:bCs/>
          <w:kern w:val="0"/>
          <w:sz w:val="36"/>
          <w:szCs w:val="36"/>
          <w:lang w:val="es-ES" w:eastAsia="es-ES"/>
          <w14:ligatures w14:val="none"/>
        </w:rPr>
        <w:lastRenderedPageBreak/>
        <w:t>CAPÍTULO 15. CONCLUSIONES Y RECOMENDACIONES</w:t>
      </w:r>
    </w:p>
    <w:p w14:paraId="584F59DD"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15.1 Conclusiones generales</w:t>
      </w:r>
    </w:p>
    <w:p w14:paraId="773745C8"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El proyecto PFM representa una contribución significativa al ecosistema fintech español, al demostrar que es posible generar modelos de </w:t>
      </w:r>
      <w:r w:rsidRPr="008E318F">
        <w:rPr>
          <w:rFonts w:ascii="Times New Roman" w:eastAsia="Times New Roman" w:hAnsi="Times New Roman" w:cs="Times New Roman"/>
          <w:i/>
          <w:iCs/>
          <w:kern w:val="0"/>
          <w:lang w:val="es-ES" w:eastAsia="es-ES"/>
          <w14:ligatures w14:val="none"/>
        </w:rPr>
        <w:t>scoring</w:t>
      </w:r>
      <w:r w:rsidRPr="008E318F">
        <w:rPr>
          <w:rFonts w:ascii="Times New Roman" w:eastAsia="Times New Roman" w:hAnsi="Times New Roman" w:cs="Times New Roman"/>
          <w:kern w:val="0"/>
          <w:lang w:val="es-ES" w:eastAsia="es-ES"/>
          <w14:ligatures w14:val="none"/>
        </w:rPr>
        <w:t xml:space="preserve"> crediticio alternativo mediante el análisis de datos de consumo digital. Este enfoque no solo amplía la base de usuarios evaluables, sino que también fortalece la inclusión financiera, especialmente entre colectivos tradicionalmente marginados del sistema crediticio, como inmigrantes, jóvenes y autónomos.</w:t>
      </w:r>
    </w:p>
    <w:p w14:paraId="1E7CF9FA"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A lo largo del desarrollo del proyecto, se ha comprobado que los patrones de consumo digital ofrecen señales predictivas sólidas sobre la capacidad de pago y la disciplina financiera de los usuarios. Los resultados del prototipo, con una precisión del 78,5%, evidencian que las tecnologías de </w:t>
      </w:r>
      <w:r w:rsidRPr="008E318F">
        <w:rPr>
          <w:rFonts w:ascii="Times New Roman" w:eastAsia="Times New Roman" w:hAnsi="Times New Roman" w:cs="Times New Roman"/>
          <w:i/>
          <w:iCs/>
          <w:kern w:val="0"/>
          <w:lang w:val="es-ES" w:eastAsia="es-ES"/>
          <w14:ligatures w14:val="none"/>
        </w:rPr>
        <w:t>machine learning</w:t>
      </w:r>
      <w:r w:rsidRPr="008E318F">
        <w:rPr>
          <w:rFonts w:ascii="Times New Roman" w:eastAsia="Times New Roman" w:hAnsi="Times New Roman" w:cs="Times New Roman"/>
          <w:kern w:val="0"/>
          <w:lang w:val="es-ES" w:eastAsia="es-ES"/>
          <w14:ligatures w14:val="none"/>
        </w:rPr>
        <w:t xml:space="preserve"> pueden igualar o incluso superar la exactitud de los sistemas tradicionales, siempre que se gestionen adecuadamente la calidad de los datos y la ética algorítmica.</w:t>
      </w:r>
    </w:p>
    <w:p w14:paraId="3B8EAA16"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En términos macroeconómicos, el modelo propuesto se alinea con la estrategia europea de digitalización del crédito responsable impulsada por la Comisión Europea en el marco del </w:t>
      </w:r>
      <w:r w:rsidRPr="008E318F">
        <w:rPr>
          <w:rFonts w:ascii="Times New Roman" w:eastAsia="Times New Roman" w:hAnsi="Times New Roman" w:cs="Times New Roman"/>
          <w:i/>
          <w:iCs/>
          <w:kern w:val="0"/>
          <w:lang w:val="es-ES" w:eastAsia="es-ES"/>
          <w14:ligatures w14:val="none"/>
        </w:rPr>
        <w:t>Digital Finance Strategy 2025</w:t>
      </w:r>
      <w:r w:rsidRPr="008E318F">
        <w:rPr>
          <w:rFonts w:ascii="Times New Roman" w:eastAsia="Times New Roman" w:hAnsi="Times New Roman" w:cs="Times New Roman"/>
          <w:kern w:val="0"/>
          <w:lang w:val="es-ES" w:eastAsia="es-ES"/>
          <w14:ligatures w14:val="none"/>
        </w:rPr>
        <w:t>, la cual promueve la innovación tecnológica sin comprometer la protección del consumidor.</w:t>
      </w:r>
    </w:p>
    <w:p w14:paraId="6B1FE5A8"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Además, el proyecto reafirma la importancia de que las startups españolas en el ámbito fintech desarrollen tecnologías propias de evaluación crediticia, en lugar de depender exclusivamente de grandes proveedores internacionales, contribuyendo así a la soberanía digital y a la competitividad del ecosistema financiero nacional.</w:t>
      </w:r>
    </w:p>
    <w:p w14:paraId="41BA4BCD"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15.2 Lecciones aprendidas</w:t>
      </w:r>
    </w:p>
    <w:p w14:paraId="22FAD55C"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Durante la ejecución del proyecto se identificaron lecciones clave que servirán para futuras fases de desarrollo:</w:t>
      </w:r>
    </w:p>
    <w:p w14:paraId="0BD7F4C1" w14:textId="77777777" w:rsidR="008E318F" w:rsidRPr="008E318F" w:rsidRDefault="008E318F" w:rsidP="008E318F">
      <w:pPr>
        <w:numPr>
          <w:ilvl w:val="0"/>
          <w:numId w:val="3"/>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La calidad de los datos es más determinante que la complejidad del modelo.</w:t>
      </w:r>
    </w:p>
    <w:p w14:paraId="76D54AC7" w14:textId="77777777" w:rsidR="008E318F" w:rsidRPr="008E318F" w:rsidRDefault="008E318F" w:rsidP="008E318F">
      <w:pPr>
        <w:numPr>
          <w:ilvl w:val="0"/>
          <w:numId w:val="3"/>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La colaboración entre fintechs y entidades tradicionales puede generar sinergias valiosas.</w:t>
      </w:r>
    </w:p>
    <w:p w14:paraId="6FA2BD1C" w14:textId="77777777" w:rsidR="008E318F" w:rsidRPr="008E318F" w:rsidRDefault="008E318F" w:rsidP="008E318F">
      <w:pPr>
        <w:numPr>
          <w:ilvl w:val="0"/>
          <w:numId w:val="3"/>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La transparencia algorítmica es una ventaja competitiva.</w:t>
      </w:r>
    </w:p>
    <w:p w14:paraId="513DCF16" w14:textId="77777777" w:rsidR="008E318F" w:rsidRPr="008E318F" w:rsidRDefault="008E318F" w:rsidP="008E318F">
      <w:pPr>
        <w:numPr>
          <w:ilvl w:val="0"/>
          <w:numId w:val="3"/>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La ética de datos no es solo cumplimiento normativo, sino un activo reputacional.</w:t>
      </w:r>
    </w:p>
    <w:p w14:paraId="4B3E58D5"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15.3 Recomendaciones estratégicas</w:t>
      </w:r>
    </w:p>
    <w:p w14:paraId="31E2B50D" w14:textId="77777777" w:rsidR="008E318F" w:rsidRPr="008E318F" w:rsidRDefault="008E318F" w:rsidP="008E318F">
      <w:pPr>
        <w:numPr>
          <w:ilvl w:val="0"/>
          <w:numId w:val="4"/>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b/>
          <w:bCs/>
          <w:kern w:val="0"/>
          <w:lang w:val="es-ES" w:eastAsia="es-ES"/>
          <w14:ligatures w14:val="none"/>
        </w:rPr>
        <w:t>Escalabilidad y expansión de fuentes de datos.</w:t>
      </w:r>
      <w:r w:rsidRPr="008E318F">
        <w:rPr>
          <w:rFonts w:ascii="Times New Roman" w:eastAsia="Times New Roman" w:hAnsi="Times New Roman" w:cs="Times New Roman"/>
          <w:kern w:val="0"/>
          <w:lang w:val="es-ES" w:eastAsia="es-ES"/>
          <w14:ligatures w14:val="none"/>
        </w:rPr>
        <w:t xml:space="preserve"> Ampliar integraciones hacia nuevas plataformas para mejorar precisión y cobertura.</w:t>
      </w:r>
    </w:p>
    <w:p w14:paraId="61488D1C" w14:textId="77777777" w:rsidR="008E318F" w:rsidRPr="008E318F" w:rsidRDefault="008E318F" w:rsidP="008E318F">
      <w:pPr>
        <w:numPr>
          <w:ilvl w:val="0"/>
          <w:numId w:val="4"/>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b/>
          <w:bCs/>
          <w:kern w:val="0"/>
          <w:lang w:val="es-ES" w:eastAsia="es-ES"/>
          <w14:ligatures w14:val="none"/>
        </w:rPr>
        <w:t>Colaboración institucional y regulatoria.</w:t>
      </w:r>
      <w:r w:rsidRPr="008E318F">
        <w:rPr>
          <w:rFonts w:ascii="Times New Roman" w:eastAsia="Times New Roman" w:hAnsi="Times New Roman" w:cs="Times New Roman"/>
          <w:kern w:val="0"/>
          <w:lang w:val="es-ES" w:eastAsia="es-ES"/>
          <w14:ligatures w14:val="none"/>
        </w:rPr>
        <w:t xml:space="preserve"> Establecer acuerdos con Banco de España o INE para validar metodologías y compatibilidad.</w:t>
      </w:r>
    </w:p>
    <w:p w14:paraId="375A5FC3" w14:textId="77777777" w:rsidR="008E318F" w:rsidRPr="008E318F" w:rsidRDefault="008E318F" w:rsidP="008E318F">
      <w:pPr>
        <w:numPr>
          <w:ilvl w:val="0"/>
          <w:numId w:val="4"/>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b/>
          <w:bCs/>
          <w:kern w:val="0"/>
          <w:lang w:val="es-ES" w:eastAsia="es-ES"/>
          <w14:ligatures w14:val="none"/>
        </w:rPr>
        <w:t>Marco ético de IA explicable.</w:t>
      </w:r>
      <w:r w:rsidRPr="008E318F">
        <w:rPr>
          <w:rFonts w:ascii="Times New Roman" w:eastAsia="Times New Roman" w:hAnsi="Times New Roman" w:cs="Times New Roman"/>
          <w:kern w:val="0"/>
          <w:lang w:val="es-ES" w:eastAsia="es-ES"/>
          <w14:ligatures w14:val="none"/>
        </w:rPr>
        <w:t xml:space="preserve"> Incorporar mecanismos de explicabilidad según directrices de la Comisión Europea sobre IA (2025).</w:t>
      </w:r>
    </w:p>
    <w:p w14:paraId="21188798" w14:textId="77777777" w:rsidR="008E318F" w:rsidRPr="008E318F" w:rsidRDefault="008E318F" w:rsidP="008E318F">
      <w:pPr>
        <w:numPr>
          <w:ilvl w:val="0"/>
          <w:numId w:val="4"/>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b/>
          <w:bCs/>
          <w:kern w:val="0"/>
          <w:lang w:val="es-ES" w:eastAsia="es-ES"/>
          <w14:ligatures w14:val="none"/>
        </w:rPr>
        <w:t>Internacionalización y adaptabilidad cultural.</w:t>
      </w:r>
      <w:r w:rsidRPr="008E318F">
        <w:rPr>
          <w:rFonts w:ascii="Times New Roman" w:eastAsia="Times New Roman" w:hAnsi="Times New Roman" w:cs="Times New Roman"/>
          <w:kern w:val="0"/>
          <w:lang w:val="es-ES" w:eastAsia="es-ES"/>
          <w14:ligatures w14:val="none"/>
        </w:rPr>
        <w:t xml:space="preserve"> Adaptar el modelo a otros países europeos, como Portugal o Italia.</w:t>
      </w:r>
    </w:p>
    <w:p w14:paraId="45169E32" w14:textId="77777777" w:rsidR="008E318F" w:rsidRPr="008E318F" w:rsidRDefault="008E318F" w:rsidP="008E318F">
      <w:pPr>
        <w:numPr>
          <w:ilvl w:val="0"/>
          <w:numId w:val="4"/>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b/>
          <w:bCs/>
          <w:kern w:val="0"/>
          <w:lang w:val="es-ES" w:eastAsia="es-ES"/>
          <w14:ligatures w14:val="none"/>
        </w:rPr>
        <w:lastRenderedPageBreak/>
        <w:t>Formación continua y gestión del talento.</w:t>
      </w:r>
      <w:r w:rsidRPr="008E318F">
        <w:rPr>
          <w:rFonts w:ascii="Times New Roman" w:eastAsia="Times New Roman" w:hAnsi="Times New Roman" w:cs="Times New Roman"/>
          <w:kern w:val="0"/>
          <w:lang w:val="es-ES" w:eastAsia="es-ES"/>
          <w14:ligatures w14:val="none"/>
        </w:rPr>
        <w:t xml:space="preserve"> Implementar programas internos de capacitación en ética algorítmica y auditoría de sesgos.</w:t>
      </w:r>
    </w:p>
    <w:p w14:paraId="0FBFC50D"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15.4 Impacto social y económico</w:t>
      </w:r>
    </w:p>
    <w:p w14:paraId="4AF731E1"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El modelo de </w:t>
      </w:r>
      <w:r w:rsidRPr="008E318F">
        <w:rPr>
          <w:rFonts w:ascii="Times New Roman" w:eastAsia="Times New Roman" w:hAnsi="Times New Roman" w:cs="Times New Roman"/>
          <w:i/>
          <w:iCs/>
          <w:kern w:val="0"/>
          <w:lang w:val="es-ES" w:eastAsia="es-ES"/>
          <w14:ligatures w14:val="none"/>
        </w:rPr>
        <w:t>scoring fintech inclusivo</w:t>
      </w:r>
      <w:r w:rsidRPr="008E318F">
        <w:rPr>
          <w:rFonts w:ascii="Times New Roman" w:eastAsia="Times New Roman" w:hAnsi="Times New Roman" w:cs="Times New Roman"/>
          <w:kern w:val="0"/>
          <w:lang w:val="es-ES" w:eastAsia="es-ES"/>
          <w14:ligatures w14:val="none"/>
        </w:rPr>
        <w:t xml:space="preserve"> tiene un impacto transformador. Según la AEFI (2025), más de 800.000 personas en España permanecen excluidas de productos financieros tradicionales. La adopción de modelos alternativos como el de PFM permitiría reducir esa brecha y promover una inclusión financiera más equitativa.</w:t>
      </w:r>
    </w:p>
    <w:p w14:paraId="08415A63"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Desde una perspectiva económica, las fintech que implementen soluciones como esta podrían incrementar su base de clientes entre un 15% y un 25%, generando un efecto positivo en el acceso al crédito y la movilidad económica.</w:t>
      </w:r>
    </w:p>
    <w:p w14:paraId="4E352CAE"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15.5 Líneas futuras de investigación</w:t>
      </w:r>
    </w:p>
    <w:p w14:paraId="68FFE933" w14:textId="77777777" w:rsidR="008E318F" w:rsidRPr="008E318F" w:rsidRDefault="008E318F" w:rsidP="008E318F">
      <w:pPr>
        <w:numPr>
          <w:ilvl w:val="0"/>
          <w:numId w:val="5"/>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Integrar aprendizaje federado (federated learning) para entrenar modelos sin compartir datos personales.</w:t>
      </w:r>
    </w:p>
    <w:p w14:paraId="3CA22923" w14:textId="77777777" w:rsidR="008E318F" w:rsidRPr="008E318F" w:rsidRDefault="008E318F" w:rsidP="008E318F">
      <w:pPr>
        <w:numPr>
          <w:ilvl w:val="0"/>
          <w:numId w:val="5"/>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Analizar la correlación entre indicadores de comportamiento digital y variables socioeconómicas regionales.</w:t>
      </w:r>
    </w:p>
    <w:p w14:paraId="3410F4DD" w14:textId="77777777" w:rsidR="008E318F" w:rsidRPr="008E318F" w:rsidRDefault="008E318F" w:rsidP="008E318F">
      <w:pPr>
        <w:numPr>
          <w:ilvl w:val="0"/>
          <w:numId w:val="5"/>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Evaluar la posibilidad de incorporar mecanismos de blockchain para trazabilidad y auditoría de procesos.</w:t>
      </w:r>
    </w:p>
    <w:p w14:paraId="098E9143"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15.6 Cierre</w:t>
      </w:r>
    </w:p>
    <w:p w14:paraId="3D677C0D" w14:textId="77777777" w:rsidR="008E318F" w:rsidRPr="008E318F" w:rsidRDefault="008E318F" w:rsidP="008E318F">
      <w:p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El proyecto demuestra que la tecnología puede ser un motor de inclusión cuando se utiliza con propósito y responsabilidad. La iniciativa PFM busca optimizar procesos crediticios y redefinir la solvencia financiera en la era digital. Con una correcta gestión de riesgos, transparencia y ética de datos, el modelo tiene potencial de consolidarse como una solución escalable y transformadora dentro del panorama fintech europeo.</w:t>
      </w:r>
    </w:p>
    <w:p w14:paraId="460EC7DA" w14:textId="77777777" w:rsidR="008E318F" w:rsidRPr="008E318F" w:rsidRDefault="008E318F" w:rsidP="008E318F">
      <w:pPr>
        <w:spacing w:before="100" w:beforeAutospacing="1" w:after="100" w:afterAutospacing="1" w:line="240" w:lineRule="auto"/>
        <w:outlineLvl w:val="2"/>
        <w:rPr>
          <w:rFonts w:ascii="Times New Roman" w:eastAsia="Times New Roman" w:hAnsi="Times New Roman" w:cs="Times New Roman"/>
          <w:b/>
          <w:bCs/>
          <w:kern w:val="0"/>
          <w:sz w:val="27"/>
          <w:szCs w:val="27"/>
          <w:lang w:val="es-ES" w:eastAsia="es-ES"/>
          <w14:ligatures w14:val="none"/>
        </w:rPr>
      </w:pPr>
      <w:r w:rsidRPr="008E318F">
        <w:rPr>
          <w:rFonts w:ascii="Times New Roman" w:eastAsia="Times New Roman" w:hAnsi="Times New Roman" w:cs="Times New Roman"/>
          <w:b/>
          <w:bCs/>
          <w:kern w:val="0"/>
          <w:sz w:val="27"/>
          <w:szCs w:val="27"/>
          <w:lang w:val="es-ES" w:eastAsia="es-ES"/>
          <w14:ligatures w14:val="none"/>
        </w:rPr>
        <w:t>Referencias bibliográficas (Capítulo 15)</w:t>
      </w:r>
    </w:p>
    <w:p w14:paraId="4015DAD3" w14:textId="77777777" w:rsidR="008E318F" w:rsidRPr="008E318F" w:rsidRDefault="008E318F" w:rsidP="008E318F">
      <w:pPr>
        <w:numPr>
          <w:ilvl w:val="0"/>
          <w:numId w:val="6"/>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Asociación Española de Fintech e Insurtech (AEFI). (2025). </w:t>
      </w:r>
      <w:r w:rsidRPr="008E318F">
        <w:rPr>
          <w:rFonts w:ascii="Times New Roman" w:eastAsia="Times New Roman" w:hAnsi="Times New Roman" w:cs="Times New Roman"/>
          <w:i/>
          <w:iCs/>
          <w:kern w:val="0"/>
          <w:lang w:val="es-ES" w:eastAsia="es-ES"/>
          <w14:ligatures w14:val="none"/>
        </w:rPr>
        <w:t>Informe anual del ecosistema fintech en España</w:t>
      </w:r>
      <w:r w:rsidRPr="008E318F">
        <w:rPr>
          <w:rFonts w:ascii="Times New Roman" w:eastAsia="Times New Roman" w:hAnsi="Times New Roman" w:cs="Times New Roman"/>
          <w:kern w:val="0"/>
          <w:lang w:val="es-ES" w:eastAsia="es-ES"/>
          <w14:ligatures w14:val="none"/>
        </w:rPr>
        <w:t>. Madrid: AEFI.</w:t>
      </w:r>
    </w:p>
    <w:p w14:paraId="2178A852" w14:textId="77777777" w:rsidR="008E318F" w:rsidRPr="008E318F" w:rsidRDefault="008E318F" w:rsidP="008E318F">
      <w:pPr>
        <w:numPr>
          <w:ilvl w:val="0"/>
          <w:numId w:val="6"/>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Banco de España. (2025). </w:t>
      </w:r>
      <w:r w:rsidRPr="008E318F">
        <w:rPr>
          <w:rFonts w:ascii="Times New Roman" w:eastAsia="Times New Roman" w:hAnsi="Times New Roman" w:cs="Times New Roman"/>
          <w:i/>
          <w:iCs/>
          <w:kern w:val="0"/>
          <w:lang w:val="es-ES" w:eastAsia="es-ES"/>
          <w14:ligatures w14:val="none"/>
        </w:rPr>
        <w:t>Estrategia de transformación digital del sistema financiero español 2025</w:t>
      </w:r>
      <w:r w:rsidRPr="008E318F">
        <w:rPr>
          <w:rFonts w:ascii="Times New Roman" w:eastAsia="Times New Roman" w:hAnsi="Times New Roman" w:cs="Times New Roman"/>
          <w:kern w:val="0"/>
          <w:lang w:val="es-ES" w:eastAsia="es-ES"/>
          <w14:ligatures w14:val="none"/>
        </w:rPr>
        <w:t>. Madrid: Banco de España.</w:t>
      </w:r>
    </w:p>
    <w:p w14:paraId="2CDE1932" w14:textId="77777777" w:rsidR="008E318F" w:rsidRPr="008E318F" w:rsidRDefault="008E318F" w:rsidP="008E318F">
      <w:pPr>
        <w:numPr>
          <w:ilvl w:val="0"/>
          <w:numId w:val="6"/>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Comisión Europea. (2025). </w:t>
      </w:r>
      <w:r w:rsidRPr="008E318F">
        <w:rPr>
          <w:rFonts w:ascii="Times New Roman" w:eastAsia="Times New Roman" w:hAnsi="Times New Roman" w:cs="Times New Roman"/>
          <w:i/>
          <w:iCs/>
          <w:kern w:val="0"/>
          <w:lang w:val="es-ES" w:eastAsia="es-ES"/>
          <w14:ligatures w14:val="none"/>
        </w:rPr>
        <w:t>Digital Finance Strategy and Artificial Intelligence Guidelines</w:t>
      </w:r>
      <w:r w:rsidRPr="008E318F">
        <w:rPr>
          <w:rFonts w:ascii="Times New Roman" w:eastAsia="Times New Roman" w:hAnsi="Times New Roman" w:cs="Times New Roman"/>
          <w:kern w:val="0"/>
          <w:lang w:val="es-ES" w:eastAsia="es-ES"/>
          <w14:ligatures w14:val="none"/>
        </w:rPr>
        <w:t>. Bruselas: Comisión Europea.</w:t>
      </w:r>
    </w:p>
    <w:p w14:paraId="5F7970F9" w14:textId="77777777" w:rsidR="008E318F" w:rsidRPr="008E318F" w:rsidRDefault="008E318F" w:rsidP="008E318F">
      <w:pPr>
        <w:numPr>
          <w:ilvl w:val="0"/>
          <w:numId w:val="6"/>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s-ES" w:eastAsia="es-ES"/>
          <w14:ligatures w14:val="none"/>
        </w:rPr>
        <w:t xml:space="preserve">Instituto Nacional de Estadística (INE). (2025). </w:t>
      </w:r>
      <w:r w:rsidRPr="008E318F">
        <w:rPr>
          <w:rFonts w:ascii="Times New Roman" w:eastAsia="Times New Roman" w:hAnsi="Times New Roman" w:cs="Times New Roman"/>
          <w:i/>
          <w:iCs/>
          <w:kern w:val="0"/>
          <w:lang w:val="es-ES" w:eastAsia="es-ES"/>
          <w14:ligatures w14:val="none"/>
        </w:rPr>
        <w:t>Encuesta sobre uso de servicios financieros digitales en España</w:t>
      </w:r>
      <w:r w:rsidRPr="008E318F">
        <w:rPr>
          <w:rFonts w:ascii="Times New Roman" w:eastAsia="Times New Roman" w:hAnsi="Times New Roman" w:cs="Times New Roman"/>
          <w:kern w:val="0"/>
          <w:lang w:val="es-ES" w:eastAsia="es-ES"/>
          <w14:ligatures w14:val="none"/>
        </w:rPr>
        <w:t>. Madrid: INE.</w:t>
      </w:r>
    </w:p>
    <w:p w14:paraId="50EFEA2E" w14:textId="77777777" w:rsidR="008E318F" w:rsidRPr="008E318F" w:rsidRDefault="008E318F" w:rsidP="008E318F">
      <w:pPr>
        <w:numPr>
          <w:ilvl w:val="0"/>
          <w:numId w:val="6"/>
        </w:numPr>
        <w:spacing w:before="100" w:beforeAutospacing="1" w:after="100" w:afterAutospacing="1" w:line="240" w:lineRule="auto"/>
        <w:rPr>
          <w:rFonts w:ascii="Times New Roman" w:eastAsia="Times New Roman" w:hAnsi="Times New Roman" w:cs="Times New Roman"/>
          <w:kern w:val="0"/>
          <w:lang w:val="es-ES" w:eastAsia="es-ES"/>
          <w14:ligatures w14:val="none"/>
        </w:rPr>
      </w:pPr>
      <w:r w:rsidRPr="008E318F">
        <w:rPr>
          <w:rFonts w:ascii="Times New Roman" w:eastAsia="Times New Roman" w:hAnsi="Times New Roman" w:cs="Times New Roman"/>
          <w:kern w:val="0"/>
          <w:lang w:val="en-US" w:eastAsia="es-ES"/>
          <w14:ligatures w14:val="none"/>
        </w:rPr>
        <w:t xml:space="preserve">Autoridad Bancaria Europea (EBA). (2024). </w:t>
      </w:r>
      <w:r w:rsidRPr="008E318F">
        <w:rPr>
          <w:rFonts w:ascii="Times New Roman" w:eastAsia="Times New Roman" w:hAnsi="Times New Roman" w:cs="Times New Roman"/>
          <w:i/>
          <w:iCs/>
          <w:kern w:val="0"/>
          <w:lang w:val="en-US" w:eastAsia="es-ES"/>
          <w14:ligatures w14:val="none"/>
        </w:rPr>
        <w:t>Report on Big Data and Advanced Analytics in Financial Services</w:t>
      </w:r>
      <w:r w:rsidRPr="008E318F">
        <w:rPr>
          <w:rFonts w:ascii="Times New Roman" w:eastAsia="Times New Roman" w:hAnsi="Times New Roman" w:cs="Times New Roman"/>
          <w:kern w:val="0"/>
          <w:lang w:val="en-US" w:eastAsia="es-ES"/>
          <w14:ligatures w14:val="none"/>
        </w:rPr>
        <w:t xml:space="preserve">. </w:t>
      </w:r>
      <w:r w:rsidRPr="008E318F">
        <w:rPr>
          <w:rFonts w:ascii="Times New Roman" w:eastAsia="Times New Roman" w:hAnsi="Times New Roman" w:cs="Times New Roman"/>
          <w:kern w:val="0"/>
          <w:lang w:val="es-ES" w:eastAsia="es-ES"/>
          <w14:ligatures w14:val="none"/>
        </w:rPr>
        <w:t>Bruselas: EBA.</w:t>
      </w:r>
    </w:p>
    <w:p w14:paraId="1EF7CBDE" w14:textId="77777777" w:rsidR="007A49F4" w:rsidRDefault="007A49F4"/>
    <w:sectPr w:rsidR="007A4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00E32"/>
    <w:multiLevelType w:val="multilevel"/>
    <w:tmpl w:val="74EC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374761"/>
    <w:multiLevelType w:val="multilevel"/>
    <w:tmpl w:val="1E7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12EE6"/>
    <w:multiLevelType w:val="multilevel"/>
    <w:tmpl w:val="CF9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6238C"/>
    <w:multiLevelType w:val="multilevel"/>
    <w:tmpl w:val="D022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242B7"/>
    <w:multiLevelType w:val="multilevel"/>
    <w:tmpl w:val="55A6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8022AA"/>
    <w:multiLevelType w:val="multilevel"/>
    <w:tmpl w:val="2C3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8F"/>
    <w:rsid w:val="000F22F2"/>
    <w:rsid w:val="00123EA7"/>
    <w:rsid w:val="007A49F4"/>
    <w:rsid w:val="008E318F"/>
    <w:rsid w:val="009658DE"/>
    <w:rsid w:val="00BA53A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E4A13"/>
  <w15:chartTrackingRefBased/>
  <w15:docId w15:val="{E4A8A377-EDE5-4794-9182-53E864F70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8E318F"/>
    <w:pPr>
      <w:spacing w:before="100" w:beforeAutospacing="1" w:after="100" w:afterAutospacing="1" w:line="240" w:lineRule="auto"/>
      <w:outlineLvl w:val="1"/>
    </w:pPr>
    <w:rPr>
      <w:rFonts w:ascii="Times New Roman" w:eastAsia="Times New Roman" w:hAnsi="Times New Roman" w:cs="Times New Roman"/>
      <w:b/>
      <w:bCs/>
      <w:kern w:val="0"/>
      <w:sz w:val="36"/>
      <w:szCs w:val="36"/>
      <w:lang w:val="es-ES" w:eastAsia="es-ES"/>
      <w14:ligatures w14:val="none"/>
    </w:rPr>
  </w:style>
  <w:style w:type="paragraph" w:styleId="Ttulo3">
    <w:name w:val="heading 3"/>
    <w:basedOn w:val="Normal"/>
    <w:link w:val="Ttulo3Car"/>
    <w:uiPriority w:val="9"/>
    <w:qFormat/>
    <w:rsid w:val="008E318F"/>
    <w:pPr>
      <w:spacing w:before="100" w:beforeAutospacing="1" w:after="100" w:afterAutospacing="1" w:line="240" w:lineRule="auto"/>
      <w:outlineLvl w:val="2"/>
    </w:pPr>
    <w:rPr>
      <w:rFonts w:ascii="Times New Roman" w:eastAsia="Times New Roman" w:hAnsi="Times New Roman" w:cs="Times New Roman"/>
      <w:b/>
      <w:bCs/>
      <w:kern w:val="0"/>
      <w:sz w:val="27"/>
      <w:szCs w:val="27"/>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E318F"/>
    <w:rPr>
      <w:rFonts w:ascii="Times New Roman" w:eastAsia="Times New Roman" w:hAnsi="Times New Roman" w:cs="Times New Roman"/>
      <w:b/>
      <w:bCs/>
      <w:kern w:val="0"/>
      <w:sz w:val="36"/>
      <w:szCs w:val="36"/>
      <w:lang w:val="es-ES" w:eastAsia="es-ES"/>
      <w14:ligatures w14:val="none"/>
    </w:rPr>
  </w:style>
  <w:style w:type="character" w:customStyle="1" w:styleId="Ttulo3Car">
    <w:name w:val="Título 3 Car"/>
    <w:basedOn w:val="Fuentedeprrafopredeter"/>
    <w:link w:val="Ttulo3"/>
    <w:uiPriority w:val="9"/>
    <w:rsid w:val="008E318F"/>
    <w:rPr>
      <w:rFonts w:ascii="Times New Roman" w:eastAsia="Times New Roman" w:hAnsi="Times New Roman" w:cs="Times New Roman"/>
      <w:b/>
      <w:bCs/>
      <w:kern w:val="0"/>
      <w:sz w:val="27"/>
      <w:szCs w:val="27"/>
      <w:lang w:val="es-ES" w:eastAsia="es-ES"/>
      <w14:ligatures w14:val="none"/>
    </w:rPr>
  </w:style>
  <w:style w:type="paragraph" w:styleId="NormalWeb">
    <w:name w:val="Normal (Web)"/>
    <w:basedOn w:val="Normal"/>
    <w:uiPriority w:val="99"/>
    <w:semiHidden/>
    <w:unhideWhenUsed/>
    <w:rsid w:val="008E318F"/>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nfasis">
    <w:name w:val="Emphasis"/>
    <w:basedOn w:val="Fuentedeprrafopredeter"/>
    <w:uiPriority w:val="20"/>
    <w:qFormat/>
    <w:rsid w:val="008E318F"/>
    <w:rPr>
      <w:i/>
      <w:iCs/>
    </w:rPr>
  </w:style>
  <w:style w:type="character" w:styleId="Textoennegrita">
    <w:name w:val="Strong"/>
    <w:basedOn w:val="Fuentedeprrafopredeter"/>
    <w:uiPriority w:val="22"/>
    <w:qFormat/>
    <w:rsid w:val="008E31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42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1527</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OI</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Alberto</cp:lastModifiedBy>
  <cp:revision>2</cp:revision>
  <dcterms:created xsi:type="dcterms:W3CDTF">2026-03-10T18:07:00Z</dcterms:created>
  <dcterms:modified xsi:type="dcterms:W3CDTF">2026-03-10T18:07:00Z</dcterms:modified>
</cp:coreProperties>
</file>