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240"/>
        <w:jc w:val="center"/>
      </w:pPr>
      <w:r>
        <w:t xml:space="preserve">Informe Tecnico Ejecutivo</w:t>
      </w:r>
    </w:p>
    <w:p>
      <w:pPr>
        <w:jc w:val="center"/>
      </w:pPr>
      <w:r>
        <w:rPr>
          <w:color w:val="4A5568"/>
          <w:sz w:val="28"/>
          <w:szCs w:val="28"/>
        </w:rPr>
        <w:t xml:space="preserve">DiabetesNHANES - Pipeline de Ciencia de Datos</w:t>
      </w:r>
    </w:p>
    <w:p>
      <w:pPr>
        <w:spacing w:before="80"/>
        <w:jc w:val="center"/>
      </w:pPr>
      <w:r>
        <w:rPr>
          <w:color w:val="4A5568"/>
          <w:sz w:val="20"/>
          <w:szCs w:val="20"/>
        </w:rPr>
        <w:t xml:space="preserve">Evaluacion Final Transversal - SCY1101 Programacion para la Ciencia de Datos</w:t>
      </w:r>
    </w:p>
    <w:p>
      <w:pPr>
        <w:spacing w:before="600"/>
        <w:jc w:val="center"/>
      </w:pPr>
      <w:r>
        <w:rPr>
          <w:sz w:val="20"/>
          <w:szCs w:val="20"/>
        </w:rPr>
        <w:t xml:space="preserve">Equipo: apotheosisss, manueladmn, ElChacra</w:t>
      </w:r>
    </w:p>
    <w:p>
      <w:pPr>
        <w:jc w:val="center"/>
      </w:pPr>
      <w:r>
        <w:rPr>
          <w:color w:val="2B6CB0"/>
          <w:sz w:val="18"/>
          <w:szCs w:val="18"/>
        </w:rPr>
        <w:t xml:space="preserve">Repositorio: github.com/apotheosisss/PCS_EvParcial3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DiabetesNHANES es una solucion de ciencia de datos de extremo a extremo que estima el riesgo de diabetes en poblacion adulta a partir de datos publicos de la encuesta NHANES 2021-2023 (CDC/NCHS). El sistema integra multiples fuentes, ejecuta un pipeline ETL reproducible con Kedro, entrena un portafolio de seis modelos de machine learning y expone los resultados mediante una API REST y un dashboard interactivo, todo containerizado con Docker y desplegable en la nube (AWS).</w:t>
      </w:r>
    </w:p>
    <w:p>
      <w:pPr>
        <w:spacing w:after="120"/>
      </w:pPr>
      <w:r>
        <w:rPr>
          <w:i w:val="false"/>
          <w:iCs w:val="false"/>
        </w:rPr>
        <w:t xml:space="preserve">Sobre 8.149 participantes adultos, el modelo seleccionado (regresion logistica calibrada) alcanza un ROC-AUC de 0,81 y un PR-AUC de 0,44, con una prevalencia real de diabetes del 16 %. El valor de negocio es un instrumento de tamizaje temprano y educativo que prioriza el recall (detectar casos) sobre la exactitud global, adecuado a un problema de salud publica con clases desbalanceadas.</w:t>
      </w:r>
    </w:p>
    <w:p>
      <w:pPr>
        <w:spacing w:after="120"/>
      </w:pPr>
      <w:r>
        <w:rPr>
          <w:i/>
          <w:iCs/>
          <w:color w:val="4A5568"/>
        </w:rPr>
        <w:t xml:space="preserve">Aviso: la variable objetivo es una aproximacion analitica/educativa basada en criterios ADA; no constituye diagnostico clinico.</w:t>
      </w:r>
    </w:p>
    <w:p>
      <w:pPr>
        <w:pStyle w:val="Heading1"/>
      </w:pPr>
      <w:r>
        <w:t xml:space="preserve">2. Contexto de negocio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Problema:</w:t>
      </w:r>
      <w:r>
        <w:rPr>
          <w:b w:val="false"/>
          <w:bCs w:val="false"/>
        </w:rPr>
        <w:t xml:space="preserve"> la diabetes tipo 2 suele diagnosticarse tarde; un tamizaje temprano de bajo costo permite intervenir sobre factores de riesgo modificables.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Objetivo:</w:t>
      </w:r>
      <w:r>
        <w:rPr>
          <w:b w:val="false"/>
          <w:bCs w:val="false"/>
        </w:rPr>
        <w:t xml:space="preserve"> estimar el riesgo/estado de diabetes usando variables demograficas, antropometricas, de estilo de vida y biomarcadores disponibles en NHANES.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Impacto esperado:</w:t>
      </w:r>
      <w:r>
        <w:rPr>
          <w:b w:val="false"/>
          <w:bCs w:val="false"/>
        </w:rPr>
        <w:t xml:space="preserve"> priorizar poblacion para chequeos, dimensionar el problema por segmentos y ofrecer un simulador individual de riesgo.</w:t>
      </w:r>
    </w:p>
    <w:p>
      <w:pPr>
        <w:pStyle w:val="Heading1"/>
      </w:pPr>
      <w:r>
        <w:t xml:space="preserve">3. Arquitectura tecnica</w:t>
      </w:r>
    </w:p>
    <w:p>
      <w:pPr>
        <w:spacing w:after="120"/>
      </w:pPr>
      <w:r>
        <w:t xml:space="preserve">El proyecto usa Kedro como framework de orquestacion: catalogo de datos declarativo (las rutas viven en catalog.yml, no en el codigo) y el flujo dividido en pipelines independientes y reproducibles.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60"/>
        <w:gridCol w:w="32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 archivos XPT + umbrales + auditoria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Kedro, pandas, pyreadstat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Limpieza/Features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merge SEQN, imputacion, target, encoding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 clasificadores + calibracion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scikit-learn, xgboost, lightgbm, catboost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REST +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FastAPI, Next.js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containers + despliegue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Compose, AWS EC2, GitHub Actions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Pipelines Kedro: ingestion -&gt; cleaning -&gt; feature_engineering -&gt; modeling -&gt; reporting. Cada uno se ejecuta con kedro run y produce artefactos versionados por capa (data/01_raw ... data/08_reporting).</w:t>
      </w:r>
    </w:p>
    <w:p>
      <w:pPr>
        <w:pStyle w:val="Heading1"/>
      </w:pPr>
      <w:r>
        <w:t xml:space="preserve">4. Pipeline ETL y fuentes de datos</w:t>
      </w:r>
    </w:p>
    <w:p>
      <w:pPr>
        <w:spacing w:after="120"/>
      </w:pPr>
      <w:r>
        <w:t xml:space="preserve">Integra tres tipos de fuentes, cumpliendo el requisito de multi-fuente: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NHANES XPT (SAS transport):</w:t>
      </w:r>
      <w:r>
        <w:rPr>
          <w:b w:val="false"/>
          <w:bCs w:val="false"/>
        </w:rPr>
        <w:t xml:space="preserve"> DEMO, DIQ, BMX, GHB, GLU, PAQ, SLQ, BPXO del ciclo 2021-2023.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Archivo propio de umbrales (CSV):</w:t>
      </w:r>
      <w:r>
        <w:rPr>
          <w:b w:val="false"/>
          <w:bCs w:val="false"/>
        </w:rPr>
        <w:t xml:space="preserve"> criterios clinicos parametrizados (A1C, glucosa, IMC, edad).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Base SQLite de auditoria:</w:t>
      </w:r>
      <w:r>
        <w:rPr>
          <w:b w:val="false"/>
          <w:bCs w:val="false"/>
        </w:rPr>
        <w:t xml:space="preserve"> tablas ingestion_audit y etl_audit que registran filas, columnas y nulos antes/despues por corrida.</w:t>
      </w:r>
    </w:p>
    <w:p>
      <w:pPr>
        <w:spacing w:after="120"/>
      </w:pPr>
      <w:r>
        <w:t xml:space="preserve">Robustez: la union se hace por la llave SEQN con validacion que aborta si hay SEQN duplicado; validate_required_columns lanza error si falta una columna obligatoria; los codigos especiales NHANES (7, 9, 77, 99) se convierten a nulo antes de imputar.</w:t>
      </w:r>
    </w:p>
    <w:p>
      <w:pPr>
        <w:pStyle w:val="Heading1"/>
      </w:pPr>
      <w:r>
        <w:t xml:space="preserve">5. Transformaciones avanzadas y optimizacion</w:t>
      </w:r>
    </w:p>
    <w:p>
      <w:pPr>
        <w:spacing w:after="120"/>
      </w:pPr>
      <w:r>
        <w:t xml:space="preserve">Se aplican tecnicas optimizadas para gran escala (modulo utils/transforms.py), con impacto medido sobre el dataset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Tecnica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Optimizacion memoria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downcast dtypes + 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2,74 MB -&gt; 0,76 MB (-72 %)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Broadcasting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z-score vectorizado NumPy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estandarizacion sin bucles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pivot_table agregado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prevalencia por segmento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Reshape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melt wide-&gt;long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8149x44 -&gt; 16298x3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Chunking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lectura por bloques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memoria O(grupos)</w:t>
            </w:r>
          </w:p>
        </w:tc>
      </w:tr>
    </w:tbl>
    <w:p>
      <w:pPr>
        <w:pStyle w:val="Heading1"/>
      </w:pPr>
      <w:r>
        <w:t xml:space="preserve">6. Limpieza y construccion del target</w:t>
      </w:r>
    </w:p>
    <w:p>
      <w:pPr>
        <w:spacing w:after="120"/>
      </w:pPr>
      <w:r>
        <w:t xml:space="preserve">La variable diabetes_target se construye ANTES de imputar sus fuentes para no inventar positivos: vale 1 si DIQ010 = 1 (diagnostico reportado), o LBXGH &gt;= 6,5 (A1C), o LBXGLU &gt;= 126 (glucosa en ayunas); 0 en caso contrario. Las filas sin ninguna fuente determinable se descartan en lugar de asumir un 0.</w:t>
      </w:r>
    </w:p>
    <w:p>
      <w:pPr>
        <w:spacing w:after="120"/>
      </w:pPr>
      <w:r>
        <w:t xml:space="preserve">Decision clave (revision de calidad): se detecto y corrigio una fuga de datos excluyendo los biomarcadores que definen el target (LBXGH, LBXGLU y derivados) del conjunto de features, evitando metricas infladas artificialmente.</w:t>
      </w:r>
    </w:p>
    <w:p>
      <w:pPr>
        <w:pStyle w:val="Heading1"/>
      </w:pPr>
      <w:r>
        <w:t xml:space="preserve">7. Portafolio de modelos ML</w:t>
      </w:r>
    </w:p>
    <w:p>
      <w:pPr>
        <w:spacing w:after="120"/>
      </w:pPr>
      <w:r>
        <w:t xml:space="preserve">Se entrenaron y compararon seis clasificadores dentro de un Pipeline ajustado solo con train (sin fuga), con class_weight balanceado y seleccion por PR-AUC, metrica honesta ante clases desbalanceadas (prevalencia 16 %).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ROC-AUC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PR-AUC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Logistic Regression *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0,723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0,747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0,463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0,816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0,441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0,765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0,678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0,480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0,811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0,403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0,742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0,705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0,466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0,814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0,423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XGBoost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0,734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0,690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0,454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0,808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0,414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LightGBM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0,758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0,590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0,438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0,797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0,395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CatBoost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0,748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0,655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0,454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0,807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0,421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* Modelo seleccionado (mayor PR-AUC). Calibrado con isotonic regression, umbral optimo 0,31, Brier 0,11.</w:t>
      </w:r>
    </w:p>
    <w:p>
      <w:pPr>
        <w:spacing w:after="120"/>
      </w:pPr>
      <w:r>
        <w:t xml:space="preserve">Interpretacion: la regresion logistica gana en PR-AUC y recall, detectando ~75 % de los casos positivos; el resto de modelos ofrece mayor accuracy pero menor recall, poco util cuando el costo de no detectar un caso es alto.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2190750"/>
            <wp:effectExtent t="0" r="0" b="0" l="0"/>
            <wp:docPr id="1" name="fig" descr="figura del informe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Figura 1. Matriz de confusion (umbral 0,31): TN=1109, FP=260, FN=99, TP=162.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fig" descr="figura del informe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568"/>
          <w:sz w:val="18"/>
          <w:szCs w:val="18"/>
        </w:rPr>
        <w:t xml:space="preserve">Figura 2. Importancia de variables del modelo.</w:t>
      </w:r>
    </w:p>
    <w:p>
      <w:pPr>
        <w:pStyle w:val="Heading1"/>
      </w:pPr>
      <w:r>
        <w:t xml:space="preserve">8. API REST y dashboard</w:t>
      </w:r>
    </w:p>
    <w:p>
      <w:pPr>
        <w:spacing w:after="120"/>
      </w:pPr>
      <w:r>
        <w:t xml:space="preserve">La API FastAPI expone salud, metadatos, metricas y prediccion (individual y por lote), documentada automaticamente en /docs. Si el modelo no existe responde 503 en lugar de caerse.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Metodo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del servicio y del 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/model-info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y version del 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/metrics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metricas del modelo entrenado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/predict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prediccion de riesgo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/predict/batch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prediccion por lote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El dashboard (Next.js) ofrece tres vistas por audiencia: Ejecutiva (KPIs y distribuciones), Tecnica (metricas, matriz de confusion, importancia) y Operativa (filtros, descarga CSV y simulador de prediccion).</w:t>
      </w:r>
    </w:p>
    <w:p>
      <w:pPr>
        <w:pStyle w:val="Heading1"/>
      </w:pPr>
      <w:r>
        <w:t xml:space="preserve">9. Containerizacion, CI/CD y despliegue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Docker:</w:t>
      </w:r>
      <w:r>
        <w:rPr>
          <w:b w:val="false"/>
          <w:bCs w:val="false"/>
        </w:rPr>
        <w:t xml:space="preserve"> cuatro servicios (kedro-etl, api, dashboard, db) orquestados con docker-compose; depends_on para el orden, volumen data/ compartido e imagenes python:3.11-slim optimizadas por capas.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CI/CD:</w:t>
      </w:r>
      <w:r>
        <w:rPr>
          <w:b w:val="false"/>
          <w:bCs w:val="false"/>
        </w:rPr>
        <w:t xml:space="preserve"> workflow de GitHub Actions (.github/workflows/ci.yml) que corre lint, tests (pytest), build del frontend y build de la imagen Docker en cada push/PR a develop y 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AWS:</w:t>
      </w:r>
      <w:r>
        <w:rPr>
          <w:b w:val="false"/>
          <w:bCs w:val="false"/>
        </w:rPr>
        <w:t xml:space="preserve"> despliegue en EC2 + docker-compose documentado en docs/guia_despliegue_aws.md, con scripts de bootstrap (user_data.sh) y deploy (deploy.sh) para AWS Academy Learner Lab.</w:t>
      </w:r>
    </w:p>
    <w:p>
      <w:pPr>
        <w:pStyle w:val="Heading1"/>
      </w:pPr>
      <w:r>
        <w:t xml:space="preserve">10. KPIs y analisis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Participantes analizados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8.149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Prevalencia de diabetes (target)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16,0 %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Recall del modelo (casos detectados)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ROC-AUC / PR-AUC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0,81 / 0,44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Reduccion de memoria (ETL)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-72 %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comparados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</w:tbl>
    <w:p>
      <w:pPr>
        <w:pStyle w:val="Heading1"/>
      </w:pPr>
      <w:r>
        <w:t xml:space="preserve">11. Colaboracion y gestion de proyecto</w:t>
      </w:r>
    </w:p>
    <w:p>
      <w:pPr>
        <w:spacing w:after="120"/>
      </w:pPr>
      <w:r>
        <w:t xml:space="preserve">Estrategia Git Flow simplificada: main estable, develop de integracion y una rama feature por responsabilidad. Ninguna rama feature se integro directo a main; todo paso por Pull Request a develop con revision. Se registraron 8 Pull Requests y un revert (PR #4) que evidencia que el control de calidad detecto y corrigio un merge incorrecto.</w:t>
      </w:r>
    </w:p>
    <w:p>
      <w:pPr>
        <w:spacing w:after="120"/>
      </w:pPr>
      <w:r>
        <w:t xml:space="preserve">La colaboracion se apoyo en un contrato de interfaz (docs/CONTRATO_FEATURE_B.md) que fijo las columnas del dataset entre ramas, permitiendo desarrollar modelado, API y dashboard en paralelo.</w:t>
      </w:r>
    </w:p>
    <w:p>
      <w:pPr>
        <w:pStyle w:val="Heading1"/>
      </w:pPr>
      <w:r>
        <w:t xml:space="preserve">12. Limitaciones y mejoras futuras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El target es una etiqueta educativa (criterios ADA), no un diagnostico clinico; algunas variables son autoinformadas.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NHANES es una encuesta poblacional transversal, no una historia clinica longitudinal.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Mejoras: CI que bloquee merges con tests en rojo, build multi-stage, monitoreo de data drift y reentrenamiento programado.</w:t>
      </w:r>
    </w:p>
    <w:p>
      <w:r>
        <w:br w:type="page"/>
      </w:r>
    </w:p>
    <w:p>
      <w:pPr>
        <w:pStyle w:val="Heading1"/>
      </w:pPr>
      <w:r>
        <w:t xml:space="preserve">Anexos</w:t>
      </w:r>
    </w:p>
    <w:p>
      <w:pPr>
        <w:pStyle w:val="Heading2"/>
      </w:pPr>
      <w:r>
        <w:t xml:space="preserve">A. Estructura del repositorio</w:t>
      </w:r>
    </w:p>
    <w:p>
      <w:pPr>
        <w:spacing w:after="120"/>
      </w:pPr>
      <w:r>
        <w:rPr>
          <w:rFonts w:ascii="Arial" w:cs="Arial" w:eastAsia="Arial" w:hAnsi="Arial"/>
        </w:rPr>
        <w:t xml:space="preserve">/src (pipelines Kedro), /api (FastAPI), /frontend (Next.js), /dashboards, /docker, /docs, /tests, /repo (evidencias Git), /data, /scripts, /deploy/aws.</w:t>
      </w:r>
    </w:p>
    <w:p>
      <w:pPr>
        <w:pStyle w:val="Heading2"/>
      </w:pPr>
      <w:r>
        <w:t xml:space="preserve">B. Reproducibilidad</w:t>
      </w:r>
    </w:p>
    <w:p>
      <w:pPr>
        <w:spacing w:after="120"/>
      </w:pPr>
      <w:r>
        <w:t xml:space="preserve">cp .env.example .env  -&gt;  python scripts/download_nhanes.py  -&gt;  kedro run  -&gt;  docker compose -f docker/docker-compose.yml up --build</w:t>
      </w:r>
    </w:p>
    <w:p>
      <w:pPr>
        <w:pStyle w:val="Heading2"/>
      </w:pPr>
      <w:r>
        <w:t xml:space="preserve">C. Evidencias de pruebas</w:t>
      </w:r>
    </w:p>
    <w:p>
      <w:pPr>
        <w:spacing w:after="120"/>
      </w:pPr>
      <w:r>
        <w:t xml:space="preserve">Suite pytest sobre ingesta, limpieza, features, modelo y transformaciones avanzadas; ejecutada localmente y en CI (GitHub Actions).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t xml:space="preserve">Pagina </w:t>
    </w: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568"/>
        <w:sz w:val="16"/>
        <w:szCs w:val="16"/>
      </w:rPr>
      <w:t xml:space="preserve">DiabetesNHANES - Informe Tecnico Ejecutivo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3b8e3290c78880efdd4838004ebc5a0246171.png"/><Relationship Id="rId10" Type="http://schemas.openxmlformats.org/officeDocument/2006/relationships/image" Target="media/903dc6dc6e9835673cffbc78e6e64f2cfcf20766.png"/><Relationship Id="rId11" Type="http://schemas.openxmlformats.org/officeDocument/2006/relationships/image" Target="media/6b55fa8e17c550baf24e7d06f163cc69b1e15e4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2026-07-01T21:12:46.513Z</dcterms:created>
  <dcterms:modified xsi:type="dcterms:W3CDTF">2026-07-01T21:12:46.514Z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