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Guía de defensa - Presentación EP1</w:t>
      </w:r>
    </w:p>
    <w:p>
      <w:pPr>
        <w:spacing w:after="120" w:line="276"/>
        <w:jc w:val="both"/>
      </w:pPr>
      <w:r>
        <w:t xml:space="preserve">StreamView Analytics | ADY1104 Visualización de Datos | Claudio Aro, Guillermo Cerda, Manuel Díaz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4A62"/>
                <w:sz w:val="22"/>
                <w:szCs w:val="22"/>
              </w:rPr>
              <w:t xml:space="preserve">Cómo usar esta guía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 nota es individual y el docente puede hacer preguntas cruzadas: </w:t>
            </w:r>
            <w:r>
              <w:rPr>
                <w:b/>
                <w:bCs/>
                <w:sz w:val="20"/>
                <w:szCs w:val="20"/>
              </w:rPr>
              <w:t xml:space="preserve">los tres integrantes deben dominar todo el contenido</w:t>
            </w:r>
            <w:r>
              <w:rPr>
                <w:sz w:val="20"/>
                <w:szCs w:val="20"/>
              </w:rPr>
              <w:t xml:space="preserve">, no solo sus diapositivas.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Tiempo: 10 minutos de exposición + 5 de preguntas. Ensayar con cronómetro al menos dos veces. Si se hace la demo en vivo, recortar 30 s en otras diapositivas.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Regla de oro al responder: dato + significado + decisión ("el 62% de las series tiene menos de 10 votos, eso significa que no se descubren, por eso proponemos...").</w:t>
            </w:r>
          </w:p>
        </w:tc>
      </w:tr>
    </w:tbl>
    <w:p>
      <w:pPr>
        <w:pStyle w:val="Heading2"/>
      </w:pPr>
      <w:r>
        <w:t xml:space="preserve">1. Distribución de la exposición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5160"/>
      </w:tblGrid>
      <w:tr>
        <w:trPr>
          <w:cantSplit/>
          <w:tblHeader/>
        </w:trPr>
        <w:tc>
          <w:tcPr>
            <w:tcW w:type="dxa" w:w="18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2E4A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4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2E4A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Diapositivas</w:t>
            </w:r>
          </w:p>
        </w:tc>
        <w:tc>
          <w:tcPr>
            <w:tcW w:type="dxa" w:w="1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2E4A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51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2E4A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Claudio Aro</w:t>
            </w:r>
          </w:p>
        </w:tc>
        <w:tc>
          <w:tcPr>
            <w:tcW w:type="dxa" w:w="14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1 a 5</w:t>
            </w:r>
          </w:p>
        </w:tc>
        <w:tc>
          <w:tcPr>
            <w:tcW w:type="dxa" w:w="1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3:00</w:t>
            </w:r>
          </w:p>
        </w:tc>
        <w:tc>
          <w:tcPr>
            <w:tcW w:type="dxa" w:w="51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Presentación, problema de negocio, audiencia y propósito, estrategia de comunicación, metodología CRISP-DM, fuentes e integración de datos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Guillermo Cerda</w:t>
            </w:r>
          </w:p>
        </w:tc>
        <w:tc>
          <w:tcPr>
            <w:tcW w:type="dxa" w:w="14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6 a 11</w:t>
            </w:r>
          </w:p>
        </w:tc>
        <w:tc>
          <w:tcPr>
            <w:tcW w:type="dxa" w:w="1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3:40</w:t>
            </w:r>
          </w:p>
        </w:tc>
        <w:tc>
          <w:tcPr>
            <w:tcW w:type="dxa" w:w="51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Concentración, índice de tracción, joyas ocultas, idiomas, tendencia y ROI, justificación técnica de los gráficos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Manuel Díaz</w:t>
            </w:r>
          </w:p>
        </w:tc>
        <w:tc>
          <w:tcPr>
            <w:tcW w:type="dxa" w:w="14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12 a 16</w:t>
            </w:r>
          </w:p>
        </w:tc>
        <w:tc>
          <w:tcPr>
            <w:tcW w:type="dxa" w:w="1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3:00</w:t>
            </w:r>
          </w:p>
        </w:tc>
        <w:tc>
          <w:tcPr>
            <w:tcW w:type="dxa" w:w="51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Idea central, dashboard, recomendaciones con evidencia, evaluación crítica, cierre</w:t>
            </w:r>
          </w:p>
        </w:tc>
      </w:tr>
    </w:tbl>
    <w:p>
      <w:pPr>
        <w:spacing w:after="120" w:line="276"/>
        <w:jc w:val="both"/>
      </w:pPr>
      <w:r>
        <w:t xml:space="preserve">El guion completo de cada diapositiva está en las notas del orador del archivo PowerPoint.</w:t>
      </w:r>
    </w:p>
    <w:p>
      <w:pPr>
        <w:pStyle w:val="Heading2"/>
      </w:pPr>
      <w:r>
        <w:t xml:space="preserve">2. Cifras que todos deben saber de memoria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2E4A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Cifra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2E4A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31.991 títulos, 2010-2025, 83 idiomas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Tamaño del catálogo integrado (16.000 películas y 15.991 series)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71% / 86%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Votos que concentra el 10% de títulos más votados (películas / series)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62%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Series con menos de 10 votos (baja visibilidad)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x2,5 / x0,1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Tracción de ciencia ficción y fantasía / reality, talk show, noticias (series)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54% vs 26%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Documentales de película con nota 7+ vs total de películas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52% vs 21%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Películas japonesas vs en inglés con nota 7+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0,23 / 0,17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Correlación de Spearman popularidad-calificación (películas / series)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-17%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ROI mediano de películas de 2020 (antes ~100%, hoy 61%)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20% a 28% / 56% a 71%</w:t>
            </w:r>
          </w:p>
        </w:tc>
        <w:tc>
          <w:tcPr>
            <w:tcW w:type="dxa" w:w="63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color w:val="1F2430"/>
                <w:sz w:val="18"/>
                <w:szCs w:val="18"/>
              </w:rPr>
              <w:t xml:space="preserve">Películas / series bien evaluadas, 2010 a 2024</w:t>
            </w:r>
          </w:p>
        </w:tc>
      </w:tr>
    </w:tbl>
    <w:p>
      <w:pPr>
        <w:pStyle w:val="Heading2"/>
      </w:pPr>
      <w:r>
        <w:t xml:space="preserve">3. Preguntas probables por indicador de la pauta</w:t>
      </w:r>
    </w:p>
    <w:p>
      <w:pPr>
        <w:spacing w:after="120" w:line="276"/>
        <w:jc w:val="both"/>
      </w:pPr>
      <w:r>
        <w:rPr>
          <w:b/>
          <w:bCs/>
        </w:rPr>
        <w:t xml:space="preserve">IE1 - Audiencia objetivo</w:t>
      </w:r>
    </w:p>
    <w:p>
      <w:pPr>
        <w:spacing w:after="40" w:before="120"/>
        <w:jc w:val="both"/>
      </w:pPr>
      <w:r>
        <w:rPr>
          <w:b/>
          <w:bCs/>
        </w:rPr>
        <w:t xml:space="preserve">P: ¿Quién es su audiencia y por qué?</w:t>
      </w:r>
    </w:p>
    <w:p>
      <w:pPr>
        <w:spacing w:after="120" w:line="276"/>
        <w:jc w:val="both"/>
      </w:pPr>
      <w:r>
        <w:t xml:space="preserve">R: La audiencia primaria es el directorio y la gerencia general, que decide con poco tiempo y sin perfil técnico. Hay tres audiencias secundarias: contenidos y adquisiciones, producto y experiencia de usuario, y el equipo de analítica. Por eso hicimos dos productos: una narrativa ejecutiva y un dashboard exploratorio.</w:t>
      </w:r>
    </w:p>
    <w:p>
      <w:pPr>
        <w:spacing w:after="40" w:before="120"/>
        <w:jc w:val="both"/>
      </w:pPr>
      <w:r>
        <w:rPr>
          <w:b/>
          <w:bCs/>
        </w:rPr>
        <w:t xml:space="preserve">P: ¿Cómo adaptaron la solución a esa audiencia?</w:t>
      </w:r>
    </w:p>
    <w:p>
      <w:pPr>
        <w:spacing w:after="120" w:line="276"/>
        <w:jc w:val="both"/>
      </w:pPr>
      <w:r>
        <w:t xml:space="preserve">R: Pirámide invertida (conclusión primero), un solo mensaje por diapositiva, lenguaje de negocio ("joyas ocultas", "tracción") en vez de términos estadísticos, y metas medibles. El detalle técnico queda en el informe, los notebooks y la página de metodología.</w:t>
      </w:r>
    </w:p>
    <w:p>
      <w:pPr>
        <w:spacing w:after="120" w:line="276"/>
        <w:jc w:val="both"/>
      </w:pPr>
      <w:r>
        <w:rPr>
          <w:b/>
          <w:bCs/>
        </w:rPr>
        <w:t xml:space="preserve">IE2 - Propósito comunicacional</w:t>
      </w:r>
    </w:p>
    <w:p>
      <w:pPr>
        <w:spacing w:after="40" w:before="120"/>
        <w:jc w:val="both"/>
      </w:pPr>
      <w:r>
        <w:rPr>
          <w:b/>
          <w:bCs/>
        </w:rPr>
        <w:t xml:space="preserve">P: ¿Cuál es el propósito comunicacional?</w:t>
      </w:r>
    </w:p>
    <w:p>
      <w:pPr>
        <w:spacing w:after="120" w:line="276"/>
        <w:jc w:val="both"/>
      </w:pPr>
      <w:r>
        <w:t xml:space="preserve">R: Persuadir a la gerencia para aprobar tres decisiones (exponer las joyas ocultas, reorientar la adquisición y medir comportamiento real) e informar a las gerencias operativas mediante el dashboard. Se conecta con el negocio porque el contenido no descubierto reduce el valor percibido y pone en riesgo la retención de suscriptores.</w:t>
      </w:r>
    </w:p>
    <w:p>
      <w:pPr>
        <w:spacing w:after="120" w:line="276"/>
        <w:jc w:val="both"/>
      </w:pPr>
      <w:r>
        <w:rPr>
          <w:b/>
          <w:bCs/>
        </w:rPr>
        <w:t xml:space="preserve">IE3 - Estrategia de comunicación</w:t>
      </w:r>
    </w:p>
    <w:p>
      <w:pPr>
        <w:spacing w:after="40" w:before="120"/>
        <w:jc w:val="both"/>
      </w:pPr>
      <w:r>
        <w:rPr>
          <w:b/>
          <w:bCs/>
        </w:rPr>
        <w:t xml:space="preserve">P: ¿Por qué eligieron una estructura de storytelling en tres actos?</w:t>
      </w:r>
    </w:p>
    <w:p>
      <w:pPr>
        <w:spacing w:after="120" w:line="276"/>
        <w:jc w:val="both"/>
      </w:pPr>
      <w:r>
        <w:t xml:space="preserve">R: Contexto, conflicto y resolución generan tensión y la resuelven con acciones concretas; eso facilita que una audiencia ejecutiva recuerde el mensaje y tome una decisión. La idea central actúa como hilo conductor.</w:t>
      </w:r>
    </w:p>
    <w:p>
      <w:pPr>
        <w:spacing w:after="40" w:before="120"/>
        <w:jc w:val="both"/>
      </w:pPr>
      <w:r>
        <w:rPr>
          <w:b/>
          <w:bCs/>
        </w:rPr>
        <w:t xml:space="preserve">P: ¿Qué alternativas de estrategia descartaron?</w:t>
      </w:r>
    </w:p>
    <w:p>
      <w:pPr>
        <w:spacing w:after="120" w:line="276"/>
        <w:jc w:val="both"/>
      </w:pPr>
      <w:r>
        <w:t xml:space="preserve">R: El relato cronológico del análisis, porque entierra la conclusión al final; un único dashboard para todos, porque sobrecarga a la gerencia y no sostiene un argumento; y la jerga estadística en el mensaje principal, porque aleja a la audiencia primaria. Está en la diapositiva 3 y en la Tabla de estrategia del informe.</w:t>
      </w:r>
    </w:p>
    <w:p>
      <w:pPr>
        <w:spacing w:after="40" w:before="120"/>
        <w:jc w:val="both"/>
      </w:pPr>
      <w:r>
        <w:rPr>
          <w:b/>
          <w:bCs/>
        </w:rPr>
        <w:t xml:space="preserve">P: ¿Por qué títulos-mensaje?</w:t>
      </w:r>
    </w:p>
    <w:p>
      <w:pPr>
        <w:spacing w:after="120" w:line="276"/>
        <w:jc w:val="both"/>
      </w:pPr>
      <w:r>
        <w:t xml:space="preserve">R: Porque reducen la carga cognitiva: el lector no tiene que deducir la conclusión del gráfico; el título ya la dice y el gráfico la demuestra.</w:t>
      </w:r>
    </w:p>
    <w:p>
      <w:pPr>
        <w:spacing w:after="120" w:line="276"/>
        <w:jc w:val="both"/>
      </w:pPr>
      <w:r>
        <w:rPr>
          <w:b/>
          <w:bCs/>
        </w:rPr>
        <w:t xml:space="preserve">Metodología CRISP-DM</w:t>
      </w:r>
    </w:p>
    <w:p>
      <w:pPr>
        <w:spacing w:after="40" w:before="120"/>
        <w:jc w:val="both"/>
      </w:pPr>
      <w:r>
        <w:rPr>
          <w:b/>
          <w:bCs/>
        </w:rPr>
        <w:t xml:space="preserve">P: ¿Qué metodología siguieron?</w:t>
      </w:r>
    </w:p>
    <w:p>
      <w:pPr>
        <w:spacing w:after="120" w:line="276"/>
        <w:jc w:val="both"/>
      </w:pPr>
      <w:r>
        <w:t xml:space="preserve">R: CRISP-DM, en seis fases: comprensión del negocio (problema, 8 preguntas, audiencias), comprensión de los datos (2 fuentes, diagnóstico de calidad, origen TMDB), preparación (limpieza, 21 géneros, 31.991 títulos), modelado (indicadores descriptivos: calificación ponderada, tracción, Lorenz, cuadrantes), evaluación (76 cifras verificadas, robustez) y despliegue (dashboard, informe, presentación).</w:t>
      </w:r>
    </w:p>
    <w:p>
      <w:pPr>
        <w:spacing w:after="40" w:before="120"/>
        <w:jc w:val="both"/>
      </w:pPr>
      <w:r>
        <w:rPr>
          <w:b/>
          <w:bCs/>
        </w:rPr>
        <w:t xml:space="preserve">P: Si no hay modelo predictivo, ¿qué es el modelado?</w:t>
      </w:r>
    </w:p>
    <w:p>
      <w:pPr>
        <w:spacing w:after="120" w:line="276"/>
        <w:jc w:val="both"/>
      </w:pPr>
      <w:r>
        <w:t xml:space="preserve">R: Un modelado analítico-descriptivo: construimos indicadores y segmentaciones y elegimos la codificación visual. El objetivo era explicar y comunicar, no predecir, y así lo declaramos en el informe.</w:t>
      </w:r>
    </w:p>
    <w:p>
      <w:pPr>
        <w:spacing w:after="40" w:before="120"/>
        <w:jc w:val="both"/>
      </w:pPr>
      <w:r>
        <w:rPr>
          <w:b/>
          <w:bCs/>
        </w:rPr>
        <w:t xml:space="preserve">P: ¿Dónde se ve que CRISP-DM es iterativo?</w:t>
      </w:r>
    </w:p>
    <w:p>
      <w:pPr>
        <w:spacing w:after="120" w:line="276"/>
        <w:jc w:val="both"/>
      </w:pPr>
      <w:r>
        <w:t xml:space="preserve">R: Tres ejemplos: las notas 0 sin votos nos hicieron volver a la preparación; los promedios engañosos por género, al modelado (calificación ponderada); y descubrir que los votos vienen de TMDB nos hizo volver al negocio para redefinir las metas con reproducciones propias.</w:t>
      </w:r>
    </w:p>
    <w:p>
      <w:pPr>
        <w:spacing w:after="120" w:line="276"/>
        <w:jc w:val="both"/>
      </w:pPr>
      <w:r>
        <w:rPr>
          <w:b/>
          <w:bCs/>
        </w:rPr>
        <w:t xml:space="preserve">IE8 - Justificación técnica de las representaciones</w:t>
      </w:r>
    </w:p>
    <w:p>
      <w:pPr>
        <w:spacing w:after="40" w:before="120"/>
        <w:jc w:val="both"/>
      </w:pPr>
      <w:r>
        <w:rPr>
          <w:b/>
          <w:bCs/>
        </w:rPr>
        <w:t xml:space="preserve">P: ¿Por qué una curva de Lorenz y no un gráfico de barras?</w:t>
      </w:r>
    </w:p>
    <w:p>
      <w:pPr>
        <w:spacing w:after="120" w:line="276"/>
        <w:jc w:val="both"/>
      </w:pPr>
      <w:r>
        <w:t xml:space="preserve">R: Con 16.000 títulos por tipo, las barras serían ilegibles. La curva de Lorenz es la representación estándar de concentración: la distancia a la diagonal muestra la desigualdad.</w:t>
      </w:r>
    </w:p>
    <w:p>
      <w:pPr>
        <w:spacing w:after="40" w:before="120"/>
        <w:jc w:val="both"/>
      </w:pPr>
      <w:r>
        <w:rPr>
          <w:b/>
          <w:bCs/>
        </w:rPr>
        <w:t xml:space="preserve">P: ¿Por qué una matriz de burbujas en escala logarítmica?</w:t>
      </w:r>
    </w:p>
    <w:p>
      <w:pPr>
        <w:spacing w:after="120" w:line="276"/>
        <w:jc w:val="both"/>
      </w:pPr>
      <w:r>
        <w:t xml:space="preserve">R: Relaciona tres variables (tracción, calificación y cantidad de títulos) y los cuadrantes convierten el dato en acción. La escala log es necesaria porque la tracción va de 0,06 a 2,5; en escala lineal los géneros de baja tracción quedarían amontonados. Además la tracción es una razón, y en escala log x0,5 y x2 quedan a la misma distancia de 1.</w:t>
      </w:r>
    </w:p>
    <w:p>
      <w:pPr>
        <w:spacing w:after="40" w:before="120"/>
        <w:jc w:val="both"/>
      </w:pPr>
      <w:r>
        <w:rPr>
          <w:b/>
          <w:bCs/>
        </w:rPr>
        <w:t xml:space="preserve">P: ¿Por qué no usaron gráficos de torta?</w:t>
      </w:r>
    </w:p>
    <w:p>
      <w:pPr>
        <w:spacing w:after="120" w:line="276"/>
        <w:jc w:val="both"/>
      </w:pPr>
      <w:r>
        <w:t xml:space="preserve">R: Comparar ángulos es menos preciso que comparar longitudes. Para composición usamos barras apiladas al 100%.</w:t>
      </w:r>
    </w:p>
    <w:p>
      <w:pPr>
        <w:spacing w:after="40" w:before="120"/>
        <w:jc w:val="both"/>
      </w:pPr>
      <w:r>
        <w:rPr>
          <w:b/>
          <w:bCs/>
        </w:rPr>
        <w:t xml:space="preserve">P: ¿Qué atributos visuales usaron y por qué?</w:t>
      </w:r>
    </w:p>
    <w:p>
      <w:pPr>
        <w:spacing w:after="120" w:line="276"/>
        <w:jc w:val="both"/>
      </w:pPr>
      <w:r>
        <w:t xml:space="preserve">R: Posición y longitud para los valores (los atributos que el ojo compara con más precisión), color solo para énfasis (preatentivo: gris contexto, azul petróleo oportunidad, rojo alerta; cada color tiene un solo significado), tamaño para volumen en la matriz y forma/línea para tendencias. Evitamos el par verde-rojo, difícil de distinguir con daltonismo, y el color siempre va acompañado de etiquetas.</w:t>
      </w:r>
    </w:p>
    <w:p>
      <w:pPr>
        <w:spacing w:after="40" w:before="120"/>
        <w:jc w:val="both"/>
      </w:pPr>
      <w:r>
        <w:rPr>
          <w:b/>
          <w:bCs/>
        </w:rPr>
        <w:t xml:space="preserve">P: ¿Por qué no usaron verde para lo positivo?</w:t>
      </w:r>
    </w:p>
    <w:p>
      <w:pPr>
        <w:spacing w:after="120" w:line="276"/>
        <w:jc w:val="both"/>
      </w:pPr>
      <w:r>
        <w:t xml:space="preserve">R: Porque verde y rojo juntos son la combinación más difícil de distinguir para personas con daltonismo (cerca del 8% de los hombres). Usamos azul petróleo para oportunidad y rojo para alerta, que difieren en tono y luminosidad, y siempre agregamos etiquetas.</w:t>
      </w:r>
    </w:p>
    <w:p>
      <w:pPr>
        <w:spacing w:after="40" w:before="120"/>
        <w:jc w:val="both"/>
      </w:pPr>
      <w:r>
        <w:rPr>
          <w:b/>
          <w:bCs/>
        </w:rPr>
        <w:t xml:space="preserve">P: ¿Qué principios de Gestalt aplicaron?</w:t>
      </w:r>
    </w:p>
    <w:p>
      <w:pPr>
        <w:spacing w:after="120" w:line="276"/>
        <w:jc w:val="both"/>
      </w:pPr>
      <w:r>
        <w:t xml:space="preserve">R: Proximidad (paneles de películas y series lado a lado), similitud (mismo color para el mismo tipo en todos los productos) y cerramiento (cuadrantes de la matriz y tarjetas en la presentación).</w:t>
      </w:r>
    </w:p>
    <w:p>
      <w:pPr>
        <w:spacing w:after="120" w:line="276"/>
        <w:jc w:val="both"/>
      </w:pPr>
      <w:r>
        <w:rPr>
          <w:b/>
          <w:bCs/>
        </w:rPr>
        <w:t xml:space="preserve">IE11 - Recursos orales, escritos y visuales</w:t>
      </w:r>
    </w:p>
    <w:p>
      <w:pPr>
        <w:spacing w:after="40" w:before="120"/>
        <w:jc w:val="both"/>
      </w:pPr>
      <w:r>
        <w:rPr>
          <w:b/>
          <w:bCs/>
        </w:rPr>
        <w:t xml:space="preserve">P: ¿Cómo integraron los tres recursos?</w:t>
      </w:r>
    </w:p>
    <w:p>
      <w:pPr>
        <w:spacing w:after="120" w:line="276"/>
        <w:jc w:val="both"/>
      </w:pPr>
      <w:r>
        <w:t xml:space="preserve">R: Visual: un gráfico con un énfasis por diapositiva. Escrito: títulos-mensaje y textos breves; el detalle en el informe. Oral: cada integrante explica qué significa el dato y qué decisión implica, sin leer la diapositiva, y se hace una demostración en vivo del dashboard.</w:t>
      </w:r>
    </w:p>
    <w:p>
      <w:pPr>
        <w:spacing w:after="120" w:line="276"/>
        <w:jc w:val="both"/>
      </w:pPr>
      <w:r>
        <w:rPr>
          <w:b/>
          <w:bCs/>
        </w:rPr>
        <w:t xml:space="preserve">IE12 - Conclusiones con evidencia</w:t>
      </w:r>
    </w:p>
    <w:p>
      <w:pPr>
        <w:spacing w:after="40" w:before="120"/>
        <w:jc w:val="both"/>
      </w:pPr>
      <w:r>
        <w:rPr>
          <w:b/>
          <w:bCs/>
        </w:rPr>
        <w:t xml:space="preserve">P: ¿Qué evidencia respalda la recomendación de exponer joyas ocultas?</w:t>
      </w:r>
    </w:p>
    <w:p>
      <w:pPr>
        <w:spacing w:after="120" w:line="276"/>
        <w:jc w:val="both"/>
      </w:pPr>
      <w:r>
        <w:t xml:space="preserve">R: La matriz (documental, música e historia con alta calificación y baja tracción), la curva de concentración (86% de votos en el 10% de series) y la baja correlación popularidad-calificación (0,17-0,23): recomendar por popularidad refuerza la concentración.</w:t>
      </w:r>
    </w:p>
    <w:p>
      <w:pPr>
        <w:spacing w:after="40" w:before="120"/>
        <w:jc w:val="both"/>
      </w:pPr>
      <w:r>
        <w:rPr>
          <w:b/>
          <w:bCs/>
        </w:rPr>
        <w:t xml:space="preserve">P: ¿Cómo sabrían si la recomendación funciona?</w:t>
      </w:r>
    </w:p>
    <w:p>
      <w:pPr>
        <w:spacing w:after="120" w:line="276"/>
        <w:jc w:val="both"/>
      </w:pPr>
      <w:r>
        <w:t xml:space="preserve">R: Con indicadores medidos sobre datos propios de reproducción, porque los votos vienen de la comunidad TMDB y no de nuestros suscriptores: % del catálogo con al menos una reproducción en 90 días y % de reproducciones del top 10%. Hoy solo tenemos el proxy (62% de series con menos de 10 votos; 86% de votos en el top 10%), que sirve como línea base aproximada. El efecto se valida con una prueba A/B.</w:t>
      </w:r>
    </w:p>
    <w:p>
      <w:pPr>
        <w:pStyle w:val="Heading2"/>
      </w:pPr>
      <w:r>
        <w:t xml:space="preserve">4. Preguntas técnicas y de datos</w:t>
      </w:r>
    </w:p>
    <w:p>
      <w:pPr>
        <w:spacing w:after="40" w:before="120"/>
        <w:jc w:val="both"/>
      </w:pPr>
      <w:r>
        <w:rPr>
          <w:b/>
          <w:bCs/>
        </w:rPr>
        <w:t xml:space="preserve">P: ¿Por qué usan votos como engagement si no es lo mismo que reproducciones?</w:t>
      </w:r>
    </w:p>
    <w:p>
      <w:pPr>
        <w:spacing w:after="120" w:line="276"/>
        <w:jc w:val="both"/>
      </w:pPr>
      <w:r>
        <w:t xml:space="preserve">R: Porque las fuentes no tienen datos de reproducción. El voto requiere haber visto el título, por lo que es un indicador aproximado razonable. Lo declaramos como limitación y por eso la tercera recomendación es incorporar datos de comportamiento.</w:t>
      </w:r>
    </w:p>
    <w:p>
      <w:pPr>
        <w:spacing w:after="40" w:before="120"/>
        <w:jc w:val="both"/>
      </w:pPr>
      <w:r>
        <w:rPr>
          <w:b/>
          <w:bCs/>
        </w:rPr>
        <w:t xml:space="preserve">P: ¿De dónde vienen los votos?</w:t>
      </w:r>
    </w:p>
    <w:p>
      <w:pPr>
        <w:spacing w:after="120" w:line="276"/>
        <w:jc w:val="both"/>
      </w:pPr>
      <w:r>
        <w:t xml:space="preserve">R: Los archivos son catálogos públicos con metadatos de TMDB: votos, calificación y popularidad reflejan a quienes califican en TMDB, no a los suscriptores de StreamView. Por eso los usamos como indicadores aproximados y la tercera recomendación es medir reproducción real.</w:t>
      </w:r>
    </w:p>
    <w:p>
      <w:pPr>
        <w:spacing w:after="40" w:before="120"/>
        <w:jc w:val="both"/>
      </w:pPr>
      <w:r>
        <w:rPr>
          <w:b/>
          <w:bCs/>
        </w:rPr>
        <w:t xml:space="preserve">P: ¿El índice de tracción usa títulos o asignaciones?</w:t>
      </w:r>
    </w:p>
    <w:p>
      <w:pPr>
        <w:spacing w:after="120" w:line="276"/>
        <w:jc w:val="both"/>
      </w:pPr>
      <w:r>
        <w:t xml:space="preserve">R: Asignaciones título-género: un título con tres géneros aporta a los tres, así las participaciones suman 100%. Por eso decimos que ciencia ficción es el 6,7% de las asignaciones de género de series (el 12,2% de las series tiene ese género). El ranking es el mismo con cualquiera de las dos definiciones.</w:t>
      </w:r>
    </w:p>
    <w:p>
      <w:pPr>
        <w:spacing w:after="40" w:before="120"/>
        <w:jc w:val="both"/>
      </w:pPr>
      <w:r>
        <w:rPr>
          <w:b/>
          <w:bCs/>
        </w:rPr>
        <w:t xml:space="preserve">P: ¿Qué es la calificación ponderada?</w:t>
      </w:r>
    </w:p>
    <w:p>
      <w:pPr>
        <w:spacing w:after="120" w:line="276"/>
        <w:jc w:val="both"/>
      </w:pPr>
      <w:r>
        <w:t xml:space="preserve">R: Un promedio bayesiano: (v/(v+m)) x R + (m/(v+m)) x C, donde v son los votos del título, R su nota, m la mediana de votos del tipo y C la nota media. Si un título tiene pocos votos, su nota se acerca al promedio; si tiene muchos, se mantiene. Evita que un título con 2 votos y nota 10 aparezca como el mejor.</w:t>
      </w:r>
    </w:p>
    <w:p>
      <w:pPr>
        <w:spacing w:after="40" w:before="120"/>
        <w:jc w:val="both"/>
      </w:pPr>
      <w:r>
        <w:rPr>
          <w:b/>
          <w:bCs/>
        </w:rPr>
        <w:t xml:space="preserve">P: ¿Qué problemas de calidad de datos encontraron?</w:t>
      </w:r>
    </w:p>
    <w:p>
      <w:pPr>
        <w:spacing w:after="120" w:line="276"/>
        <w:jc w:val="both"/>
      </w:pPr>
      <w:r>
        <w:t xml:space="preserve">R: Columna rating duplicada de vote_average; duración vacía o constante; fecha de incorporación idéntica al año de estreno; notas 0 sin votos; presupuestos en 0; 9 duplicados; géneros con nombres distintos entre fuentes; títulos en escrituras no latinas.</w:t>
      </w:r>
    </w:p>
    <w:p>
      <w:pPr>
        <w:spacing w:after="40" w:before="120"/>
        <w:jc w:val="both"/>
      </w:pPr>
      <w:r>
        <w:rPr>
          <w:b/>
          <w:bCs/>
        </w:rPr>
        <w:t xml:space="preserve">P: ¿Por qué no comparan directamente películas con series?</w:t>
      </w:r>
    </w:p>
    <w:p>
      <w:pPr>
        <w:spacing w:after="120" w:line="276"/>
        <w:jc w:val="both"/>
      </w:pPr>
      <w:r>
        <w:t xml:space="preserve">R: Porque las películas concentran el 87% de los votos y las series se califican con otra escala (media 7,1 vs 6,4). Si se mezclan, el comportamiento de las series desaparece. Por eso cada indicador se calcula por tipo.</w:t>
      </w:r>
    </w:p>
    <w:p>
      <w:pPr>
        <w:spacing w:after="40" w:before="120"/>
        <w:jc w:val="both"/>
      </w:pPr>
      <w:r>
        <w:rPr>
          <w:b/>
          <w:bCs/>
        </w:rPr>
        <w:t xml:space="preserve">P: ¿Por qué no analizan el crecimiento del catálogo?</w:t>
      </w:r>
    </w:p>
    <w:p>
      <w:pPr>
        <w:spacing w:after="120" w:line="276"/>
        <w:jc w:val="both"/>
      </w:pPr>
      <w:r>
        <w:t xml:space="preserve">R: La muestra tiene exactamente 1.000 títulos por año y tipo; cualquier conteo por año sería artificial.</w:t>
      </w:r>
    </w:p>
    <w:p>
      <w:pPr>
        <w:spacing w:after="40" w:before="120"/>
        <w:jc w:val="both"/>
      </w:pPr>
      <w:r>
        <w:rPr>
          <w:b/>
          <w:bCs/>
        </w:rPr>
        <w:t xml:space="preserve">P: ¿Por qué Streamlit y no Power BI?</w:t>
      </w:r>
    </w:p>
    <w:p>
      <w:pPr>
        <w:spacing w:after="120" w:line="276"/>
        <w:jc w:val="both"/>
      </w:pPr>
      <w:r>
        <w:t xml:space="preserve">R: Porque permite reutilizar exactamente el mismo código de limpieza y métricas del análisis (una sola fuente de verdad), es gratuito, reproducible con un solo comando y permite interacciones como selección en gráficos y exportación.</w:t>
      </w:r>
    </w:p>
    <w:p>
      <w:pPr>
        <w:spacing w:after="40" w:before="120"/>
        <w:jc w:val="both"/>
      </w:pPr>
      <w:r>
        <w:rPr>
          <w:b/>
          <w:bCs/>
        </w:rPr>
        <w:t xml:space="preserve">P: ¿Qué cambiarían del dashboard?</w:t>
      </w:r>
    </w:p>
    <w:p>
      <w:pPr>
        <w:spacing w:after="120" w:line="276"/>
        <w:jc w:val="both"/>
      </w:pPr>
      <w:r>
        <w:t xml:space="preserve">R: Publicarlo en un servidor con actualización automática, agregar vistas de retención cuando existan datos de uso y validarlo con pruebas de usabilidad con cada gerencia.</w:t>
      </w:r>
    </w:p>
    <w:p>
      <w:pPr>
        <w:pStyle w:val="Heading2"/>
      </w:pPr>
      <w:r>
        <w:t xml:space="preserve">5. Demo en vivo (opcional, 60 s)</w:t>
      </w:r>
    </w:p>
    <w:p>
      <w:pPr>
        <w:spacing w:after="120" w:line="276"/>
        <w:jc w:val="both"/>
      </w:pPr>
      <w:r>
        <w:t xml:space="preserve">La pauta no exige una demostración en vivo: basta con presentar el dashboard con la captura de la diapositiva 13. Si hay tiempo y el equipo de la sala funciona, la demo refuerza el indicador IE11 (integración de recursos). Secuencia sugerida: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Abrir la página 1 y leer el mensaje clave.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 la barra lateral, filtrar Géneros = Documental: mostrar que la calificación sube y la baja visibilidad aumenta.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Ir a la página 2, seleccionar la burbuja de Documental y mostrar sus títulos mejor evaluados.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Ir a la página 5 y activar "Solo joyas ocultas"; mencionar que esa lista puede alimentar una fila de recomendación.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Restablecer filtros antes de pasar a la siguiente diapositiva.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3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4A62"/>
                <w:sz w:val="22"/>
                <w:szCs w:val="22"/>
              </w:rPr>
              <w:t xml:space="preserve">Si no se hace demo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Explicar las funciones sobre la captura de la diapositiva 13 y tener abierto el informe (sección IX) por si el docente pide ver otra página del dashboard. Si el docente pide ejecutarlo, usar "streamlit run dashboard/app.py" desde la raíz del proyecto.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Página </w:t>
    </w:r>
    <w:r>
      <w:rPr>
        <w:color w:val="5B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270"/>
        <w:sz w:val="16"/>
        <w:szCs w:val="16"/>
      </w:rPr>
      <w:t xml:space="preserve">Guía de defensa StreamView | ADY1104 Visualización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  <w:lvl w:ilvl="1" w15:tentative="1">
      <w:start w:val="1"/>
      <w:numFmt w:val="bullet"/>
      <w:lvlText w:val="-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2E4A6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6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B627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defensa StreamView</dc:title>
  <dc:creator>Claudio Aro, Guillermo Cerda, Manuel Díaz</dc:creator>
  <cp:lastModifiedBy>Un-named</cp:lastModifiedBy>
  <cp:revision>1</cp:revision>
  <dcterms:created xsi:type="dcterms:W3CDTF">2026-09-23T23:21:12.674Z</dcterms:created>
  <dcterms:modified xsi:type="dcterms:W3CDTF">2026-09-23T23:21:12.674Z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