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1584" w:lineRule="exact" w:after="0" w:before="0"/>
      </w:pPr>
      <w:r>
        <w:t xml:space="preserve"> </w:t>
      </w:r>
    </w:p>
    <w:p>
      <w:pPr>
        <w:pStyle w:val="Title"/>
        <w:spacing w:after="360"/>
        <w:jc w:val="center"/>
      </w:pPr>
      <w:r>
        <w:t>Physics Based Simulation of a</w:t>
        <w:br/>
        <w:t>Three Dimensional LiDAR Sensor</w:t>
      </w:r>
    </w:p>
    <w:p>
      <w:pPr>
        <w:pStyle w:val="Subtitle"/>
        <w:spacing w:after="480"/>
        <w:jc w:val="center"/>
      </w:pPr>
      <w:r>
        <w:t>MAE 5810 Robot Perception</w:t>
        <w:br/>
        <w:t>Midterm Project Report</w:t>
      </w:r>
    </w:p>
    <w:p>
      <w:pPr>
        <w:spacing w:after="360"/>
        <w:jc w:val="center"/>
      </w:pPr>
      <w:r>
        <w:t>Author  __________________________________</w:t>
      </w:r>
    </w:p>
    <w:p>
      <w:pPr>
        <w:spacing w:after="480"/>
        <w:jc w:val="center"/>
      </w:pPr>
      <w:r>
        <w:t>Student ID  _______________________________</w:t>
      </w:r>
    </w:p>
    <w:p>
      <w:pPr>
        <w:spacing w:after="240"/>
        <w:jc w:val="center"/>
      </w:pPr>
      <w:r>
        <w:t>Instructor  Silvia Ferrari</w:t>
      </w:r>
    </w:p>
    <w:p>
      <w:pPr>
        <w:jc w:val="center"/>
      </w:pPr>
      <w:r>
        <w:t>October 19 2026</w:t>
      </w:r>
    </w:p>
    <w:p>
      <w:pPr>
        <w:pStyle w:val="Heading1"/>
        <w:pageBreakBefore/>
      </w:pPr>
      <w:r>
        <w:t>Abstract</w:t>
      </w:r>
    </w:p>
    <w:p>
      <w:r>
        <w:t>This project models a spinning three dimensional pulsed LiDAR with opaque visibility, surface response, attenuation, and receiver noise. Evaluation has two parts: nine target-characteristic settings at matched robot poses, and clear air, rain, and fog navigation in one fixed obstacle setup. Nine recorded weather runs retain all trajectories and measurement profiles. Attenuation reduces mean observed endpoint cells from 73.7 to 47.1 percent while all nine runs reach the goal. An independent 33,000-trial experiment checks detection near threshold; probability calibration RMS error is 0.55 percentage points. These results establish internal model consistency and conditional environmental dependencies. Three navigation seeds are descriptive; physical calibration and general reliability remain untested.</w:t>
      </w:r>
    </w:p>
    <w:p>
      <w:pPr>
        <w:pStyle w:val="Heading1"/>
      </w:pPr>
      <w:r>
        <w:t>1 Introduction</w:t>
      </w:r>
    </w:p>
    <w:p>
      <w:r>
        <w:t>A virtual LiDAR must determine where its beams can reach and whether their returned signal is measurable. A missing point may arise from angular sampling, occlusion, a range gate, or weak power. This project therefore models measurements together with field of view (FOV) and line of sight (LOS), addressing the dependencies on sensor state, targets, and environment required by the midterm assignment [1].</w:t>
      </w:r>
    </w:p>
    <w:p>
      <w:r>
        <w:t>The navigation sensor uses eight channels. Surface modeling is motivated by Heiden et al. [2], whose continuous wave phase estimator differs from this pulsed geometric approximation. Target experiments quantify geometric exposure and surface response; weather experiments hold the physical scene, robot, sensor, reference route, and controller fixed. Threshold trials resolve uncertain detections independently of navigation.</w:t>
      </w:r>
    </w:p>
    <w:p>
      <w:pPr>
        <w:pStyle w:val="Heading1"/>
      </w:pPr>
      <w:r>
        <w:t>2 Theory and Methods</w:t>
      </w:r>
    </w:p>
    <w:p>
      <w:pPr>
        <w:pStyle w:val="Heading2"/>
      </w:pPr>
      <w:r>
        <w:t>2.1 Scan pattern</w:t>
      </w:r>
    </w:p>
    <w:p>
      <w:r>
        <w:t>The sensor frame has x forward, y left, and z up. World z is up. With M azimuth samples per full revolution and L channels, beam angles and the nominal unit direction are</w:t>
      </w:r>
    </w:p>
    <w:p>
      <w:pPr>
        <w:keepLines/>
        <w:tabs>
          <w:tab w:pos="4378" w:val="center"/>
          <w:tab w:pos="9360" w:val="right"/>
        </w:tabs>
        <w:spacing w:line="360" w:lineRule="auto" w:before="40" w:after="80"/>
      </w:pPr>
      <w:r>
        <w:tab/>
      </w:r>
      <m:oMath>
        <m:sSub>
          <m:e>
            <m:r>
              <w:rPr>
                <w:rFonts w:ascii="Cambria Math" w:hAnsi="Cambria Math"/>
              </w:rPr>
              <m:t xml:space="preserve">α</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α</m:t>
            </m:r>
          </m:e>
          <m:sub>
            <m:r>
              <w:rPr>
                <w:rFonts w:ascii="Cambria Math" w:hAnsi="Cambria Math"/>
              </w:rPr>
              <m:t xml:space="preserve">min</m:t>
            </m:r>
          </m:sub>
        </m:sSub>
        <m:r>
          <w:rPr>
            <w:rFonts w:ascii="Cambria Math" w:hAnsi="Cambria Math"/>
          </w:rPr>
          <m:t xml:space="preserve"> + </m:t>
        </m:r>
        <m:f>
          <m:num>
            <m:r>
              <w:rPr>
                <w:rFonts w:ascii="Cambria Math" w:hAnsi="Cambria Math"/>
              </w:rPr>
              <m:t xml:space="preserve">2πi</m:t>
            </m:r>
          </m:num>
          <m:den>
            <m:r>
              <w:rPr>
                <w:rFonts w:ascii="Cambria Math" w:hAnsi="Cambria Math"/>
              </w:rPr>
              <m:t xml:space="preserve">M</m:t>
            </m:r>
          </m:den>
        </m:f>
        <m:r>
          <w:rPr>
            <w:rFonts w:ascii="Cambria Math" w:hAnsi="Cambria Math"/>
          </w:rPr>
          <m:t xml:space="preserve">,     </m:t>
        </m:r>
        <m:sSub>
          <m:e>
            <m:r>
              <w:rPr>
                <w:rFonts w:ascii="Cambria Math" w:hAnsi="Cambria Math"/>
              </w:rPr>
              <m:t xml:space="preserve">β</m:t>
            </m:r>
          </m:e>
          <m:sub>
            <m:r>
              <w:rPr>
                <w:rFonts w:ascii="Cambria Math" w:hAnsi="Cambria Math"/>
              </w:rPr>
              <m:t xml:space="preserve">j</m:t>
            </m:r>
          </m:sub>
        </m:sSub>
        <m:r>
          <w:rPr>
            <w:rFonts w:ascii="Cambria Math" w:hAnsi="Cambria Math"/>
          </w:rPr>
          <m:t xml:space="preserve"> = </m:t>
        </m:r>
        <m:sSub>
          <m:e>
            <m:r>
              <w:rPr>
                <w:rFonts w:ascii="Cambria Math" w:hAnsi="Cambria Math"/>
              </w:rPr>
              <m:t xml:space="preserve">β</m:t>
            </m:r>
          </m:e>
          <m:sub>
            <m:r>
              <w:rPr>
                <w:rFonts w:ascii="Cambria Math" w:hAnsi="Cambria Math"/>
              </w:rPr>
              <m:t xml:space="preserve">min</m:t>
            </m:r>
          </m:sub>
        </m:sSub>
        <m:r>
          <w:rPr>
            <w:rFonts w:ascii="Cambria Math" w:hAnsi="Cambria Math"/>
          </w:rPr>
          <m:t xml:space="preserve"> + </m:t>
        </m:r>
        <m:f>
          <m:num>
            <m:r>
              <w:rPr>
                <w:rFonts w:ascii="Cambria Math" w:hAnsi="Cambria Math"/>
              </w:rPr>
              <m:t xml:space="preserve">j(</m:t>
            </m:r>
            <m:sSub>
              <m:e>
                <m:r>
                  <w:rPr>
                    <w:rFonts w:ascii="Cambria Math" w:hAnsi="Cambria Math"/>
                  </w:rPr>
                  <m:t xml:space="preserve">β</m:t>
                </m:r>
              </m:e>
              <m:sub>
                <m:r>
                  <w:rPr>
                    <w:rFonts w:ascii="Cambria Math" w:hAnsi="Cambria Math"/>
                  </w:rPr>
                  <m:t xml:space="preserve">max</m:t>
                </m:r>
              </m:sub>
            </m:sSub>
            <m:r>
              <w:rPr>
                <w:rFonts w:ascii="Cambria Math" w:hAnsi="Cambria Math"/>
              </w:rPr>
              <m:t xml:space="preserve"> − </m:t>
            </m:r>
            <m:sSub>
              <m:e>
                <m:r>
                  <w:rPr>
                    <w:rFonts w:ascii="Cambria Math" w:hAnsi="Cambria Math"/>
                  </w:rPr>
                  <m:t xml:space="preserve">β</m:t>
                </m:r>
              </m:e>
              <m:sub>
                <m:r>
                  <w:rPr>
                    <w:rFonts w:ascii="Cambria Math" w:hAnsi="Cambria Math"/>
                  </w:rPr>
                  <m:t xml:space="preserve">min</m:t>
                </m:r>
              </m:sub>
            </m:sSub>
            <m:r>
              <w:rPr>
                <w:rFonts w:ascii="Cambria Math" w:hAnsi="Cambria Math"/>
              </w:rPr>
              <m:t xml:space="preserve">)</m:t>
            </m:r>
          </m:num>
          <m:den>
            <m:r>
              <w:rPr>
                <w:rFonts w:ascii="Cambria Math" w:hAnsi="Cambria Math"/>
              </w:rPr>
              <m:t xml:space="preserve">L − 1</m:t>
            </m:r>
          </m:den>
        </m:f>
      </m:oMath>
      <w:r>
        <w:tab/>
        <w:t>(1)</w:t>
      </w:r>
    </w:p>
    <w:p>
      <w:pPr>
        <w:keepLines/>
        <w:tabs>
          <w:tab w:pos="4378" w:val="center"/>
          <w:tab w:pos="9360" w:val="right"/>
        </w:tabs>
        <w:spacing w:line="360" w:lineRule="auto" w:before="40" w:after="80"/>
      </w:pPr>
      <w:r>
        <w:tab/>
      </w:r>
      <m:oMath>
        <m:sSub>
          <m:e>
            <m:r>
              <w:rPr>
                <w:rFonts w:ascii="Cambria Math" w:hAnsi="Cambria Math"/>
              </w:rPr>
              <m:t xml:space="preserve">b</m:t>
            </m:r>
          </m:e>
          <m:sub>
            <m:r>
              <w:rPr>
                <w:rFonts w:ascii="Cambria Math" w:hAnsi="Cambria Math"/>
              </w:rPr>
              <m:t xml:space="preserve">ij</m:t>
            </m:r>
          </m:sub>
        </m:sSub>
        <m:r>
          <w:rPr>
            <w:rFonts w:ascii="Cambria Math" w:hAnsi="Cambria Math"/>
          </w:rPr>
          <m:t xml:space="preserve"> = </m:t>
        </m:r>
        <m:sSup>
          <m:e>
            <m:r>
              <w:rPr>
                <w:rFonts w:ascii="Cambria Math" w:hAnsi="Cambria Math"/>
              </w:rPr>
              <m:t xml:space="preserve">[cos </m:t>
            </m:r>
            <m:sSub>
              <m:e>
                <m:r>
                  <w:rPr>
                    <w:rFonts w:ascii="Cambria Math" w:hAnsi="Cambria Math"/>
                  </w:rPr>
                  <m:t xml:space="preserve">β</m:t>
                </m:r>
              </m:e>
              <m:sub>
                <m:r>
                  <w:rPr>
                    <w:rFonts w:ascii="Cambria Math" w:hAnsi="Cambria Math"/>
                  </w:rPr>
                  <m:t xml:space="preserve">j</m:t>
                </m:r>
              </m:sub>
            </m:sSub>
            <m:r>
              <w:rPr>
                <w:rFonts w:ascii="Cambria Math" w:hAnsi="Cambria Math"/>
              </w:rPr>
              <m:t xml:space="preserve"> cos </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 cos </m:t>
            </m:r>
            <m:sSub>
              <m:e>
                <m:r>
                  <w:rPr>
                    <w:rFonts w:ascii="Cambria Math" w:hAnsi="Cambria Math"/>
                  </w:rPr>
                  <m:t xml:space="preserve">β</m:t>
                </m:r>
              </m:e>
              <m:sub>
                <m:r>
                  <w:rPr>
                    <w:rFonts w:ascii="Cambria Math" w:hAnsi="Cambria Math"/>
                  </w:rPr>
                  <m:t xml:space="preserve">j</m:t>
                </m:r>
              </m:sub>
            </m:sSub>
            <m:r>
              <w:rPr>
                <w:rFonts w:ascii="Cambria Math" w:hAnsi="Cambria Math"/>
              </w:rPr>
              <m:t xml:space="preserve"> sin </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 sin </m:t>
            </m:r>
            <m:sSub>
              <m:e>
                <m:r>
                  <w:rPr>
                    <w:rFonts w:ascii="Cambria Math" w:hAnsi="Cambria Math"/>
                  </w:rPr>
                  <m:t xml:space="preserve">β</m:t>
                </m:r>
              </m:e>
              <m:sub>
                <m:r>
                  <w:rPr>
                    <w:rFonts w:ascii="Cambria Math" w:hAnsi="Cambria Math"/>
                  </w:rPr>
                  <m:t xml:space="preserve">j</m:t>
                </m:r>
              </m:sub>
            </m:sSub>
            <m:r>
              <w:rPr>
                <w:rFonts w:ascii="Cambria Math" w:hAnsi="Cambria Math"/>
              </w:rPr>
              <m:t xml:space="preserve">]</m:t>
            </m:r>
          </m:e>
          <m:sup>
            <m:r>
              <w:rPr>
                <w:rFonts w:ascii="Cambria Math" w:hAnsi="Cambria Math"/>
              </w:rPr>
              <m:t xml:space="preserve">T</m:t>
            </m:r>
          </m:sup>
        </m:sSup>
      </m:oMath>
      <w:r>
        <w:tab/>
        <w:t>(2)</w:t>
      </w:r>
    </w:p>
    <w:p>
      <w:pPr>
        <w:spacing w:after="0"/>
      </w:pPr>
      <w:r>
        <w:t>A full sweep uses i = 0, …, M − 1. A partial window uses the same azimuth spacing. A single channel takes the configured upper elevation. Angles in equations are in radians; plots use degrees.</w:t>
      </w:r>
    </w:p>
    <w:p>
      <w:pPr>
        <w:pStyle w:val="Heading2"/>
        <w:pageBreakBefore/>
      </w:pPr>
      <w:r>
        <w:t>2.2 Pose and coverage</w:t>
      </w:r>
    </w:p>
    <w:p>
      <w:r>
        <w:t>All channels at one azimuth share a firing time. The origin translates at constant world velocity; yaw may change during a scan while roll and pitch remain fixed:</w:t>
      </w:r>
    </w:p>
    <w:p>
      <w:pPr>
        <w:keepLines/>
        <w:tabs>
          <w:tab w:pos="4378" w:val="center"/>
          <w:tab w:pos="9360" w:val="right"/>
        </w:tabs>
        <w:spacing w:line="360" w:lineRule="auto" w:before="40" w:after="80"/>
      </w:pPr>
      <w:r>
        <w:tab/>
      </w: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 = </m:t>
        </m:r>
        <m:f>
          <m:num>
            <m:sSub>
              <m:e>
                <m:r>
                  <w:rPr>
                    <w:rFonts w:ascii="Cambria Math" w:hAnsi="Cambria Math"/>
                  </w:rPr>
                  <m:t xml:space="preserve">α</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α</m:t>
                </m:r>
              </m:e>
              <m:sub>
                <m:r>
                  <w:rPr>
                    <w:rFonts w:ascii="Cambria Math" w:hAnsi="Cambria Math"/>
                  </w:rPr>
                  <m:t xml:space="preserve">min</m:t>
                </m:r>
              </m:sub>
            </m:sSub>
          </m:num>
          <m:den>
            <m:r>
              <w:rPr>
                <w:rFonts w:ascii="Cambria Math" w:hAnsi="Cambria Math"/>
              </w:rPr>
              <m:t xml:space="preserve">2π</m:t>
            </m:r>
            <m:sSub>
              <m:e>
                <m:r>
                  <w:rPr>
                    <w:rFonts w:ascii="Cambria Math" w:hAnsi="Cambria Math"/>
                  </w:rPr>
                  <m:t xml:space="preserve">f</m:t>
                </m:r>
              </m:e>
              <m:sub>
                <m:r>
                  <w:rPr>
                    <w:rFonts w:ascii="Cambria Math" w:hAnsi="Cambria Math"/>
                  </w:rPr>
                  <m:t xml:space="preserve">rot</m:t>
                </m:r>
              </m:sub>
            </m:sSub>
          </m:den>
        </m:f>
        <m:r>
          <w:rPr>
            <w:rFonts w:ascii="Cambria Math" w:hAnsi="Cambria Math"/>
          </w:rPr>
          <m:t xml:space="preserve">,     </m:t>
        </m:r>
        <m:sSub>
          <m:e>
            <m:r>
              <w:rPr>
                <w:rFonts w:ascii="Cambria Math" w:hAnsi="Cambria Math"/>
              </w:rPr>
              <m:t xml:space="preserve">o</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o</m:t>
            </m:r>
          </m:e>
          <m:sub>
            <m:r>
              <w:rPr>
                <w:rFonts w:ascii="Cambria Math" w:hAnsi="Cambria Math"/>
              </w:rPr>
              <m:t xml:space="preserve">0</m:t>
            </m:r>
          </m:sub>
        </m:sSub>
        <m:r>
          <w:rPr>
            <w:rFonts w:ascii="Cambria Math" w:hAnsi="Cambria Math"/>
          </w:rPr>
          <m:t xml:space="preserve"> + v</m:t>
        </m:r>
        <m:sSub>
          <m:e>
            <m:r>
              <w:rPr>
                <w:rFonts w:ascii="Cambria Math" w:hAnsi="Cambria Math"/>
              </w:rPr>
              <m:t xml:space="preserve">t</m:t>
            </m:r>
          </m:e>
          <m:sub>
            <m:r>
              <w:rPr>
                <w:rFonts w:ascii="Cambria Math" w:hAnsi="Cambria Math"/>
              </w:rPr>
              <m:t xml:space="preserve">i</m:t>
            </m:r>
          </m:sub>
        </m:sSub>
      </m:oMath>
      <w:r>
        <w:tab/>
        <w:t>(3)</w:t>
      </w:r>
    </w:p>
    <w:p>
      <w:r>
        <w:t>The sensor to world rotation is R = Rz(yaw) Ry(pitch) Rx(roll), and the world beam is d = Rb. For point p, let q = Rᵀ(p − o), r = ‖q‖, a = atan2(qy, qx), and e = arcsin(qz/r). The nominal FOV is</w:t>
      </w:r>
    </w:p>
    <w:p>
      <w:pPr>
        <w:keepLines/>
        <w:tabs>
          <w:tab w:pos="4378" w:val="center"/>
          <w:tab w:pos="9360" w:val="right"/>
        </w:tabs>
        <w:spacing w:line="360" w:lineRule="auto" w:before="40" w:after="80"/>
      </w:pPr>
      <w:r>
        <w:tab/>
      </w:r>
      <m:oMath>
        <m:r>
          <w:rPr>
            <w:rFonts w:ascii="Cambria Math" w:hAnsi="Cambria Math"/>
          </w:rPr>
          <m:t xml:space="preserve">F = {p : </m:t>
        </m:r>
        <m:sSub>
          <m:e>
            <m:r>
              <w:rPr>
                <w:rFonts w:ascii="Cambria Math" w:hAnsi="Cambria Math"/>
              </w:rPr>
              <m:t xml:space="preserve">r</m:t>
            </m:r>
          </m:e>
          <m:sub>
            <m:r>
              <w:rPr>
                <w:rFonts w:ascii="Cambria Math" w:hAnsi="Cambria Math"/>
              </w:rPr>
              <m:t xml:space="preserve">min</m:t>
            </m:r>
          </m:sub>
        </m:sSub>
        <m:r>
          <w:rPr>
            <w:rFonts w:ascii="Cambria Math" w:hAnsi="Cambria Math"/>
          </w:rPr>
          <m:t xml:space="preserve"> ≤ r ≤ </m:t>
        </m:r>
        <m:sSub>
          <m:e>
            <m:r>
              <w:rPr>
                <w:rFonts w:ascii="Cambria Math" w:hAnsi="Cambria Math"/>
              </w:rPr>
              <m:t xml:space="preserve">r</m:t>
            </m:r>
          </m:e>
          <m:sub>
            <m:r>
              <w:rPr>
                <w:rFonts w:ascii="Cambria Math" w:hAnsi="Cambria Math"/>
              </w:rPr>
              <m:t xml:space="preserve">max</m:t>
            </m:r>
          </m:sub>
        </m:sSub>
        <m:r>
          <w:rPr>
            <w:rFonts w:ascii="Cambria Math" w:hAnsi="Cambria Math"/>
          </w:rPr>
          <m:t xml:space="preserve">, a ∈ A, </m:t>
        </m:r>
        <m:sSub>
          <m:e>
            <m:r>
              <w:rPr>
                <w:rFonts w:ascii="Cambria Math" w:hAnsi="Cambria Math"/>
              </w:rPr>
              <m:t xml:space="preserve">β</m:t>
            </m:r>
          </m:e>
          <m:sub>
            <m:r>
              <w:rPr>
                <w:rFonts w:ascii="Cambria Math" w:hAnsi="Cambria Math"/>
              </w:rPr>
              <m:t xml:space="preserve">min</m:t>
            </m:r>
          </m:sub>
        </m:sSub>
        <m:r>
          <w:rPr>
            <w:rFonts w:ascii="Cambria Math" w:hAnsi="Cambria Math"/>
          </w:rPr>
          <m:t xml:space="preserve"> ≤ e ≤ </m:t>
        </m:r>
        <m:sSub>
          <m:e>
            <m:r>
              <w:rPr>
                <w:rFonts w:ascii="Cambria Math" w:hAnsi="Cambria Math"/>
              </w:rPr>
              <m:t xml:space="preserve">β</m:t>
            </m:r>
          </m:e>
          <m:sub>
            <m:r>
              <w:rPr>
                <w:rFonts w:ascii="Cambria Math" w:hAnsi="Cambria Math"/>
              </w:rPr>
              <m:t xml:space="preserve">max</m:t>
            </m:r>
          </m:sub>
        </m:sSub>
        <m:r>
          <w:rPr>
            <w:rFonts w:ascii="Cambria Math" w:hAnsi="Cambria Math"/>
          </w:rPr>
          <m:t xml:space="preserve">}</m:t>
        </m:r>
      </m:oMath>
      <w:r>
        <w:tab/>
        <w:t>(4)</w:t>
      </w:r>
    </w:p>
    <w:p>
      <w:r>
        <w:t>A is the circular azimuth window. Discrete beams can miss targets within this continuous set. For each subray, the nearest opaque intersection with scene surfaces S is</w:t>
      </w:r>
    </w:p>
    <w:p>
      <w:pPr>
        <w:keepLines/>
        <w:tabs>
          <w:tab w:pos="4378" w:val="center"/>
          <w:tab w:pos="9360" w:val="right"/>
        </w:tabs>
        <w:spacing w:line="360" w:lineRule="auto" w:before="40" w:after="80"/>
      </w:pPr>
      <w:r>
        <w:tab/>
      </w:r>
      <m:o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 = min {s &gt; </m:t>
        </m:r>
        <m:sSup>
          <m:e>
            <m:r>
              <w:rPr>
                <w:rFonts w:ascii="Cambria Math" w:hAnsi="Cambria Math"/>
              </w:rPr>
              <m:t xml:space="preserve">10</m:t>
            </m:r>
          </m:e>
          <m:sup>
            <m:r>
              <w:rPr>
                <w:rFonts w:ascii="Cambria Math" w:hAnsi="Cambria Math"/>
              </w:rPr>
              <m:t xml:space="preserve">−6</m:t>
            </m:r>
          </m:sup>
        </m:sSup>
        <m:r>
          <w:rPr>
            <w:rFonts w:ascii="Cambria Math" w:hAnsi="Cambria Math"/>
          </w:rPr>
          <m:t xml:space="preserve"> m : o + s</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 ∈ S}</m:t>
        </m:r>
      </m:oMath>
      <w:r>
        <w:tab/>
        <w:t>(5)</w:t>
      </w:r>
    </w:p>
    <w:p>
      <w:r>
        <w:t>The first hit is found before range gating, so a weak or too near object still blocks farther geometry. A finite beam uses normalized Gaussian weighted subrays in the plane normal to its central direction. For full divergence δ, the angular standard deviation is δ/4; a sunflower pattern truncated at 2.5 standard deviations supplies the sample offsets.</w:t>
      </w:r>
    </w:p>
    <w:p>
      <w:pPr>
        <w:pStyle w:val="Heading2"/>
      </w:pPr>
      <w:r>
        <w:t>2.3 Surface power and echo formation</w:t>
      </w:r>
    </w:p>
    <w:p>
      <w:r>
        <w:t>For a ray facing normal n, μ = max(0, −nᵀd). Diffuse weight ρd, specular weight ρs, and exponent m define the approximate surface law</w:t>
      </w:r>
    </w:p>
    <w:p>
      <w:pPr>
        <w:keepLines/>
        <w:tabs>
          <w:tab w:pos="4378" w:val="center"/>
          <w:tab w:pos="9360" w:val="right"/>
        </w:tabs>
        <w:spacing w:line="360" w:lineRule="auto" w:before="40" w:after="80"/>
      </w:pPr>
      <w:r>
        <w:tab/>
      </w:r>
      <m:oMath>
        <m:r>
          <w:rPr>
            <w:rFonts w:ascii="Cambria Math" w:hAnsi="Cambria Math"/>
          </w:rPr>
          <m:t xml:space="preserve">f = </m:t>
        </m:r>
        <m:f>
          <m:num>
            <m:sSub>
              <m:e>
                <m:r>
                  <w:rPr>
                    <w:rFonts w:ascii="Cambria Math" w:hAnsi="Cambria Math"/>
                  </w:rPr>
                  <m:t xml:space="preserve">ρ</m:t>
                </m:r>
              </m:e>
              <m:sub>
                <m:r>
                  <w:rPr>
                    <w:rFonts w:ascii="Cambria Math" w:hAnsi="Cambria Math"/>
                  </w:rPr>
                  <m:t xml:space="preserve">d</m:t>
                </m:r>
              </m:sub>
            </m:sSub>
          </m:num>
          <m:den>
            <m:r>
              <w:rPr>
                <w:rFonts w:ascii="Cambria Math" w:hAnsi="Cambria Math"/>
              </w:rPr>
              <m:t xml:space="preserve">π</m:t>
            </m:r>
          </m:den>
        </m:f>
        <m:r>
          <w:rPr>
            <w:rFonts w:ascii="Cambria Math" w:hAnsi="Cambria Math"/>
          </w:rPr>
          <m:t xml:space="preserve"> + </m:t>
        </m:r>
        <m:f>
          <m:num>
            <m:sSub>
              <m:e>
                <m:r>
                  <w:rPr>
                    <w:rFonts w:ascii="Cambria Math" w:hAnsi="Cambria Math"/>
                  </w:rPr>
                  <m:t xml:space="preserve">ρ</m:t>
                </m:r>
              </m:e>
              <m:sub>
                <m:r>
                  <w:rPr>
                    <w:rFonts w:ascii="Cambria Math" w:hAnsi="Cambria Math"/>
                  </w:rPr>
                  <m:t xml:space="preserve">s</m:t>
                </m:r>
              </m:sub>
            </m:sSub>
            <m:r>
              <w:rPr>
                <w:rFonts w:ascii="Cambria Math" w:hAnsi="Cambria Math"/>
              </w:rPr>
              <m:t xml:space="preserve">(m + 2)</m:t>
            </m:r>
          </m:num>
          <m:den>
            <m:r>
              <w:rPr>
                <w:rFonts w:ascii="Cambria Math" w:hAnsi="Cambria Math"/>
              </w:rPr>
              <m:t xml:space="preserve">2π</m:t>
            </m:r>
          </m:den>
        </m:f>
        <m:sSup>
          <m:e>
            <m:r>
              <w:rPr>
                <w:rFonts w:ascii="Cambria Math" w:hAnsi="Cambria Math"/>
              </w:rPr>
              <m:t xml:space="preserve">[max(2</m:t>
            </m:r>
            <m:sSup>
              <m:e>
                <m:r>
                  <w:rPr>
                    <w:rFonts w:ascii="Cambria Math" w:hAnsi="Cambria Math"/>
                  </w:rPr>
                  <m:t xml:space="preserve">μ</m:t>
                </m:r>
              </m:e>
              <m:sup>
                <m:r>
                  <w:rPr>
                    <w:rFonts w:ascii="Cambria Math" w:hAnsi="Cambria Math"/>
                  </w:rPr>
                  <m:t xml:space="preserve">2</m:t>
                </m:r>
              </m:sup>
            </m:sSup>
            <m:r>
              <w:rPr>
                <w:rFonts w:ascii="Cambria Math" w:hAnsi="Cambria Math"/>
              </w:rPr>
              <m:t xml:space="preserve"> − 1, 0)]</m:t>
            </m:r>
          </m:e>
          <m:sup>
            <m:r>
              <w:rPr>
                <w:rFonts w:ascii="Cambria Math" w:hAnsi="Cambria Math"/>
              </w:rPr>
              <m:t xml:space="preserve">m</m:t>
            </m:r>
          </m:sup>
        </m:sSup>
      </m:oMath>
      <w:r>
        <w:tab/>
        <w:t>(6)</w:t>
      </w:r>
    </w:p>
    <w:p>
      <w:pPr>
        <w:keepLines/>
        <w:tabs>
          <w:tab w:pos="4378" w:val="center"/>
          <w:tab w:pos="9360" w:val="right"/>
        </w:tabs>
        <w:spacing w:line="360" w:lineRule="auto" w:before="40" w:after="80"/>
      </w:pPr>
      <w:r>
        <w:tab/>
      </w:r>
      <m:oMath>
        <m:sSub>
          <m:e>
            <m:r>
              <w:rPr>
                <w:rFonts w:ascii="Cambria Math" w:hAnsi="Cambria Math"/>
              </w:rPr>
              <m:t xml:space="preserve">P</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w</m:t>
            </m:r>
          </m:e>
          <m:sub>
            <m:r>
              <w:rPr>
                <w:rFonts w:ascii="Cambria Math" w:hAnsi="Cambria Math"/>
              </w:rPr>
              <m:t xml:space="preserve">k</m:t>
            </m:r>
          </m:sub>
        </m:sSub>
        <m:sSub>
          <m:e>
            <m:r>
              <w:rPr>
                <w:rFonts w:ascii="Cambria Math" w:hAnsi="Cambria Math"/>
              </w:rPr>
              <m:t xml:space="preserve">P</m:t>
            </m:r>
          </m:e>
          <m:sub>
            <m:r>
              <w:rPr>
                <w:rFonts w:ascii="Cambria Math" w:hAnsi="Cambria Math"/>
              </w:rPr>
              <m:t xml:space="preserve">t</m:t>
            </m:r>
          </m:sub>
        </m:sSub>
        <m:sSub>
          <m:e>
            <m:r>
              <w:rPr>
                <w:rFonts w:ascii="Cambria Math" w:hAnsi="Cambria Math"/>
              </w:rPr>
              <m:t xml:space="preserve">A</m:t>
            </m:r>
          </m:e>
          <m:sub>
            <m:r>
              <w:rPr>
                <w:rFonts w:ascii="Cambria Math" w:hAnsi="Cambria Math"/>
              </w:rPr>
              <m:t xml:space="preserve">r</m:t>
            </m:r>
          </m:sub>
        </m:sSub>
        <m:r>
          <w:rPr>
            <w:rFonts w:ascii="Cambria Math" w:hAnsi="Cambria Math"/>
          </w:rPr>
          <m:t xml:space="preserve">η f</m:t>
        </m:r>
        <m:f>
          <m:num>
            <m:sSub>
              <m:e>
                <m:r>
                  <w:rPr>
                    <w:rFonts w:ascii="Cambria Math" w:hAnsi="Cambria Math"/>
                  </w:rPr>
                  <m:t xml:space="preserve">μ</m:t>
                </m:r>
              </m:e>
              <m:sub>
                <m:r>
                  <w:rPr>
                    <w:rFonts w:ascii="Cambria Math" w:hAnsi="Cambria Math"/>
                  </w:rPr>
                  <m:t xml:space="preserve">k</m:t>
                </m:r>
              </m:sub>
            </m:sSub>
          </m:num>
          <m:den>
            <m:sSup>
              <m:e>
                <m:sSub>
                  <m:e>
                    <m:r>
                      <w:rPr>
                        <w:rFonts w:ascii="Cambria Math" w:hAnsi="Cambria Math"/>
                      </w:rPr>
                      <m:t xml:space="preserve">r</m:t>
                    </m:r>
                  </m:e>
                  <m:sub>
                    <m:r>
                      <w:rPr>
                        <w:rFonts w:ascii="Cambria Math" w:hAnsi="Cambria Math"/>
                      </w:rPr>
                      <m:t xml:space="preserve">k</m:t>
                    </m:r>
                  </m:sub>
                </m:sSub>
              </m:e>
              <m:sup>
                <m:r>
                  <w:rPr>
                    <w:rFonts w:ascii="Cambria Math" w:hAnsi="Cambria Math"/>
                  </w:rPr>
                  <m:t xml:space="preserve">2</m:t>
                </m:r>
              </m:sup>
            </m:sSup>
          </m:den>
        </m:f>
        <m:r>
          <w:rPr>
            <w:rFonts w:ascii="Cambria Math" w:hAnsi="Cambria Math"/>
          </w:rPr>
          <m:t xml:space="preserve"> exp(−2κ</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oMath>
      <w:r>
        <w:tab/>
        <w:t>(7)</w:t>
      </w:r>
    </w:p>
    <w:p>
      <w:r>
        <w:t>Here Ar = π(Dr/2)², η is optical efficiency, and κ = κair + arain qrainᵇ. Invalid hits contribute zero power. Rain and fog change attenuation, without backscatter returns. Consecutive subray hits separated by at most the pulse gate merge into an echo group G:</w:t>
      </w:r>
    </w:p>
    <w:p>
      <w:pPr>
        <w:keepLines/>
        <w:tabs>
          <w:tab w:pos="4378" w:val="center"/>
          <w:tab w:pos="9360" w:val="right"/>
        </w:tabs>
        <w:spacing w:line="360" w:lineRule="auto" w:before="40" w:after="80"/>
      </w:pPr>
      <w:r>
        <w:tab/>
      </w:r>
      <m:oMath>
        <m:sSub>
          <m:e>
            <m:r>
              <w:rPr>
                <w:rFonts w:ascii="Cambria Math" w:hAnsi="Cambria Math"/>
              </w:rPr>
              <m:t xml:space="preserve">Δr</m:t>
            </m:r>
          </m:e>
          <m:sub>
            <m:r>
              <w:rPr>
                <w:rFonts w:ascii="Cambria Math" w:hAnsi="Cambria Math"/>
              </w:rPr>
              <m:t xml:space="preserve">gate</m:t>
            </m:r>
          </m:sub>
        </m:sSub>
        <m:r>
          <w:rPr>
            <w:rFonts w:ascii="Cambria Math" w:hAnsi="Cambria Math"/>
          </w:rPr>
          <m:t xml:space="preserve"> = </m:t>
        </m:r>
        <m:f>
          <m:num>
            <m:r>
              <w:rPr>
                <w:rFonts w:ascii="Cambria Math" w:hAnsi="Cambria Math"/>
              </w:rPr>
              <m:t xml:space="preserve">c</m:t>
            </m:r>
            <m:sSub>
              <m:e>
                <m:r>
                  <w:rPr>
                    <w:rFonts w:ascii="Cambria Math" w:hAnsi="Cambria Math"/>
                  </w:rPr>
                  <m:t xml:space="preserve">τ</m:t>
                </m:r>
              </m:e>
              <m:sub>
                <m:r>
                  <w:rPr>
                    <w:rFonts w:ascii="Cambria Math" w:hAnsi="Cambria Math"/>
                  </w:rPr>
                  <m:t xml:space="preserve">FWHM</m:t>
                </m:r>
              </m:sub>
            </m:sSub>
          </m:num>
          <m:den>
            <m:r>
              <w:rPr>
                <w:rFonts w:ascii="Cambria Math" w:hAnsi="Cambria Math"/>
              </w:rPr>
              <m:t xml:space="preserve">2</m:t>
            </m:r>
          </m:den>
        </m:f>
        <m:r>
          <w:rPr>
            <w:rFonts w:ascii="Cambria Math" w:hAnsi="Cambria Math"/>
          </w:rPr>
          <m:t xml:space="preserve">,     </m:t>
        </m:r>
        <m:sSub>
          <m:e>
            <m:r>
              <w:rPr>
                <w:rFonts w:ascii="Cambria Math" w:hAnsi="Cambria Math"/>
              </w:rPr>
              <m:t xml:space="preserve">P</m:t>
            </m:r>
          </m:e>
          <m:sub>
            <m:r>
              <w:rPr>
                <w:rFonts w:ascii="Cambria Math" w:hAnsi="Cambria Math"/>
              </w:rPr>
              <m:t xml:space="preserve">G</m:t>
            </m:r>
          </m:sub>
        </m:sSub>
        <m:r>
          <w:rPr>
            <w:rFonts w:ascii="Cambria Math" w:hAnsi="Cambria Math"/>
          </w:rPr>
          <m:t xml:space="preserve"> = Σ</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r̄</m:t>
            </m:r>
          </m:e>
          <m:sub>
            <m:r>
              <w:rPr>
                <w:rFonts w:ascii="Cambria Math" w:hAnsi="Cambria Math"/>
              </w:rPr>
              <m:t xml:space="preserve">G</m:t>
            </m:r>
          </m:sub>
        </m:sSub>
        <m:r>
          <w:rPr>
            <w:rFonts w:ascii="Cambria Math" w:hAnsi="Cambria Math"/>
          </w:rPr>
          <m:t xml:space="preserve"> = </m:t>
        </m:r>
        <m:f>
          <m:num>
            <m:r>
              <w:rPr>
                <w:rFonts w:ascii="Cambria Math" w:hAnsi="Cambria Math"/>
              </w:rPr>
              <m:t xml:space="preserve">Σ</m:t>
            </m:r>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num>
          <m:den>
            <m:r>
              <w:rPr>
                <w:rFonts w:ascii="Cambria Math" w:hAnsi="Cambria Math"/>
              </w:rPr>
              <m:t xml:space="preserve">Σ</m:t>
            </m:r>
            <m:sSub>
              <m:e>
                <m:r>
                  <w:rPr>
                    <w:rFonts w:ascii="Cambria Math" w:hAnsi="Cambria Math"/>
                  </w:rPr>
                  <m:t xml:space="preserve">P</m:t>
                </m:r>
              </m:e>
              <m:sub>
                <m:r>
                  <w:rPr>
                    <w:rFonts w:ascii="Cambria Math" w:hAnsi="Cambria Math"/>
                  </w:rPr>
                  <m:t xml:space="preserve">k</m:t>
                </m:r>
              </m:sub>
            </m:sSub>
          </m:den>
        </m:f>
        <m:r>
          <w:rPr>
            <w:rFonts w:ascii="Cambria Math" w:hAnsi="Cambria Math"/>
          </w:rPr>
          <m:t xml:space="preserve">     (k ∈ G)</m:t>
        </m:r>
      </m:oMath>
      <w:r>
        <w:tab/>
        <w:t>(8)</w:t>
      </w:r>
    </w:p>
    <w:p>
      <w:pPr>
        <w:spacing w:after="0"/>
      </w:pPr>
      <w:r>
        <w:t>The centroid approximates pulsed ranging rather than waveform processing; it can lie between surfaces at edges. Geometry supports planes, spheres, yawed boxes, and capped cylinders.</w:t>
      </w:r>
    </w:p>
    <w:p>
      <w:pPr>
        <w:pStyle w:val="Heading2"/>
        <w:pageBreakBefore/>
      </w:pPr>
      <w:r>
        <w:t>2.4 Detection and range uncertainty</w:t>
      </w:r>
    </w:p>
    <w:p>
      <w:r>
        <w:t>For an existing echo, noisy power is P̃ = PG + ν, with ν ∼ N(0, σP²). Detection requires P̃ ≥ γσP, giving the single echo probability</w:t>
      </w:r>
    </w:p>
    <w:p>
      <w:pPr>
        <w:keepLines/>
        <w:tabs>
          <w:tab w:pos="4378" w:val="center"/>
          <w:tab w:pos="9360" w:val="right"/>
        </w:tabs>
        <w:spacing w:line="360" w:lineRule="auto" w:before="40" w:after="80"/>
      </w:pPr>
      <w:r>
        <w:tab/>
      </w:r>
      <m:oMath>
        <m:sSub>
          <m:e>
            <m:r>
              <w:rPr>
                <w:rFonts w:ascii="Cambria Math" w:hAnsi="Cambria Math"/>
              </w:rPr>
              <m:t xml:space="preserve">P</m:t>
            </m:r>
          </m:e>
          <m:sub>
            <m:r>
              <w:rPr>
                <w:rFonts w:ascii="Cambria Math" w:hAnsi="Cambria Math"/>
              </w:rPr>
              <m:t xml:space="preserve">D</m:t>
            </m:r>
          </m:sub>
        </m:sSub>
        <m:r>
          <w:rPr>
            <w:rFonts w:ascii="Cambria Math" w:hAnsi="Cambria Math"/>
          </w:rPr>
          <m:t xml:space="preserve">(G) = Φ(</m:t>
        </m:r>
        <m:f>
          <m:num>
            <m:sSub>
              <m:e>
                <m:r>
                  <w:rPr>
                    <w:rFonts w:ascii="Cambria Math" w:hAnsi="Cambria Math"/>
                  </w:rPr>
                  <m:t xml:space="preserve">P</m:t>
                </m:r>
              </m:e>
              <m:sub>
                <m:r>
                  <w:rPr>
                    <w:rFonts w:ascii="Cambria Math" w:hAnsi="Cambria Math"/>
                  </w:rPr>
                  <m:t xml:space="preserve">G</m:t>
                </m:r>
              </m:sub>
            </m:sSub>
          </m:num>
          <m:den>
            <m:sSub>
              <m:e>
                <m:r>
                  <w:rPr>
                    <w:rFonts w:ascii="Cambria Math" w:hAnsi="Cambria Math"/>
                  </w:rPr>
                  <m:t xml:space="preserve">σ</m:t>
                </m:r>
              </m:e>
              <m:sub>
                <m:r>
                  <w:rPr>
                    <w:rFonts w:ascii="Cambria Math" w:hAnsi="Cambria Math"/>
                  </w:rPr>
                  <m:t xml:space="preserve">P</m:t>
                </m:r>
              </m:sub>
            </m:sSub>
          </m:den>
        </m:f>
        <m:r>
          <w:rPr>
            <w:rFonts w:ascii="Cambria Math" w:hAnsi="Cambria Math"/>
          </w:rPr>
          <m:t xml:space="preserve"> − γ)</m:t>
        </m:r>
      </m:oMath>
      <w:r>
        <w:tab/>
        <w:t>(9)</w:t>
      </w:r>
    </w:p>
    <w:p>
      <w:r>
        <w:t>Φ is the standard normal cumulative distribution function. The strongest mode selects the greatest noisy detected power; first and last modes select by range. There is at most one retained return per nominal beam. With S = P̃/σP, the assumed timing inspired range law is</w:t>
      </w:r>
    </w:p>
    <w:p>
      <w:pPr>
        <w:keepLines/>
        <w:tabs>
          <w:tab w:pos="4378" w:val="center"/>
          <w:tab w:pos="9360" w:val="right"/>
        </w:tabs>
        <w:spacing w:line="360" w:lineRule="auto" w:before="40" w:after="80"/>
      </w:pPr>
      <w:r>
        <w:tab/>
      </w:r>
      <m:oMath>
        <m:sSup>
          <m:e>
            <m:sSub>
              <m:e>
                <m:r>
                  <w:rPr>
                    <w:rFonts w:ascii="Cambria Math" w:hAnsi="Cambria Math"/>
                  </w:rPr>
                  <m:t xml:space="preserve">σ</m:t>
                </m:r>
              </m:e>
              <m:sub>
                <m:r>
                  <w:rPr>
                    <w:rFonts w:ascii="Cambria Math" w:hAnsi="Cambria Math"/>
                  </w:rPr>
                  <m:t xml:space="preserve">r</m:t>
                </m:r>
              </m:sub>
            </m:sSub>
          </m:e>
          <m:sup>
            <m:r>
              <w:rPr>
                <w:rFonts w:ascii="Cambria Math" w:hAnsi="Cambria Math"/>
              </w:rPr>
              <m:t xml:space="preserve">2</m:t>
            </m:r>
          </m:sup>
        </m:sSup>
        <m:r>
          <w:rPr>
            <w:rFonts w:ascii="Cambria Math" w:hAnsi="Cambria Math"/>
          </w:rPr>
          <m:t xml:space="preserve">(S) = </m:t>
        </m:r>
        <m:sSup>
          <m:e>
            <m:sSub>
              <m:e>
                <m:r>
                  <w:rPr>
                    <w:rFonts w:ascii="Cambria Math" w:hAnsi="Cambria Math"/>
                  </w:rPr>
                  <m:t xml:space="preserve">σ</m:t>
                </m:r>
              </m:e>
              <m:sub>
                <m:r>
                  <w:rPr>
                    <w:rFonts w:ascii="Cambria Math" w:hAnsi="Cambria Math"/>
                  </w:rPr>
                  <m:t xml:space="preserve">0</m:t>
                </m:r>
              </m:sub>
            </m:sSub>
          </m:e>
          <m:sup>
            <m:r>
              <w:rPr>
                <w:rFonts w:ascii="Cambria Math" w:hAnsi="Cambria Math"/>
              </w:rPr>
              <m:t xml:space="preserve">2</m:t>
            </m:r>
          </m:sup>
        </m:sSup>
        <m:r>
          <w:rPr>
            <w:rFonts w:ascii="Cambria Math" w:hAnsi="Cambria Math"/>
          </w:rPr>
          <m:t xml:space="preserve"> + </m:t>
        </m:r>
        <m:f>
          <m:num>
            <m:sSup>
              <m:e>
                <m:r>
                  <w:rPr>
                    <w:rFonts w:ascii="Cambria Math" w:hAnsi="Cambria Math"/>
                  </w:rPr>
                  <m:t xml:space="preserve">(c</m:t>
                </m:r>
                <m:sSub>
                  <m:e>
                    <m:r>
                      <w:rPr>
                        <w:rFonts w:ascii="Cambria Math" w:hAnsi="Cambria Math"/>
                      </w:rPr>
                      <m:t xml:space="preserve">t</m:t>
                    </m:r>
                  </m:e>
                  <m:sub>
                    <m:r>
                      <w:rPr>
                        <w:rFonts w:ascii="Cambria Math" w:hAnsi="Cambria Math"/>
                      </w:rPr>
                      <m:t xml:space="preserve">rise</m:t>
                    </m:r>
                  </m:sub>
                </m:sSub>
                <m:r>
                  <w:rPr>
                    <w:rFonts w:ascii="Cambria Math" w:hAnsi="Cambria Math"/>
                  </w:rPr>
                  <m:t xml:space="preserve">/2)</m:t>
                </m:r>
              </m:e>
              <m:sup>
                <m:r>
                  <w:rPr>
                    <w:rFonts w:ascii="Cambria Math" w:hAnsi="Cambria Math"/>
                  </w:rPr>
                  <m:t xml:space="preserve">2</m:t>
                </m:r>
              </m:sup>
            </m:sSup>
          </m:num>
          <m:den>
            <m:r>
              <w:rPr>
                <w:rFonts w:ascii="Cambria Math" w:hAnsi="Cambria Math"/>
              </w:rPr>
              <m:t xml:space="preserve">2 max(S, 10⁻⁹)</m:t>
            </m:r>
          </m:den>
        </m:f>
        <m:r>
          <w:rPr>
            <w:rFonts w:ascii="Cambria Math" w:hAnsi="Cambria Math"/>
          </w:rPr>
          <m:t xml:space="preserve">,     z = </m:t>
        </m:r>
        <m:sSub>
          <m:e>
            <m:r>
              <w:rPr>
                <w:rFonts w:ascii="Cambria Math" w:hAnsi="Cambria Math"/>
              </w:rPr>
              <m:t xml:space="preserve">r̄</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σ</m:t>
            </m:r>
          </m:e>
          <m:sub>
            <m:r>
              <w:rPr>
                <w:rFonts w:ascii="Cambria Math" w:hAnsi="Cambria Math"/>
              </w:rPr>
              <m:t xml:space="preserve">r</m:t>
            </m:r>
          </m:sub>
        </m:sSub>
        <m:r>
          <w:rPr>
            <w:rFonts w:ascii="Cambria Math" w:hAnsi="Cambria Math"/>
          </w:rPr>
          <m:t xml:space="preserve">(S)ξ</m:t>
        </m:r>
      </m:oMath>
      <w:r>
        <w:tab/>
        <w:t>(10)</w:t>
      </w:r>
    </w:p>
    <w:p>
      <w:r>
        <w:t>ξ is independent standard normal noise. This law is an assumption, not a derived Cramér–Rao bound. Selection truncates measured power but leaves the subsequent standardized range noise normal. Coordinates use the central beam and known firing pose:</w:t>
      </w:r>
    </w:p>
    <w:p>
      <w:pPr>
        <w:keepLines/>
        <w:tabs>
          <w:tab w:pos="4378" w:val="center"/>
          <w:tab w:pos="9360" w:val="right"/>
        </w:tabs>
        <w:spacing w:line="360" w:lineRule="auto" w:before="40" w:after="80"/>
      </w:pPr>
      <w:r>
        <w:tab/>
      </w:r>
      <m:oMath>
        <m:sSup>
          <m:e>
            <m:r>
              <w:rPr>
                <w:rFonts w:ascii="Cambria Math" w:hAnsi="Cambria Math"/>
              </w:rPr>
              <m:t xml:space="preserve">p̂</m:t>
            </m:r>
          </m:e>
          <m:sup>
            <m:r>
              <w:rPr>
                <w:rFonts w:ascii="Cambria Math" w:hAnsi="Cambria Math"/>
              </w:rPr>
              <m:t xml:space="preserve">S</m:t>
            </m:r>
          </m:sup>
        </m:sSup>
        <m:r>
          <w:rPr>
            <w:rFonts w:ascii="Cambria Math" w:hAnsi="Cambria Math"/>
          </w:rPr>
          <m:t xml:space="preserve"> = z b,     </m:t>
        </m:r>
        <m:sSup>
          <m:e>
            <m:r>
              <w:rPr>
                <w:rFonts w:ascii="Cambria Math" w:hAnsi="Cambria Math"/>
              </w:rPr>
              <m:t xml:space="preserve">p̂</m:t>
            </m:r>
          </m:e>
          <m:sup>
            <m:r>
              <w:rPr>
                <w:rFonts w:ascii="Cambria Math" w:hAnsi="Cambria Math"/>
              </w:rPr>
              <m:t xml:space="preserve">W</m:t>
            </m:r>
          </m:sup>
        </m:sSup>
        <m:r>
          <w:rPr>
            <w:rFonts w:ascii="Cambria Math" w:hAnsi="Cambria Math"/>
          </w:rPr>
          <m:t xml:space="preserve"> = o + z d</m:t>
        </m:r>
      </m:oMath>
      <w:r>
        <w:tab/>
        <w:t>(11)</w:t>
      </w:r>
    </w:p>
    <w:p>
      <w:pPr>
        <w:pStyle w:val="Heading2"/>
      </w:pPr>
      <w:r>
        <w:t>2.5 Mathematical dependencies</w:t>
      </w:r>
    </w:p>
    <w:p>
      <w:r>
        <w:t>A forward plane intersection is r = nᵀ(p0 − o)/(nᵀd). Horizontal ground at mounting height h and downward world beam elevation β therefore gives</w:t>
      </w:r>
    </w:p>
    <w:p>
      <w:pPr>
        <w:keepLines/>
        <w:tabs>
          <w:tab w:pos="4378" w:val="center"/>
          <w:tab w:pos="9360" w:val="right"/>
        </w:tabs>
        <w:spacing w:line="360" w:lineRule="auto" w:before="40" w:after="80"/>
      </w:pPr>
      <w:r>
        <w:tab/>
      </w:r>
      <m:oMath>
        <m:r>
          <w:rPr>
            <w:rFonts w:ascii="Cambria Math" w:hAnsi="Cambria Math"/>
          </w:rPr>
          <m:t xml:space="preserve">r = −</m:t>
        </m:r>
        <m:f>
          <m:num>
            <m:r>
              <w:rPr>
                <w:rFonts w:ascii="Cambria Math" w:hAnsi="Cambria Math"/>
              </w:rPr>
              <m:t xml:space="preserve">h</m:t>
            </m:r>
          </m:num>
          <m:den>
            <m:r>
              <w:rPr>
                <w:rFonts w:ascii="Cambria Math" w:hAnsi="Cambria Math"/>
              </w:rPr>
              <m:t xml:space="preserve">sin β</m:t>
            </m:r>
          </m:den>
        </m:f>
        <m:r>
          <w:rPr>
            <w:rFonts w:ascii="Cambria Math" w:hAnsi="Cambria Math"/>
          </w:rPr>
          <m:t xml:space="preserve">,     </m:t>
        </m:r>
        <m:f>
          <m:num>
            <m:r>
              <w:rPr>
                <w:rFonts w:ascii="Cambria Math" w:hAnsi="Cambria Math"/>
              </w:rPr>
              <m:t xml:space="preserve">∂r</m:t>
            </m:r>
          </m:num>
          <m:den>
            <m:r>
              <w:rPr>
                <w:rFonts w:ascii="Cambria Math" w:hAnsi="Cambria Math"/>
              </w:rPr>
              <m:t xml:space="preserve">∂h</m:t>
            </m:r>
          </m:den>
        </m:f>
        <m:r>
          <w:rPr>
            <w:rFonts w:ascii="Cambria Math" w:hAnsi="Cambria Math"/>
          </w:rPr>
          <m:t xml:space="preserve"> = −</m:t>
        </m:r>
        <m:f>
          <m:num>
            <m:r>
              <w:rPr>
                <w:rFonts w:ascii="Cambria Math" w:hAnsi="Cambria Math"/>
              </w:rPr>
              <m:t xml:space="preserve">1</m:t>
            </m:r>
          </m:num>
          <m:den>
            <m:r>
              <w:rPr>
                <w:rFonts w:ascii="Cambria Math" w:hAnsi="Cambria Math"/>
              </w:rPr>
              <m:t xml:space="preserve">sin β</m:t>
            </m:r>
          </m:den>
        </m:f>
        <m:r>
          <w:rPr>
            <w:rFonts w:ascii="Cambria Math" w:hAnsi="Cambria Math"/>
          </w:rPr>
          <m:t xml:space="preserve">,     </m:t>
        </m:r>
        <m:f>
          <m:num>
            <m:r>
              <w:rPr>
                <w:rFonts w:ascii="Cambria Math" w:hAnsi="Cambria Math"/>
              </w:rPr>
              <m:t xml:space="preserve">∂r</m:t>
            </m:r>
          </m:num>
          <m:den>
            <m:r>
              <w:rPr>
                <w:rFonts w:ascii="Cambria Math" w:hAnsi="Cambria Math"/>
              </w:rPr>
              <m:t xml:space="preserve">∂β</m:t>
            </m:r>
          </m:den>
        </m:f>
        <m:r>
          <w:rPr>
            <w:rFonts w:ascii="Cambria Math" w:hAnsi="Cambria Math"/>
          </w:rPr>
          <m:t xml:space="preserve"> = </m:t>
        </m:r>
        <m:f>
          <m:num>
            <m:r>
              <w:rPr>
                <w:rFonts w:ascii="Cambria Math" w:hAnsi="Cambria Math"/>
              </w:rPr>
              <m:t xml:space="preserve">h cos β</m:t>
            </m:r>
          </m:num>
          <m:den>
            <m:sSup>
              <m:e>
                <m:r>
                  <w:rPr>
                    <w:rFonts w:ascii="Cambria Math" w:hAnsi="Cambria Math"/>
                  </w:rPr>
                  <m:t xml:space="preserve">sin</m:t>
                </m:r>
              </m:e>
              <m:sup>
                <m:r>
                  <w:rPr>
                    <w:rFonts w:ascii="Cambria Math" w:hAnsi="Cambria Math"/>
                  </w:rPr>
                  <m:t xml:space="preserve">2</m:t>
                </m:r>
              </m:sup>
            </m:sSup>
            <m:r>
              <w:rPr>
                <w:rFonts w:ascii="Cambria Math" w:hAnsi="Cambria Math"/>
              </w:rPr>
              <m:t xml:space="preserve"> β</m:t>
            </m:r>
          </m:den>
        </m:f>
      </m:oMath>
      <w:r>
        <w:tab/>
        <w:t>(12)</w:t>
      </w:r>
    </w:p>
    <w:p>
      <w:r>
        <w:t>Height and orientation change range, with increasing sensitivity near horizontal beams. The FOV transformation changes coverage with pose; the nearest hit rule changes LOS at occluder edges. For a beam filling diffuse target, P = C exp(−2κr)/r² and C = PtArηρd cos θ/π, so</w:t>
      </w:r>
    </w:p>
    <w:p>
      <w:pPr>
        <w:keepLines/>
        <w:tabs>
          <w:tab w:pos="4378" w:val="center"/>
          <w:tab w:pos="9360" w:val="right"/>
        </w:tabs>
        <w:spacing w:line="360" w:lineRule="auto" w:before="40" w:after="80"/>
      </w:pPr>
      <w:r>
        <w:tab/>
      </w:r>
      <m:oMath>
        <m:f>
          <m:num>
            <m:r>
              <w:rPr>
                <w:rFonts w:ascii="Cambria Math" w:hAnsi="Cambria Math"/>
              </w:rPr>
              <m:t xml:space="preserve">∂ ln P</m:t>
            </m:r>
          </m:num>
          <m:den>
            <m:r>
              <w:rPr>
                <w:rFonts w:ascii="Cambria Math" w:hAnsi="Cambria Math"/>
              </w:rPr>
              <m:t xml:space="preserve">∂r</m:t>
            </m:r>
          </m:den>
        </m:f>
        <m:r>
          <w:rPr>
            <w:rFonts w:ascii="Cambria Math" w:hAnsi="Cambria Math"/>
          </w:rPr>
          <m:t xml:space="preserve"> = −</m:t>
        </m:r>
        <m:f>
          <m:num>
            <m:r>
              <w:rPr>
                <w:rFonts w:ascii="Cambria Math" w:hAnsi="Cambria Math"/>
              </w:rPr>
              <m:t xml:space="preserve">2</m:t>
            </m:r>
          </m:num>
          <m:den>
            <m:r>
              <w:rPr>
                <w:rFonts w:ascii="Cambria Math" w:hAnsi="Cambria Math"/>
              </w:rPr>
              <m:t xml:space="preserve">r</m:t>
            </m:r>
          </m:den>
        </m:f>
        <m:r>
          <w:rPr>
            <w:rFonts w:ascii="Cambria Math" w:hAnsi="Cambria Math"/>
          </w:rPr>
          <m:t xml:space="preserve"> − 2κ,     </m:t>
        </m:r>
        <m:f>
          <m:num>
            <m:r>
              <w:rPr>
                <w:rFonts w:ascii="Cambria Math" w:hAnsi="Cambria Math"/>
              </w:rPr>
              <m:t xml:space="preserve">∂ ln P</m:t>
            </m:r>
          </m:num>
          <m:den>
            <m:r>
              <w:rPr>
                <w:rFonts w:ascii="Cambria Math" w:hAnsi="Cambria Math"/>
              </w:rPr>
              <m:t xml:space="preserve">∂κ</m:t>
            </m:r>
          </m:den>
        </m:f>
        <m:r>
          <w:rPr>
            <w:rFonts w:ascii="Cambria Math" w:hAnsi="Cambria Math"/>
          </w:rPr>
          <m:t xml:space="preserve"> = −2r,     </m:t>
        </m:r>
        <m:f>
          <m:num>
            <m:r>
              <w:rPr>
                <w:rFonts w:ascii="Cambria Math" w:hAnsi="Cambria Math"/>
              </w:rPr>
              <m:t xml:space="preserve">∂ ln P</m:t>
            </m:r>
          </m:num>
          <m:den>
            <m:r>
              <w:rPr>
                <w:rFonts w:ascii="Cambria Math" w:hAnsi="Cambria Math"/>
              </w:rPr>
              <m:t xml:space="preserve">∂θ</m:t>
            </m:r>
          </m:den>
        </m:f>
        <m:r>
          <w:rPr>
            <w:rFonts w:ascii="Cambria Math" w:hAnsi="Cambria Math"/>
          </w:rPr>
          <m:t xml:space="preserve"> = −tan θ</m:t>
        </m:r>
      </m:oMath>
      <w:r>
        <w:tab/>
        <w:t>(13)</w:t>
      </w:r>
    </w:p>
    <w:p>
      <w:r>
        <w:t>Diffuse weight scales power linearly. Greater range, extinction, and incidence angle weaken the diffuse signal, and therefore reduce detection probability. The angle derivative holds range fixed and excludes the specular branch. For any selected physical reference,</w:t>
      </w:r>
    </w:p>
    <w:p>
      <w:pPr>
        <w:keepLines/>
        <w:tabs>
          <w:tab w:pos="4378" w:val="center"/>
          <w:tab w:pos="9360" w:val="right"/>
        </w:tabs>
        <w:spacing w:line="360" w:lineRule="auto" w:before="40" w:after="80"/>
      </w:pPr>
      <w:r>
        <w:tab/>
      </w:r>
      <m:oMath>
        <m:r>
          <w:rPr>
            <w:rFonts w:ascii="Cambria Math" w:hAnsi="Cambria Math"/>
          </w:rPr>
          <m:t xml:space="preserve">E[</m:t>
        </m:r>
        <m:sSup>
          <m:e>
            <m:r>
              <w:rPr>
                <w:rFonts w:ascii="Cambria Math" w:hAnsi="Cambria Math"/>
              </w:rPr>
              <m:t xml:space="preserve">(z − </m:t>
            </m:r>
            <m:sSub>
              <m:e>
                <m:r>
                  <w:rPr>
                    <w:rFonts w:ascii="Cambria Math" w:hAnsi="Cambria Math"/>
                  </w:rPr>
                  <m:t xml:space="preserve">r</m:t>
                </m:r>
              </m:e>
              <m:sub>
                <m:r>
                  <w:rPr>
                    <w:rFonts w:ascii="Cambria Math" w:hAnsi="Cambria Math"/>
                  </w:rPr>
                  <m:t xml:space="preserve">ref</m:t>
                </m:r>
              </m:sub>
            </m:sSub>
            <m:r>
              <w:rPr>
                <w:rFonts w:ascii="Cambria Math" w:hAnsi="Cambria Math"/>
              </w:rPr>
              <m:t xml:space="preserve">)</m:t>
            </m:r>
          </m:e>
          <m:sup>
            <m:r>
              <w:rPr>
                <w:rFonts w:ascii="Cambria Math" w:hAnsi="Cambria Math"/>
              </w:rPr>
              <m:t xml:space="preserve">2</m:t>
            </m:r>
          </m:sup>
        </m:sSup>
        <m:r>
          <w:rPr>
            <w:rFonts w:ascii="Cambria Math" w:hAnsi="Cambria Math"/>
          </w:rPr>
          <m:t xml:space="preserve"> | P̃, G] = </m:t>
        </m:r>
        <m:sSup>
          <m:e>
            <m:r>
              <w:rPr>
                <w:rFonts w:ascii="Cambria Math" w:hAnsi="Cambria Math"/>
              </w:rPr>
              <m:t xml:space="preserve">(</m:t>
            </m:r>
            <m:sSub>
              <m:e>
                <m:r>
                  <w:rPr>
                    <w:rFonts w:ascii="Cambria Math" w:hAnsi="Cambria Math"/>
                  </w:rPr>
                  <m:t xml:space="preserve">r̄</m:t>
                </m:r>
              </m:e>
              <m:sub>
                <m:r>
                  <w:rPr>
                    <w:rFonts w:ascii="Cambria Math" w:hAnsi="Cambria Math"/>
                  </w:rPr>
                  <m:t xml:space="preserve">G</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ref</m:t>
                </m:r>
              </m:sub>
            </m:sSub>
            <m:r>
              <w:rPr>
                <w:rFonts w:ascii="Cambria Math" w:hAnsi="Cambria Math"/>
              </w:rPr>
              <m:t xml:space="preserve">)</m:t>
            </m:r>
          </m:e>
          <m:sup>
            <m:r>
              <w:rPr>
                <w:rFonts w:ascii="Cambria Math" w:hAnsi="Cambria Math"/>
              </w:rPr>
              <m:t xml:space="preserve">2</m:t>
            </m:r>
          </m:sup>
        </m:sSup>
        <m:r>
          <w:rPr>
            <w:rFonts w:ascii="Cambria Math" w:hAnsi="Cambria Math"/>
          </w:rPr>
          <m:t xml:space="preserve"> + </m:t>
        </m:r>
        <m:sSup>
          <m:e>
            <m:sSub>
              <m:e>
                <m:r>
                  <w:rPr>
                    <w:rFonts w:ascii="Cambria Math" w:hAnsi="Cambria Math"/>
                  </w:rPr>
                  <m:t xml:space="preserve">σ</m:t>
                </m:r>
              </m:e>
              <m:sub>
                <m:r>
                  <w:rPr>
                    <w:rFonts w:ascii="Cambria Math" w:hAnsi="Cambria Math"/>
                  </w:rPr>
                  <m:t xml:space="preserve">r</m:t>
                </m:r>
              </m:sub>
            </m:sSub>
          </m:e>
          <m:sup>
            <m:r>
              <w:rPr>
                <w:rFonts w:ascii="Cambria Math" w:hAnsi="Cambria Math"/>
              </w:rPr>
              <m:t xml:space="preserve">2</m:t>
            </m:r>
          </m:sup>
        </m:sSup>
        <m:r>
          <w:rPr>
            <w:rFonts w:ascii="Cambria Math" w:hAnsi="Cambria Math"/>
          </w:rPr>
          <m:t xml:space="preserve">(S)</m:t>
        </m:r>
      </m:oMath>
      <w:r>
        <w:tab/>
        <w:t>(14)</w:t>
      </w:r>
    </w:p>
    <w:p>
      <w:pPr>
        <w:spacing w:after="0"/>
      </w:pPr>
      <w:r>
        <w:t>The first term is centroid displacement; the second is conditional random variance. Angular, pose, calibration, and additional physical model errors are excluded.</w:t>
      </w:r>
    </w:p>
    <w:p>
      <w:pPr>
        <w:pStyle w:val="Heading1"/>
        <w:pageBreakBefore/>
      </w:pPr>
      <w:r>
        <w:t>3 Procedure</w:t>
      </w:r>
    </w:p>
    <w:p>
      <w:r>
        <w:t>Python and NumPy generate measurements; independent renderers read saved results. The fixed navigation scene has 12 objects: nine in the planning map and three unknown to the planner. Its designated target is a pure diffuse box centered at (11, 1.1, 0.6) m, sized (0.8, 1.6, 1.2) m, with diffuse weight 0.30.</w:t>
      </w:r>
    </w:p>
    <w:p>
      <w:r>
        <w:t>The sensor uses eight channels from -20 to +10 degrees, 360 azimuths, one subray, a level 0.6 m mount, and 0.5-200 m gates. Parameters are 75 W peak power, 25 mm aperture, 0.5 efficiency, 4 × 10⁻⁹ W power noise RMS, threshold factor 10, 0.01 m range floor, 5 ns pulse, and 1 ns rise time.</w:t>
      </w:r>
    </w:p>
    <w:p>
      <w:r>
        <w:t>A* supplies a shared reference from (0, 0) to (18, 0) m on a 0.25 m grid, with 0.90 m total inflation. The measured-point controller uses 0.12 ≤ z ≤ 1 m without object labels. Limits are 1.2 m/s, 90 degrees/s, 0.2 s steps, and 36 s. Forward Euler integrates</w:t>
      </w:r>
    </w:p>
    <w:p>
      <w:pPr>
        <w:keepLines/>
        <w:tabs>
          <w:tab w:pos="4378" w:val="center"/>
          <w:tab w:pos="9360" w:val="right"/>
        </w:tabs>
        <w:spacing w:line="360" w:lineRule="auto" w:before="40" w:after="80"/>
      </w:pPr>
      <w:r>
        <w:tab/>
      </w:r>
      <m:oMath>
        <m:sSub>
          <m:e>
            <m:r>
              <w:rPr>
                <w:rFonts w:ascii="Cambria Math" w:hAnsi="Cambria Math"/>
              </w:rPr>
              <m:t xml:space="preserve">p</m:t>
            </m:r>
          </m:e>
          <m:sub>
            <m:r>
              <w:rPr>
                <w:rFonts w:ascii="Cambria Math" w:hAnsi="Cambria Math"/>
              </w:rPr>
              <m:t xml:space="preserve">k+1</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v</m:t>
            </m:r>
          </m:e>
          <m:sub>
            <m:r>
              <w:rPr>
                <w:rFonts w:ascii="Cambria Math" w:hAnsi="Cambria Math"/>
              </w:rPr>
              <m:t xml:space="preserve">k</m:t>
            </m:r>
          </m:sub>
        </m:sSub>
        <m:r>
          <w:rPr>
            <w:rFonts w:ascii="Cambria Math" w:hAnsi="Cambria Math"/>
          </w:rPr>
          <m:t xml:space="preserve">Δt </m:t>
        </m:r>
        <m:sSup>
          <m:e>
            <m:r>
              <w:rPr>
                <w:rFonts w:ascii="Cambria Math" w:hAnsi="Cambria Math"/>
              </w:rPr>
              <m:t xml:space="preserve">[cos </m:t>
            </m:r>
            <m:sSub>
              <m:e>
                <m:r>
                  <w:rPr>
                    <w:rFonts w:ascii="Cambria Math" w:hAnsi="Cambria Math"/>
                  </w:rPr>
                  <m:t xml:space="preserve">θ</m:t>
                </m:r>
              </m:e>
              <m:sub>
                <m:r>
                  <w:rPr>
                    <w:rFonts w:ascii="Cambria Math" w:hAnsi="Cambria Math"/>
                  </w:rPr>
                  <m:t xml:space="preserve">k</m:t>
                </m:r>
              </m:sub>
            </m:sSub>
            <m:r>
              <w:rPr>
                <w:rFonts w:ascii="Cambria Math" w:hAnsi="Cambria Math"/>
              </w:rPr>
              <m:t xml:space="preserve">, sin </m:t>
            </m:r>
            <m:sSub>
              <m:e>
                <m:r>
                  <w:rPr>
                    <w:rFonts w:ascii="Cambria Math" w:hAnsi="Cambria Math"/>
                  </w:rPr>
                  <m:t xml:space="preserve">θ</m:t>
                </m:r>
              </m:e>
              <m:sub>
                <m:r>
                  <w:rPr>
                    <w:rFonts w:ascii="Cambria Math" w:hAnsi="Cambria Math"/>
                  </w:rPr>
                  <m:t xml:space="preserve">k</m:t>
                </m:r>
              </m:sub>
            </m:sSub>
            <m:r>
              <w:rPr>
                <w:rFonts w:ascii="Cambria Math" w:hAnsi="Cambria Math"/>
              </w:rPr>
              <m:t xml:space="preserve">]</m:t>
            </m:r>
          </m:e>
          <m:sup>
            <m:r>
              <w:rPr>
                <w:rFonts w:ascii="Cambria Math" w:hAnsi="Cambria Math"/>
              </w:rPr>
              <m:t xml:space="preserve">T</m:t>
            </m:r>
          </m:sup>
        </m:sSup>
        <m:r>
          <w:rPr>
            <w:rFonts w:ascii="Cambria Math" w:hAnsi="Cambria Math"/>
          </w:rPr>
          <m:t xml:space="preserve">,     </m:t>
        </m:r>
        <m:sSub>
          <m:e>
            <m:r>
              <w:rPr>
                <w:rFonts w:ascii="Cambria Math" w:hAnsi="Cambria Math"/>
              </w:rPr>
              <m:t xml:space="preserve">θ</m:t>
            </m:r>
          </m:e>
          <m:sub>
            <m:r>
              <w:rPr>
                <w:rFonts w:ascii="Cambria Math" w:hAnsi="Cambria Math"/>
              </w:rPr>
              <m:t xml:space="preserve">k+1</m:t>
            </m:r>
          </m:sub>
        </m:sSub>
        <m:r>
          <w:rPr>
            <w:rFonts w:ascii="Cambria Math" w:hAnsi="Cambria Math"/>
          </w:rPr>
          <m:t xml:space="preserve"> = wrap(</m:t>
        </m:r>
        <m:sSub>
          <m:e>
            <m:r>
              <w:rPr>
                <w:rFonts w:ascii="Cambria Math" w:hAnsi="Cambria Math"/>
              </w:rPr>
              <m:t xml:space="preserve">θ</m:t>
            </m:r>
          </m:e>
          <m:sub>
            <m:r>
              <w:rPr>
                <w:rFonts w:ascii="Cambria Math" w:hAnsi="Cambria Math"/>
              </w:rPr>
              <m:t xml:space="preserve">k</m:t>
            </m:r>
          </m:sub>
        </m:sSub>
        <m:r>
          <w:rPr>
            <w:rFonts w:ascii="Cambria Math" w:hAnsi="Cambria Math"/>
          </w:rPr>
          <m:t xml:space="preserve"> + </m:t>
        </m:r>
        <m:sSub>
          <m:e>
            <m:r>
              <w:rPr>
                <w:rFonts w:ascii="Cambria Math" w:hAnsi="Cambria Math"/>
              </w:rPr>
              <m:t xml:space="preserve">ω</m:t>
            </m:r>
          </m:e>
          <m:sub>
            <m:r>
              <w:rPr>
                <w:rFonts w:ascii="Cambria Math" w:hAnsi="Cambria Math"/>
              </w:rPr>
              <m:t xml:space="preserve">k</m:t>
            </m:r>
          </m:sub>
        </m:sSub>
        <m:r>
          <w:rPr>
            <w:rFonts w:ascii="Cambria Math" w:hAnsi="Cambria Math"/>
          </w:rPr>
          <m:t xml:space="preserve">Δt)</m:t>
        </m:r>
      </m:oMath>
      <w:r>
        <w:tab/>
        <w:t>(15)</w:t>
      </w:r>
    </w:p>
    <w:p>
      <w:pPr>
        <w:pStyle w:val="Heading2"/>
      </w:pPr>
      <w:r>
        <w:t>3.1 Target characteristics</w:t>
      </w:r>
    </w:p>
    <w:p>
      <w:r>
        <w:t>Nine target settings vary diffuse weight (0.02, 0.30, 0.85), yaw (0, 45, 75 degrees), height (0.3, 1.2, 2.0 m), and center x (9, 11, 13 m). Each is replayed at the same 271 baseline snapshots across three seeds. The shared baseline appears in both evaluation parts. Count target intersections, nearest visible hits, in-gate eligible echoes NE, and detections ND separately. For qi from Equation (9),</w:t>
      </w:r>
    </w:p>
    <w:p>
      <w:pPr>
        <w:keepLines/>
        <w:tabs>
          <w:tab w:pos="4378" w:val="center"/>
          <w:tab w:pos="9360" w:val="right"/>
        </w:tabs>
        <w:spacing w:line="360" w:lineRule="auto" w:before="40" w:after="80"/>
      </w:pPr>
      <w:r>
        <w:tab/>
      </w:r>
      <m:oMath>
        <m:sSub>
          <m:e>
            <m:r>
              <w:rPr>
                <w:rFonts w:ascii="Cambria Math" w:hAnsi="Cambria Math"/>
              </w:rPr>
              <m:t xml:space="preserve">p̂</m:t>
            </m:r>
          </m:e>
          <m:sub>
            <m:r>
              <w:rPr>
                <w:rFonts w:ascii="Cambria Math" w:hAnsi="Cambria Math"/>
              </w:rPr>
              <m:t xml:space="preserve">D</m:t>
            </m:r>
          </m:sub>
        </m:sSub>
        <m:r>
          <w:rPr>
            <w:rFonts w:ascii="Cambria Math" w:hAnsi="Cambria Math"/>
          </w:rPr>
          <m:t xml:space="preserve"> = </m:t>
        </m:r>
        <m:f>
          <m:num>
            <m:sSub>
              <m:e>
                <m:r>
                  <w:rPr>
                    <w:rFonts w:ascii="Cambria Math" w:hAnsi="Cambria Math"/>
                  </w:rPr>
                  <m:t xml:space="preserve">N</m:t>
                </m:r>
              </m:e>
              <m:sub>
                <m:r>
                  <w:rPr>
                    <w:rFonts w:ascii="Cambria Math" w:hAnsi="Cambria Math"/>
                  </w:rPr>
                  <m:t xml:space="preserve">D</m:t>
                </m:r>
              </m:sub>
            </m:sSub>
          </m:num>
          <m:den>
            <m:sSub>
              <m:e>
                <m:r>
                  <w:rPr>
                    <w:rFonts w:ascii="Cambria Math" w:hAnsi="Cambria Math"/>
                  </w:rPr>
                  <m:t xml:space="preserve">N</m:t>
                </m:r>
              </m:e>
              <m:sub>
                <m:r>
                  <w:rPr>
                    <w:rFonts w:ascii="Cambria Math" w:hAnsi="Cambria Math"/>
                  </w:rPr>
                  <m:t xml:space="preserve">E</m:t>
                </m:r>
              </m:sub>
            </m:sSub>
          </m:den>
        </m:f>
        <m:r>
          <w:rPr>
            <w:rFonts w:ascii="Cambria Math" w:hAnsi="Cambria Math"/>
          </w:rPr>
          <m:t xml:space="preserve">,     </m:t>
        </m:r>
        <m:sSub>
          <m:e>
            <m:r>
              <w:rPr>
                <w:rFonts w:ascii="Cambria Math" w:hAnsi="Cambria Math"/>
              </w:rPr>
              <m:t xml:space="preserve">p̄</m:t>
            </m:r>
          </m:e>
          <m:sub>
            <m:r>
              <w:rPr>
                <w:rFonts w:ascii="Cambria Math" w:hAnsi="Cambria Math"/>
              </w:rPr>
              <m:t xml:space="preserve">D</m:t>
            </m:r>
          </m:sub>
        </m:sSub>
        <m:r>
          <w:rPr>
            <w:rFonts w:ascii="Cambria Math" w:hAnsi="Cambria Math"/>
          </w:rPr>
          <m:t xml:space="preserve"> = </m:t>
        </m:r>
        <m:f>
          <m:num>
            <m:r>
              <w:rPr>
                <w:rFonts w:ascii="Cambria Math" w:hAnsi="Cambria Math"/>
              </w:rPr>
              <m:t xml:space="preserve">Σ</m:t>
            </m:r>
            <m:sSub>
              <m:e>
                <m:r>
                  <w:rPr>
                    <w:rFonts w:ascii="Cambria Math" w:hAnsi="Cambria Math"/>
                  </w:rPr>
                  <m:t xml:space="preserve">q</m:t>
                </m:r>
              </m:e>
              <m:sub>
                <m:r>
                  <w:rPr>
                    <w:rFonts w:ascii="Cambria Math" w:hAnsi="Cambria Math"/>
                  </w:rPr>
                  <m:t xml:space="preserve">i</m:t>
                </m:r>
              </m:sub>
            </m:sSub>
          </m:num>
          <m:den>
            <m:sSub>
              <m:e>
                <m:r>
                  <w:rPr>
                    <w:rFonts w:ascii="Cambria Math" w:hAnsi="Cambria Math"/>
                  </w:rPr>
                  <m:t xml:space="preserve">N</m:t>
                </m:r>
              </m:e>
              <m:sub>
                <m:r>
                  <w:rPr>
                    <w:rFonts w:ascii="Cambria Math" w:hAnsi="Cambria Math"/>
                  </w:rPr>
                  <m:t xml:space="preserve">E</m:t>
                </m:r>
              </m:sub>
            </m:sSub>
          </m:den>
        </m:f>
        <m:r>
          <w:rPr>
            <w:rFonts w:ascii="Cambria Math" w:hAnsi="Cambria Math"/>
          </w:rPr>
          <m:t xml:space="preserve">     (i ∈ E)</m:t>
        </m:r>
      </m:oMath>
      <w:r>
        <w:tab/>
        <w:t>(16)</w:t>
      </w:r>
    </w:p>
    <w:p>
      <w:pPr>
        <w:pStyle w:val="Heading2"/>
      </w:pPr>
      <w:r>
        <w:t>3.2 Environmental conditions through navigation</w:t>
      </w:r>
    </w:p>
    <w:p>
      <w:r>
        <w:t>Hold all obstacle geometry, target properties, sensor settings, robot parameters, controller, and reference route fixed. Compare clear air (κ = 0.0002 m⁻¹), rain at 50 mm/h (effective κ = 0.104764 m⁻¹), and fog represented by κ = 0.6 m⁻¹. Each condition uses seeds 1-3: nine closed-loop runs and nine matched-pose replays, including the shared baseline. All recorded trajectories and metric histories are retained.</w:t>
      </w:r>
    </w:p>
    <w:p>
      <w:pPr>
        <w:spacing w:after="0"/>
      </w:pPr>
      <w:r>
        <w:t>Points per scan include all detected surfaces. Mapping reports endpoint-observed cells, not free space or accuracy. Target range RMS pools squared errors over detected replay returns; misses are not zero errors. Weather coefficients are illustrative attenuation settings; no backscatter or false weather returns are modeled. Three navigation seeds provide descriptive comparisons, not a reliability estimate.</w:t>
      </w:r>
    </w:p>
    <w:p>
      <w:pPr>
        <w:pStyle w:val="Heading1"/>
        <w:pageBreakBefore/>
      </w:pPr>
      <w:r>
        <w:t>4 Results</w:t>
      </w:r>
    </w:p>
    <w:p>
      <w:pPr>
        <w:pStyle w:val="Heading2"/>
      </w:pPr>
      <w:r>
        <w:t>4.1 Target characteristics</w:t>
      </w:r>
    </w:p>
    <w:p>
      <w:pPr>
        <w:keepNext/>
        <w:spacing w:after="40" w:line="240" w:lineRule="auto"/>
        <w:jc w:val="center"/>
      </w:pPr>
      <w:r>
        <w:drawing>
          <wp:inline xmlns:a="http://schemas.openxmlformats.org/drawingml/2006/main" xmlns:pic="http://schemas.openxmlformats.org/drawingml/2006/picture">
            <wp:extent cx="4655820" cy="2148840"/>
            <wp:docPr id="1" name="Picture 1" descr="Full-circle field of view and natural target occlusion by an existing wall in the unchanged weather scene."/>
            <wp:cNvGraphicFramePr>
              <a:graphicFrameLocks noChangeAspect="1"/>
            </wp:cNvGraphicFramePr>
            <a:graphic>
              <a:graphicData uri="http://schemas.openxmlformats.org/drawingml/2006/picture">
                <pic:pic>
                  <pic:nvPicPr>
                    <pic:cNvPr id="0" name="weather_fov_los.png"/>
                    <pic:cNvPicPr/>
                  </pic:nvPicPr>
                  <pic:blipFill>
                    <a:blip r:embed="rId10"/>
                    <a:stretch>
                      <a:fillRect/>
                    </a:stretch>
                  </pic:blipFill>
                  <pic:spPr>
                    <a:xfrm>
                      <a:off x="0" y="0"/>
                      <a:ext cx="4655820" cy="2148840"/>
                    </a:xfrm>
                    <a:prstGeom prst="rect"/>
                  </pic:spPr>
                </pic:pic>
              </a:graphicData>
            </a:graphic>
          </wp:inline>
        </w:drawing>
      </w:r>
    </w:p>
    <w:p>
      <w:pPr>
        <w:pStyle w:val="Caption"/>
      </w:pPr>
      <w:r>
        <w:t>Figure 1  Unchanged baseline at 2.6 s: 2,880 emitted rays; 12 visible and 12 existing-wall-blocked target rays. Only representative rays and relevant true surfaces are drawn. The full-circle angular envelope is clipped at 4 m; target rays extend farther. This is explanatory geometry, not measured map points.</w:t>
      </w:r>
    </w:p>
    <w:p>
      <w:pPr>
        <w:keepNext/>
        <w:spacing w:after="40" w:line="240" w:lineRule="auto"/>
        <w:jc w:val="center"/>
      </w:pPr>
      <w:r>
        <w:drawing>
          <wp:inline xmlns:a="http://schemas.openxmlformats.org/drawingml/2006/main" xmlns:pic="http://schemas.openxmlformats.org/drawingml/2006/picture">
            <wp:extent cx="5664993" cy="2788920"/>
            <wp:docPr id="2" name="Picture 2" descr="Nine matched-pose target-characteristic settings with eligible optical power, geometric sampling, detected-return range RMS and target features."/>
            <wp:cNvGraphicFramePr>
              <a:graphicFrameLocks noChangeAspect="1"/>
            </wp:cNvGraphicFramePr>
            <a:graphic>
              <a:graphicData uri="http://schemas.openxmlformats.org/drawingml/2006/picture">
                <pic:pic>
                  <pic:nvPicPr>
                    <pic:cNvPr id="0" name="target_characteristics.png"/>
                    <pic:cNvPicPr/>
                  </pic:nvPicPr>
                  <pic:blipFill>
                    <a:blip r:embed="rId11"/>
                    <a:stretch>
                      <a:fillRect/>
                    </a:stretch>
                  </pic:blipFill>
                  <pic:spPr>
                    <a:xfrm>
                      <a:off x="0" y="0"/>
                      <a:ext cx="5664993" cy="2788920"/>
                    </a:xfrm>
                    <a:prstGeom prst="rect"/>
                  </pic:spPr>
                </pic:pic>
              </a:graphicData>
            </a:graphic>
          </wp:inline>
        </w:drawing>
      </w:r>
    </w:p>
    <w:p>
      <w:pPr>
        <w:pStyle w:val="Caption"/>
      </w:pPr>
      <w:r>
        <w:t>Figure 2  All nine target settings at matched baseline poses. Power is the noiseless eligible-echo mean; counts distinguish intersections, eligibility, and detections. Range RMS is conditional on detected target returns. Target position, orientation, and size also change geometric exposure.</w:t>
      </w:r>
    </w:p>
    <w:p>
      <w:pPr>
        <w:spacing w:after="0"/>
      </w:pPr>
      <w:r>
        <w:t>Diffuse weights 0.02, 0.30, and 0.85 give power ratios 0.0667, 1, and 2.8333. At one common seed-1 viewpoint (6 s), target centers x = 9, 11, and 13 m give ranges 2.134, 4.011, and 5.950 m and powers 0.339830, 0.105144, and 0.048696 mW. Whole-route averages need not preserve this ordering because eligible exposures and incidence differ.</w:t>
      </w:r>
    </w:p>
    <w:p>
      <w:pPr>
        <w:pStyle w:val="Heading2"/>
        <w:pageBreakBefore/>
      </w:pPr>
      <w:r>
        <w:t>4.2 Environmental measurement metrics</w:t>
      </w:r>
    </w:p>
    <w:p>
      <w:pPr>
        <w:pStyle w:val="Caption"/>
      </w:pPr>
      <w:r>
        <w:t>Table 1  Same fixed scene; three seeds per weather condition. Navigation/map values are means of run summaries. Range RMS and detection fraction pool target echoes at identical baseline poses.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90" w:type="dxa"/>
          <w:bottom w:w="65" w:type="dxa"/>
          <w:right w:w="90" w:type="dxa"/>
        </w:tblCellMar>
      </w:tblPr>
      <w:tblGrid>
        <w:gridCol w:w="2160"/>
        <w:gridCol w:w="1728"/>
        <w:gridCol w:w="1728"/>
        <w:gridCol w:w="1656"/>
        <w:gridCol w:w="2088"/>
      </w:tblGrid>
      <w:tr>
        <w:trPr>
          <w:cantSplit/>
          <w:tblHeader/>
        </w:trPr>
        <w:tc>
          <w:tcPr>
            <w:tcW w:type="dxa" w:w="2160"/>
            <w:vAlign w:val="center"/>
            <w:shd w:fill="EEEEEE"/>
          </w:tcPr>
          <w:p>
            <w:pPr>
              <w:spacing w:line="240" w:lineRule="auto" w:after="0"/>
              <w:jc w:val="left"/>
            </w:pPr>
            <w:r>
              <w:rPr>
                <w:b/>
                <w:sz w:val="22"/>
              </w:rPr>
              <w:t>Condition</w:t>
            </w:r>
          </w:p>
        </w:tc>
        <w:tc>
          <w:tcPr>
            <w:tcW w:type="dxa" w:w="1728"/>
            <w:vAlign w:val="center"/>
            <w:shd w:fill="EEEEEE"/>
          </w:tcPr>
          <w:p>
            <w:pPr>
              <w:spacing w:line="240" w:lineRule="auto" w:after="0"/>
              <w:jc w:val="center"/>
            </w:pPr>
            <w:r>
              <w:rPr>
                <w:b/>
                <w:sz w:val="22"/>
              </w:rPr>
              <w:t>Mean points / scan</w:t>
            </w:r>
          </w:p>
        </w:tc>
        <w:tc>
          <w:tcPr>
            <w:tcW w:type="dxa" w:w="1728"/>
            <w:vAlign w:val="center"/>
            <w:shd w:fill="EEEEEE"/>
          </w:tcPr>
          <w:p>
            <w:pPr>
              <w:spacing w:line="240" w:lineRule="auto" w:after="0"/>
              <w:jc w:val="center"/>
            </w:pPr>
            <w:r>
              <w:rPr>
                <w:b/>
                <w:sz w:val="22"/>
              </w:rPr>
              <w:t>Observed cells (%)</w:t>
            </w:r>
          </w:p>
        </w:tc>
        <w:tc>
          <w:tcPr>
            <w:tcW w:type="dxa" w:w="1656"/>
            <w:vAlign w:val="center"/>
            <w:shd w:fill="EEEEEE"/>
          </w:tcPr>
          <w:p>
            <w:pPr>
              <w:spacing w:line="240" w:lineRule="auto" w:after="0"/>
              <w:jc w:val="center"/>
            </w:pPr>
            <w:r>
              <w:rPr>
                <w:b/>
                <w:sz w:val="22"/>
              </w:rPr>
              <w:t>Target RMS (mm)</w:t>
            </w:r>
          </w:p>
        </w:tc>
        <w:tc>
          <w:tcPr>
            <w:tcW w:type="dxa" w:w="2088"/>
            <w:vAlign w:val="center"/>
            <w:shd w:fill="EEEEEE"/>
          </w:tcPr>
          <w:p>
            <w:pPr>
              <w:spacing w:line="240" w:lineRule="auto" w:after="0"/>
              <w:jc w:val="center"/>
            </w:pPr>
            <w:r>
              <w:rPr>
                <w:b/>
                <w:sz w:val="22"/>
              </w:rPr>
              <w:t>Detected / eligible (%)</w:t>
            </w:r>
          </w:p>
        </w:tc>
      </w:tr>
      <w:tr>
        <w:trPr>
          <w:cantSplit/>
        </w:trPr>
        <w:tc>
          <w:tcPr>
            <w:tcW w:type="dxa" w:w="2160"/>
            <w:vAlign w:val="center"/>
          </w:tcPr>
          <w:p>
            <w:pPr>
              <w:spacing w:line="240" w:lineRule="auto" w:after="0"/>
              <w:jc w:val="left"/>
            </w:pPr>
            <w:r>
              <w:rPr>
                <w:b w:val="0"/>
                <w:sz w:val="22"/>
              </w:rPr>
              <w:t>Clear</w:t>
            </w:r>
          </w:p>
        </w:tc>
        <w:tc>
          <w:tcPr>
            <w:tcW w:type="dxa" w:w="1728"/>
            <w:vAlign w:val="center"/>
          </w:tcPr>
          <w:p>
            <w:pPr>
              <w:spacing w:line="240" w:lineRule="auto" w:after="0"/>
              <w:jc w:val="center"/>
            </w:pPr>
            <w:r>
              <w:rPr>
                <w:b w:val="0"/>
                <w:sz w:val="22"/>
              </w:rPr>
              <w:t>2,198.4</w:t>
            </w:r>
          </w:p>
        </w:tc>
        <w:tc>
          <w:tcPr>
            <w:tcW w:type="dxa" w:w="1728"/>
            <w:vAlign w:val="center"/>
          </w:tcPr>
          <w:p>
            <w:pPr>
              <w:spacing w:line="240" w:lineRule="auto" w:after="0"/>
              <w:jc w:val="center"/>
            </w:pPr>
            <w:r>
              <w:rPr>
                <w:b w:val="0"/>
                <w:sz w:val="22"/>
              </w:rPr>
              <w:t>73.67</w:t>
            </w:r>
          </w:p>
        </w:tc>
        <w:tc>
          <w:tcPr>
            <w:tcW w:type="dxa" w:w="1656"/>
            <w:vAlign w:val="center"/>
          </w:tcPr>
          <w:p>
            <w:pPr>
              <w:spacing w:line="240" w:lineRule="auto" w:after="0"/>
              <w:jc w:val="center"/>
            </w:pPr>
            <w:r>
              <w:rPr>
                <w:b w:val="0"/>
                <w:sz w:val="22"/>
              </w:rPr>
              <w:t>9.992</w:t>
            </w:r>
          </w:p>
        </w:tc>
        <w:tc>
          <w:tcPr>
            <w:tcW w:type="dxa" w:w="2088"/>
            <w:vAlign w:val="center"/>
          </w:tcPr>
          <w:p>
            <w:pPr>
              <w:spacing w:line="240" w:lineRule="auto" w:after="0"/>
              <w:jc w:val="center"/>
            </w:pPr>
            <w:r>
              <w:rPr>
                <w:b w:val="0"/>
                <w:sz w:val="22"/>
              </w:rPr>
              <w:t>100.00</w:t>
            </w:r>
          </w:p>
        </w:tc>
      </w:tr>
      <w:tr>
        <w:trPr>
          <w:cantSplit/>
        </w:trPr>
        <w:tc>
          <w:tcPr>
            <w:tcW w:type="dxa" w:w="2160"/>
            <w:vAlign w:val="center"/>
          </w:tcPr>
          <w:p>
            <w:pPr>
              <w:spacing w:line="240" w:lineRule="auto" w:after="0"/>
              <w:jc w:val="left"/>
            </w:pPr>
            <w:r>
              <w:rPr>
                <w:b w:val="0"/>
                <w:sz w:val="22"/>
              </w:rPr>
              <w:t>Rain 50 mm/h</w:t>
            </w:r>
          </w:p>
        </w:tc>
        <w:tc>
          <w:tcPr>
            <w:tcW w:type="dxa" w:w="1728"/>
            <w:vAlign w:val="center"/>
          </w:tcPr>
          <w:p>
            <w:pPr>
              <w:spacing w:line="240" w:lineRule="auto" w:after="0"/>
              <w:jc w:val="center"/>
            </w:pPr>
            <w:r>
              <w:rPr>
                <w:b w:val="0"/>
                <w:sz w:val="22"/>
              </w:rPr>
              <w:t>2,011.3</w:t>
            </w:r>
          </w:p>
        </w:tc>
        <w:tc>
          <w:tcPr>
            <w:tcW w:type="dxa" w:w="1728"/>
            <w:vAlign w:val="center"/>
          </w:tcPr>
          <w:p>
            <w:pPr>
              <w:spacing w:line="240" w:lineRule="auto" w:after="0"/>
              <w:jc w:val="center"/>
            </w:pPr>
            <w:r>
              <w:rPr>
                <w:b w:val="0"/>
                <w:sz w:val="22"/>
              </w:rPr>
              <w:t>70.33</w:t>
            </w:r>
          </w:p>
        </w:tc>
        <w:tc>
          <w:tcPr>
            <w:tcW w:type="dxa" w:w="1656"/>
            <w:vAlign w:val="center"/>
          </w:tcPr>
          <w:p>
            <w:pPr>
              <w:spacing w:line="240" w:lineRule="auto" w:after="0"/>
              <w:jc w:val="center"/>
            </w:pPr>
            <w:r>
              <w:rPr>
                <w:b w:val="0"/>
                <w:sz w:val="22"/>
              </w:rPr>
              <w:t>10.006</w:t>
            </w:r>
          </w:p>
        </w:tc>
        <w:tc>
          <w:tcPr>
            <w:tcW w:type="dxa" w:w="2088"/>
            <w:vAlign w:val="center"/>
          </w:tcPr>
          <w:p>
            <w:pPr>
              <w:spacing w:line="240" w:lineRule="auto" w:after="0"/>
              <w:jc w:val="center"/>
            </w:pPr>
            <w:r>
              <w:rPr>
                <w:b w:val="0"/>
                <w:sz w:val="22"/>
              </w:rPr>
              <w:t>100.00</w:t>
            </w:r>
          </w:p>
        </w:tc>
      </w:tr>
      <w:tr>
        <w:trPr>
          <w:cantSplit/>
        </w:trPr>
        <w:tc>
          <w:tcPr>
            <w:tcW w:type="dxa" w:w="2160"/>
            <w:vAlign w:val="center"/>
          </w:tcPr>
          <w:p>
            <w:pPr>
              <w:spacing w:line="240" w:lineRule="auto" w:after="0"/>
              <w:jc w:val="left"/>
            </w:pPr>
            <w:r>
              <w:rPr>
                <w:b w:val="0"/>
                <w:sz w:val="22"/>
              </w:rPr>
              <w:t>Fog κ = 0.6 m⁻¹</w:t>
            </w:r>
          </w:p>
        </w:tc>
        <w:tc>
          <w:tcPr>
            <w:tcW w:type="dxa" w:w="1728"/>
            <w:vAlign w:val="center"/>
          </w:tcPr>
          <w:p>
            <w:pPr>
              <w:spacing w:line="240" w:lineRule="auto" w:after="0"/>
              <w:jc w:val="center"/>
            </w:pPr>
            <w:r>
              <w:rPr>
                <w:b w:val="0"/>
                <w:sz w:val="22"/>
              </w:rPr>
              <w:t>1,742.0</w:t>
            </w:r>
          </w:p>
        </w:tc>
        <w:tc>
          <w:tcPr>
            <w:tcW w:type="dxa" w:w="1728"/>
            <w:vAlign w:val="center"/>
          </w:tcPr>
          <w:p>
            <w:pPr>
              <w:spacing w:line="240" w:lineRule="auto" w:after="0"/>
              <w:jc w:val="center"/>
            </w:pPr>
            <w:r>
              <w:rPr>
                <w:b w:val="0"/>
                <w:sz w:val="22"/>
              </w:rPr>
              <w:t>47.10</w:t>
            </w:r>
          </w:p>
        </w:tc>
        <w:tc>
          <w:tcPr>
            <w:tcW w:type="dxa" w:w="1656"/>
            <w:vAlign w:val="center"/>
          </w:tcPr>
          <w:p>
            <w:pPr>
              <w:spacing w:line="240" w:lineRule="auto" w:after="0"/>
              <w:jc w:val="center"/>
            </w:pPr>
            <w:r>
              <w:rPr>
                <w:b w:val="0"/>
                <w:sz w:val="22"/>
              </w:rPr>
              <w:t>11.139</w:t>
            </w:r>
          </w:p>
        </w:tc>
        <w:tc>
          <w:tcPr>
            <w:tcW w:type="dxa" w:w="2088"/>
            <w:vAlign w:val="center"/>
          </w:tcPr>
          <w:p>
            <w:pPr>
              <w:spacing w:line="240" w:lineRule="auto" w:after="0"/>
              <w:jc w:val="center"/>
            </w:pPr>
            <w:r>
              <w:rPr>
                <w:b w:val="0"/>
                <w:sz w:val="22"/>
              </w:rPr>
              <w:t>98.07</w:t>
            </w:r>
          </w:p>
        </w:tc>
      </w:tr>
    </w:tbl>
    <w:p>
      <w:pPr>
        <w:spacing w:after="20" w:line="20" w:lineRule="exact"/>
      </w:pPr>
    </w:p>
    <w:p>
      <w:pPr>
        <w:keepNext/>
        <w:spacing w:after="40" w:line="240" w:lineRule="auto"/>
        <w:jc w:val="center"/>
      </w:pPr>
      <w:r>
        <w:drawing>
          <wp:inline xmlns:a="http://schemas.openxmlformats.org/drawingml/2006/main" xmlns:pic="http://schemas.openxmlformats.org/drawingml/2006/picture">
            <wp:extent cx="5943600" cy="2377440"/>
            <wp:docPr id="3" name="Picture 3" descr="Clear, rain and fog measurement profiles at the same baseline poses, including detected target returns, power and pooled cumulative range RMS."/>
            <wp:cNvGraphicFramePr>
              <a:graphicFrameLocks noChangeAspect="1"/>
            </wp:cNvGraphicFramePr>
            <a:graphic>
              <a:graphicData uri="http://schemas.openxmlformats.org/drawingml/2006/picture">
                <pic:pic>
                  <pic:nvPicPr>
                    <pic:cNvPr id="0" name="weather_measurements.png"/>
                    <pic:cNvPicPr/>
                  </pic:nvPicPr>
                  <pic:blipFill>
                    <a:blip r:embed="rId12"/>
                    <a:stretch>
                      <a:fillRect/>
                    </a:stretch>
                  </pic:blipFill>
                  <pic:spPr>
                    <a:xfrm>
                      <a:off x="0" y="0"/>
                      <a:ext cx="5943600" cy="2377440"/>
                    </a:xfrm>
                    <a:prstGeom prst="rect"/>
                  </pic:spPr>
                </pic:pic>
              </a:graphicData>
            </a:graphic>
          </wp:inline>
        </w:drawing>
      </w:r>
    </w:p>
    <w:p>
      <w:pPr>
        <w:pStyle w:val="Caption"/>
      </w:pPr>
      <w:r>
        <w:t>Figure 3  Weather measurement profiles over the same saved baseline poses. Colors denote weather; all three seeds contribute. Cumulative range RMS uses pooled detected-return squared errors and its actual detection denominator. No profile is extended beyond its recorded exposure.</w:t>
      </w:r>
    </w:p>
    <w:p>
      <w:r>
        <w:t>Rain and fog reduce mean eligible target power from 0.745081 to 0.575356 and 0.187126 mW. This follows the two-way attenuation term in Equation (7); target geometry and angular sampling are unchanged.</w:t>
      </w:r>
    </w:p>
    <w:p>
      <w:r>
        <w:t>Fog lowers mean points per scan by 20.8 percent and observed endpoint coverage by 26.57 percentage points relative to clear air. Target RMS rises from 9.992 to 11.139 mm, while detection falls to 98.07 percent of eligible target echoes. These describe different denominators: whole-scene closed-loop returns, common-region endpoint cells, and detected-target replay errors.</w:t>
      </w:r>
    </w:p>
    <w:p>
      <w:pPr>
        <w:spacing w:after="0"/>
      </w:pPr>
      <w:r>
        <w:t>The range floor dominates strong nearby returns, so a substantial optical-power loss can produce a small RMS increase. Detection and coverage expose losses that conditional range RMS alone can conceal. Missing returns remain in the detection denominator; map gaps are not filled using scene truth.</w:t>
      </w:r>
    </w:p>
    <w:p>
      <w:pPr>
        <w:pStyle w:val="Heading2"/>
        <w:pageBreakBefore/>
      </w:pPr>
      <w:r>
        <w:t>4.3 Near-threshold detection and range uncertainty</w:t>
      </w:r>
    </w:p>
    <w:p>
      <w:pPr>
        <w:keepNext/>
        <w:spacing w:after="40" w:line="240" w:lineRule="auto"/>
        <w:jc w:val="center"/>
      </w:pPr>
      <w:r>
        <w:drawing>
          <wp:inline xmlns:a="http://schemas.openxmlformats.org/drawingml/2006/main" xmlns:pic="http://schemas.openxmlformats.org/drawingml/2006/picture">
            <wp:extent cx="5943600" cy="2011680"/>
            <wp:docPr id="4" name="Picture 4" descr="Three near-threshold target-ray detection curves and calibration residuals with pointwise Wilson intervals."/>
            <wp:cNvGraphicFramePr>
              <a:graphicFrameLocks noChangeAspect="1"/>
            </wp:cNvGraphicFramePr>
            <a:graphic>
              <a:graphicData uri="http://schemas.openxmlformats.org/drawingml/2006/picture">
                <pic:pic>
                  <pic:nvPicPr>
                    <pic:cNvPr id="0" name="report_threshold_detection.png"/>
                    <pic:cNvPicPr/>
                  </pic:nvPicPr>
                  <pic:blipFill>
                    <a:blip r:embed="rId13"/>
                    <a:stretch>
                      <a:fillRect/>
                    </a:stretch>
                  </pic:blipFill>
                  <pic:spPr>
                    <a:xfrm>
                      <a:off x="0" y="0"/>
                      <a:ext cx="5943600" cy="2011680"/>
                    </a:xfrm>
                    <a:prstGeom prst="rect"/>
                  </pic:spPr>
                </pic:pic>
              </a:graphicData>
            </a:graphic>
          </wp:inline>
        </w:drawing>
      </w:r>
    </w:p>
    <w:p>
      <w:pPr>
        <w:pStyle w:val="Caption"/>
      </w:pPr>
      <w:r>
        <w:t>Figure 4  Detection and calibration residuals from 33,000 actual scan trials. Each marker counts 1,000 trials, including misses; bars are pointwise 95% Wilson intervals. Small horizontal offsets distinguish viewpoints. The shaded band is the predicted 5-95% transition, not an uncertainty interval.</w:t>
      </w:r>
    </w:p>
    <w:p>
      <w:r>
        <w:t>The weather replays nearly saturate detection. For independent component validation, select three eligible rays from this same baseline scene at ranges 7.99, 4.90, and 1.93 m. Vary extinction to obtain 11 mean-SNR settings from 6 to 14, with 1,000 independent actual scans per setting. Geometry, diffuse target response, receiver noise, and threshold remain fixed. Ray selection does not depend on noisy detection; these pencil-ray probes are not additional navigation runs.</w:t>
      </w:r>
    </w:p>
    <w:p>
      <w:r>
        <w:t>At mean SNR 10, predicted probability is 0.5; measured fractions are 0.510, 0.492, and 0.498. Over 33 settings, calibration RMS error is 0.547 percentage points, with maximum residual 1.646 points. The model lies within 32/33 pointwise intervals; the excluded prediction is retained.</w:t>
      </w:r>
    </w:p>
    <w:p>
      <w:r>
        <w:t>With n independent trials, observed fraction p̂, and a = 1.96, the Wilson interval is</w:t>
      </w:r>
    </w:p>
    <w:p>
      <w:pPr>
        <w:keepLines/>
        <w:tabs>
          <w:tab w:pos="4378" w:val="center"/>
          <w:tab w:pos="9360" w:val="right"/>
        </w:tabs>
        <w:spacing w:line="360" w:lineRule="auto" w:before="40" w:after="80"/>
      </w:pPr>
      <w:r>
        <w:tab/>
      </w:r>
      <m:oMath>
        <m:f>
          <m:num>
            <m:r>
              <w:rPr>
                <w:rFonts w:ascii="Cambria Math" w:hAnsi="Cambria Math"/>
              </w:rPr>
              <m:t xml:space="preserve">p̂ + </m:t>
            </m:r>
            <m:f>
              <m:num>
                <m:sSup>
                  <m:e>
                    <m:r>
                      <w:rPr>
                        <w:rFonts w:ascii="Cambria Math" w:hAnsi="Cambria Math"/>
                      </w:rPr>
                      <m:t xml:space="preserve">a</m:t>
                    </m:r>
                  </m:e>
                  <m:sup>
                    <m:r>
                      <w:rPr>
                        <w:rFonts w:ascii="Cambria Math" w:hAnsi="Cambria Math"/>
                      </w:rPr>
                      <m:t xml:space="preserve">2</m:t>
                    </m:r>
                  </m:sup>
                </m:sSup>
              </m:num>
              <m:den>
                <m:r>
                  <w:rPr>
                    <w:rFonts w:ascii="Cambria Math" w:hAnsi="Cambria Math"/>
                  </w:rPr>
                  <m:t xml:space="preserve">2n</m:t>
                </m:r>
              </m:den>
            </m:f>
            <m:r>
              <w:rPr>
                <w:rFonts w:ascii="Cambria Math" w:hAnsi="Cambria Math"/>
              </w:rPr>
              <m:t xml:space="preserve"> ± a </m:t>
            </m:r>
            <m:rad>
              <m:radPr>
                <m:degHide m:val="1"/>
              </m:radPr>
              <m:deg/>
              <m:e>
                <m:f>
                  <m:num>
                    <m:r>
                      <w:rPr>
                        <w:rFonts w:ascii="Cambria Math" w:hAnsi="Cambria Math"/>
                      </w:rPr>
                      <m:t xml:space="preserve">p̂(1 − p̂)</m:t>
                    </m:r>
                  </m:num>
                  <m:den>
                    <m:r>
                      <w:rPr>
                        <w:rFonts w:ascii="Cambria Math" w:hAnsi="Cambria Math"/>
                      </w:rPr>
                      <m:t xml:space="preserve">n</m:t>
                    </m:r>
                  </m:den>
                </m:f>
                <m:r>
                  <w:rPr>
                    <w:rFonts w:ascii="Cambria Math" w:hAnsi="Cambria Math"/>
                  </w:rPr>
                  <m:t xml:space="preserve"> + </m:t>
                </m:r>
                <m:f>
                  <m:num>
                    <m:sSup>
                      <m:e>
                        <m:r>
                          <w:rPr>
                            <w:rFonts w:ascii="Cambria Math" w:hAnsi="Cambria Math"/>
                          </w:rPr>
                          <m:t xml:space="preserve">a</m:t>
                        </m:r>
                      </m:e>
                      <m:sup>
                        <m:r>
                          <w:rPr>
                            <w:rFonts w:ascii="Cambria Math" w:hAnsi="Cambria Math"/>
                          </w:rPr>
                          <m:t xml:space="preserve">2</m:t>
                        </m:r>
                      </m:sup>
                    </m:sSup>
                  </m:num>
                  <m:den>
                    <m:r>
                      <w:rPr>
                        <w:rFonts w:ascii="Cambria Math" w:hAnsi="Cambria Math"/>
                      </w:rPr>
                      <m:t xml:space="preserve">4</m:t>
                    </m:r>
                    <m:sSup>
                      <m:e>
                        <m:r>
                          <w:rPr>
                            <w:rFonts w:ascii="Cambria Math" w:hAnsi="Cambria Math"/>
                          </w:rPr>
                          <m:t xml:space="preserve">n</m:t>
                        </m:r>
                      </m:e>
                      <m:sup>
                        <m:r>
                          <w:rPr>
                            <w:rFonts w:ascii="Cambria Math" w:hAnsi="Cambria Math"/>
                          </w:rPr>
                          <m:t xml:space="preserve">2</m:t>
                        </m:r>
                      </m:sup>
                    </m:sSup>
                  </m:den>
                </m:f>
              </m:e>
            </m:rad>
          </m:num>
          <m:den>
            <m:r>
              <w:rPr>
                <w:rFonts w:ascii="Cambria Math" w:hAnsi="Cambria Math"/>
              </w:rPr>
              <m:t xml:space="preserve">1 + </m:t>
            </m:r>
            <m:f>
              <m:num>
                <m:sSup>
                  <m:e>
                    <m:r>
                      <w:rPr>
                        <w:rFonts w:ascii="Cambria Math" w:hAnsi="Cambria Math"/>
                      </w:rPr>
                      <m:t xml:space="preserve">a</m:t>
                    </m:r>
                  </m:e>
                  <m:sup>
                    <m:r>
                      <w:rPr>
                        <w:rFonts w:ascii="Cambria Math" w:hAnsi="Cambria Math"/>
                      </w:rPr>
                      <m:t xml:space="preserve">2</m:t>
                    </m:r>
                  </m:sup>
                </m:sSup>
              </m:num>
              <m:den>
                <m:r>
                  <w:rPr>
                    <w:rFonts w:ascii="Cambria Math" w:hAnsi="Cambria Math"/>
                  </w:rPr>
                  <m:t xml:space="preserve">n</m:t>
                </m:r>
              </m:den>
            </m:f>
          </m:den>
        </m:f>
      </m:oMath>
      <w:r>
        <w:tab/>
        <w:t>(17)</w:t>
      </w:r>
    </w:p>
    <w:p>
      <w:r>
        <w:t>For detected echoes only, define range and standardized errors; misses are not zero errors:</w:t>
      </w:r>
    </w:p>
    <w:p>
      <w:pPr>
        <w:keepLines/>
        <w:tabs>
          <w:tab w:pos="4378" w:val="center"/>
          <w:tab w:pos="9360" w:val="right"/>
        </w:tabs>
        <w:spacing w:line="360" w:lineRule="auto" w:before="40" w:after="80"/>
      </w:pPr>
      <w:r>
        <w:tab/>
      </w:r>
      <m:o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z</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r</m:t>
            </m:r>
          </m:e>
          <m:sub>
            <m:r>
              <w:rPr>
                <w:rFonts w:ascii="Cambria Math" w:hAnsi="Cambria Math"/>
              </w:rPr>
              <m:t xml:space="preserve">true,i</m:t>
            </m:r>
          </m:sub>
        </m:sSub>
        <m:r>
          <w:rPr>
            <w:rFonts w:ascii="Cambria Math" w:hAnsi="Cambria Math"/>
          </w:rPr>
          <m:t xml:space="preserve">,     </m:t>
        </m:r>
        <m:sSub>
          <m:e>
            <m:r>
              <w:rPr>
                <w:rFonts w:ascii="Cambria Math" w:hAnsi="Cambria Math"/>
              </w:rPr>
              <m:t xml:space="preserve">ε</m:t>
            </m:r>
          </m:e>
          <m:sub>
            <m:r>
              <w:rPr>
                <w:rFonts w:ascii="Cambria Math" w:hAnsi="Cambria Math"/>
              </w:rPr>
              <m:t xml:space="preserve">i</m:t>
            </m:r>
          </m:sub>
        </m:sSub>
        <m:r>
          <w:rPr>
            <w:rFonts w:ascii="Cambria Math" w:hAnsi="Cambria Math"/>
          </w:rPr>
          <m:t xml:space="preserve"> = </m:t>
        </m:r>
        <m:f>
          <m:num>
            <m:sSub>
              <m:e>
                <m:r>
                  <w:rPr>
                    <w:rFonts w:ascii="Cambria Math" w:hAnsi="Cambria Math"/>
                  </w:rPr>
                  <m:t xml:space="preserve">e</m:t>
                </m:r>
              </m:e>
              <m:sub>
                <m:r>
                  <w:rPr>
                    <w:rFonts w:ascii="Cambria Math" w:hAnsi="Cambria Math"/>
                  </w:rPr>
                  <m:t xml:space="preserve">i</m:t>
                </m:r>
              </m:sub>
            </m:sSub>
          </m:num>
          <m:den>
            <m:sSub>
              <m:e>
                <m:r>
                  <w:rPr>
                    <w:rFonts w:ascii="Cambria Math" w:hAnsi="Cambria Math"/>
                  </w:rPr>
                  <m:t xml:space="preserve">σ</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den>
        </m:f>
        <m:r>
          <w:rPr>
            <w:rFonts w:ascii="Cambria Math" w:hAnsi="Cambria Math"/>
          </w:rPr>
          <m:t xml:space="preserve">,     RMSE = </m:t>
        </m:r>
        <m:rad>
          <m:radPr>
            <m:degHide m:val="1"/>
          </m:radPr>
          <m:deg/>
          <m:e>
            <m:f>
              <m:num>
                <m:r>
                  <w:rPr>
                    <w:rFonts w:ascii="Cambria Math" w:hAnsi="Cambria Math"/>
                  </w:rPr>
                  <m:t xml:space="preserve">Σ</m:t>
                </m:r>
                <m:sSup>
                  <m:e>
                    <m:sSub>
                      <m:e>
                        <m:r>
                          <w:rPr>
                            <w:rFonts w:ascii="Cambria Math" w:hAnsi="Cambria Math"/>
                          </w:rPr>
                          <m:t xml:space="preserve">e</m:t>
                        </m:r>
                      </m:e>
                      <m:sub>
                        <m:r>
                          <w:rPr>
                            <w:rFonts w:ascii="Cambria Math" w:hAnsi="Cambria Math"/>
                          </w:rPr>
                          <m:t xml:space="preserve">i</m:t>
                        </m:r>
                      </m:sub>
                    </m:sSub>
                  </m:e>
                  <m:sup>
                    <m:r>
                      <w:rPr>
                        <w:rFonts w:ascii="Cambria Math" w:hAnsi="Cambria Math"/>
                      </w:rPr>
                      <m:t xml:space="preserve">2</m:t>
                    </m:r>
                  </m:sup>
                </m:sSup>
              </m:num>
              <m:den>
                <m:sSub>
                  <m:e>
                    <m:r>
                      <w:rPr>
                        <w:rFonts w:ascii="Cambria Math" w:hAnsi="Cambria Math"/>
                      </w:rPr>
                      <m:t xml:space="preserve">N</m:t>
                    </m:r>
                  </m:e>
                  <m:sub>
                    <m:r>
                      <w:rPr>
                        <w:rFonts w:ascii="Cambria Math" w:hAnsi="Cambria Math"/>
                      </w:rPr>
                      <m:t xml:space="preserve">D</m:t>
                    </m:r>
                  </m:sub>
                </m:sSub>
              </m:den>
            </m:f>
          </m:e>
        </m:rad>
      </m:oMath>
      <w:r>
        <w:tab/>
        <w:t>(18)</w:t>
      </w:r>
    </w:p>
    <w:p>
      <w:pPr>
        <w:spacing w:after="0"/>
      </w:pPr>
      <w:r>
        <w:t>Across 16,507 detections, range RMS is 32.358 mm versus 32.287 mm predicted from measured-SNR conditional variance; standardized RMS is 1.0018. Agreement checks the assumed noise and selection laws, not physical accuracy. Intervals do not provide simultaneous coverage.</w:t>
      </w:r>
    </w:p>
    <w:p>
      <w:pPr>
        <w:pStyle w:val="Heading2"/>
        <w:pageBreakBefore/>
      </w:pPr>
      <w:r>
        <w:t>4.4 Environmental conditions through navigation</w:t>
      </w:r>
    </w:p>
    <w:p>
      <w:pPr>
        <w:keepNext/>
        <w:spacing w:after="40" w:line="240" w:lineRule="auto"/>
        <w:jc w:val="center"/>
      </w:pPr>
      <w:r>
        <w:drawing>
          <wp:inline xmlns:a="http://schemas.openxmlformats.org/drawingml/2006/main" xmlns:pic="http://schemas.openxmlformats.org/drawingml/2006/picture">
            <wp:extent cx="5943600" cy="2743200"/>
            <wp:docPr id="5" name="Picture 5" descr="All nine recorded weather trajectories in the unchanged three dimensional obstacle scene with a top-down detail."/>
            <wp:cNvGraphicFramePr>
              <a:graphicFrameLocks noChangeAspect="1"/>
            </wp:cNvGraphicFramePr>
            <a:graphic>
              <a:graphicData uri="http://schemas.openxmlformats.org/drawingml/2006/picture">
                <pic:pic>
                  <pic:nvPicPr>
                    <pic:cNvPr id="0" name="weather_trajectories.png"/>
                    <pic:cNvPicPr/>
                  </pic:nvPicPr>
                  <pic:blipFill>
                    <a:blip r:embed="rId14"/>
                    <a:stretch>
                      <a:fillRect/>
                    </a:stretch>
                  </pic:blipFill>
                  <pic:spPr>
                    <a:xfrm>
                      <a:off x="0" y="0"/>
                      <a:ext cx="5943600" cy="2743200"/>
                    </a:xfrm>
                    <a:prstGeom prst="rect"/>
                  </pic:spPr>
                </pic:pic>
              </a:graphicData>
            </a:graphic>
          </wp:inline>
        </w:drawing>
      </w:r>
    </w:p>
    <w:p>
      <w:pPr>
        <w:keepNext/>
        <w:spacing w:after="40" w:line="240" w:lineRule="auto"/>
        <w:jc w:val="center"/>
      </w:pPr>
      <w:r>
        <w:drawing>
          <wp:inline xmlns:a="http://schemas.openxmlformats.org/drawingml/2006/main" xmlns:pic="http://schemas.openxmlformats.org/drawingml/2006/picture">
            <wp:extent cx="5943600" cy="2286000"/>
            <wp:docPr id="6" name="Picture 6" descr="Recorded weather histories of returns, endpoint coverage, swept clearance and spatial route error, retaining all seeds and true termination times."/>
            <wp:cNvGraphicFramePr>
              <a:graphicFrameLocks noChangeAspect="1"/>
            </wp:cNvGraphicFramePr>
            <a:graphic>
              <a:graphicData uri="http://schemas.openxmlformats.org/drawingml/2006/picture">
                <pic:pic>
                  <pic:nvPicPr>
                    <pic:cNvPr id="0" name="weather_profiles.png"/>
                    <pic:cNvPicPr/>
                  </pic:nvPicPr>
                  <pic:blipFill>
                    <a:blip r:embed="rId15"/>
                    <a:stretch>
                      <a:fillRect/>
                    </a:stretch>
                  </pic:blipFill>
                  <pic:spPr>
                    <a:xfrm>
                      <a:off x="0" y="0"/>
                      <a:ext cx="5943600" cy="2286000"/>
                    </a:xfrm>
                    <a:prstGeom prst="rect"/>
                  </pic:spPr>
                </pic:pic>
              </a:graphicData>
            </a:graphic>
          </wp:inline>
        </w:drawing>
      </w:r>
    </w:p>
    <w:p>
      <w:pPr>
        <w:pStyle w:val="Caption"/>
      </w:pPr>
      <w:r>
        <w:t>Figure 5  All nine weather runs in the unchanged scene. Upper: recorded 3D paths and top-down detail. Lower: points per scan, endpoint coverage, swept clearance, and route error. Exact overlaps remain overlaps. Lines stop at recorded termination; terminal poses add no scan. Colors denote weather, line styles seeds.</w:t>
      </w:r>
    </w:p>
    <w:p>
      <w:pPr>
        <w:pStyle w:val="Caption"/>
      </w:pPr>
      <w:r>
        <w:t>Table 2  Three runs per condition; all reach the goal without collision or timeout. Gap is the worst swept clearance. Three seeds are descriptive.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2448"/>
        <w:gridCol w:w="864"/>
        <w:gridCol w:w="1944"/>
        <w:gridCol w:w="2016"/>
        <w:gridCol w:w="2088"/>
      </w:tblGrid>
      <w:tr>
        <w:trPr>
          <w:cantSplit/>
          <w:tblHeader/>
        </w:trPr>
        <w:tc>
          <w:tcPr>
            <w:tcW w:type="dxa" w:w="2448"/>
            <w:vAlign w:val="center"/>
            <w:shd w:fill="EEEEEE"/>
          </w:tcPr>
          <w:p>
            <w:pPr>
              <w:spacing w:line="240" w:lineRule="auto" w:after="0"/>
              <w:jc w:val="left"/>
            </w:pPr>
            <w:r>
              <w:rPr>
                <w:b/>
                <w:sz w:val="22"/>
              </w:rPr>
              <w:t>Condition</w:t>
            </w:r>
          </w:p>
        </w:tc>
        <w:tc>
          <w:tcPr>
            <w:tcW w:type="dxa" w:w="864"/>
            <w:vAlign w:val="center"/>
            <w:shd w:fill="EEEEEE"/>
          </w:tcPr>
          <w:p>
            <w:pPr>
              <w:spacing w:line="240" w:lineRule="auto" w:after="0"/>
              <w:jc w:val="center"/>
            </w:pPr>
            <w:r>
              <w:rPr>
                <w:b/>
                <w:sz w:val="22"/>
              </w:rPr>
              <w:t>Goals</w:t>
            </w:r>
          </w:p>
        </w:tc>
        <w:tc>
          <w:tcPr>
            <w:tcW w:type="dxa" w:w="1944"/>
            <w:vAlign w:val="center"/>
            <w:shd w:fill="EEEEEE"/>
          </w:tcPr>
          <w:p>
            <w:pPr>
              <w:spacing w:line="240" w:lineRule="auto" w:after="0"/>
              <w:jc w:val="center"/>
            </w:pPr>
            <w:r>
              <w:rPr>
                <w:b/>
                <w:sz w:val="22"/>
              </w:rPr>
              <w:t>Mean time (s)</w:t>
            </w:r>
          </w:p>
        </w:tc>
        <w:tc>
          <w:tcPr>
            <w:tcW w:type="dxa" w:w="2016"/>
            <w:vAlign w:val="center"/>
            <w:shd w:fill="EEEEEE"/>
          </w:tcPr>
          <w:p>
            <w:pPr>
              <w:spacing w:line="240" w:lineRule="auto" w:after="0"/>
              <w:jc w:val="center"/>
            </w:pPr>
            <w:r>
              <w:rPr>
                <w:b/>
                <w:sz w:val="22"/>
              </w:rPr>
              <w:t>Mean path (m)</w:t>
            </w:r>
          </w:p>
        </w:tc>
        <w:tc>
          <w:tcPr>
            <w:tcW w:type="dxa" w:w="2088"/>
            <w:vAlign w:val="center"/>
            <w:shd w:fill="EEEEEE"/>
          </w:tcPr>
          <w:p>
            <w:pPr>
              <w:spacing w:line="240" w:lineRule="auto" w:after="0"/>
              <w:jc w:val="center"/>
            </w:pPr>
            <w:r>
              <w:rPr>
                <w:b/>
                <w:sz w:val="22"/>
              </w:rPr>
              <w:t>Min gap (m)</w:t>
            </w:r>
          </w:p>
        </w:tc>
      </w:tr>
      <w:tr>
        <w:trPr>
          <w:cantSplit/>
        </w:trPr>
        <w:tc>
          <w:tcPr>
            <w:tcW w:type="dxa" w:w="2448"/>
            <w:vAlign w:val="center"/>
          </w:tcPr>
          <w:p>
            <w:pPr>
              <w:spacing w:line="240" w:lineRule="auto" w:after="0"/>
              <w:jc w:val="left"/>
            </w:pPr>
            <w:r>
              <w:rPr>
                <w:b w:val="0"/>
                <w:sz w:val="22"/>
              </w:rPr>
              <w:t>Clear</w:t>
            </w:r>
          </w:p>
        </w:tc>
        <w:tc>
          <w:tcPr>
            <w:tcW w:type="dxa" w:w="864"/>
            <w:vAlign w:val="center"/>
          </w:tcPr>
          <w:p>
            <w:pPr>
              <w:spacing w:line="240" w:lineRule="auto" w:after="0"/>
              <w:jc w:val="center"/>
            </w:pPr>
            <w:r>
              <w:rPr>
                <w:b w:val="0"/>
                <w:sz w:val="22"/>
              </w:rPr>
              <w:t>3/3</w:t>
            </w:r>
          </w:p>
        </w:tc>
        <w:tc>
          <w:tcPr>
            <w:tcW w:type="dxa" w:w="1944"/>
            <w:vAlign w:val="center"/>
          </w:tcPr>
          <w:p>
            <w:pPr>
              <w:spacing w:line="240" w:lineRule="auto" w:after="0"/>
              <w:jc w:val="center"/>
            </w:pPr>
            <w:r>
              <w:rPr>
                <w:b w:val="0"/>
                <w:sz w:val="22"/>
              </w:rPr>
              <w:t>18.07</w:t>
            </w:r>
          </w:p>
        </w:tc>
        <w:tc>
          <w:tcPr>
            <w:tcW w:type="dxa" w:w="2016"/>
            <w:vAlign w:val="center"/>
          </w:tcPr>
          <w:p>
            <w:pPr>
              <w:spacing w:line="240" w:lineRule="auto" w:after="0"/>
              <w:jc w:val="center"/>
            </w:pPr>
            <w:r>
              <w:rPr>
                <w:b w:val="0"/>
                <w:sz w:val="22"/>
              </w:rPr>
              <w:t>19.702</w:t>
            </w:r>
          </w:p>
        </w:tc>
        <w:tc>
          <w:tcPr>
            <w:tcW w:type="dxa" w:w="2088"/>
            <w:vAlign w:val="center"/>
          </w:tcPr>
          <w:p>
            <w:pPr>
              <w:spacing w:line="240" w:lineRule="auto" w:after="0"/>
              <w:jc w:val="center"/>
            </w:pPr>
            <w:r>
              <w:rPr>
                <w:b w:val="0"/>
                <w:sz w:val="22"/>
              </w:rPr>
              <w:t>0.330</w:t>
            </w:r>
          </w:p>
        </w:tc>
      </w:tr>
      <w:tr>
        <w:trPr>
          <w:cantSplit/>
        </w:trPr>
        <w:tc>
          <w:tcPr>
            <w:tcW w:type="dxa" w:w="2448"/>
            <w:vAlign w:val="center"/>
          </w:tcPr>
          <w:p>
            <w:pPr>
              <w:spacing w:line="240" w:lineRule="auto" w:after="0"/>
              <w:jc w:val="left"/>
            </w:pPr>
            <w:r>
              <w:rPr>
                <w:b w:val="0"/>
                <w:sz w:val="22"/>
              </w:rPr>
              <w:t>Rain 50 mm/h</w:t>
            </w:r>
          </w:p>
        </w:tc>
        <w:tc>
          <w:tcPr>
            <w:tcW w:type="dxa" w:w="864"/>
            <w:vAlign w:val="center"/>
          </w:tcPr>
          <w:p>
            <w:pPr>
              <w:spacing w:line="240" w:lineRule="auto" w:after="0"/>
              <w:jc w:val="center"/>
            </w:pPr>
            <w:r>
              <w:rPr>
                <w:b w:val="0"/>
                <w:sz w:val="22"/>
              </w:rPr>
              <w:t>3/3</w:t>
            </w:r>
          </w:p>
        </w:tc>
        <w:tc>
          <w:tcPr>
            <w:tcW w:type="dxa" w:w="1944"/>
            <w:vAlign w:val="center"/>
          </w:tcPr>
          <w:p>
            <w:pPr>
              <w:spacing w:line="240" w:lineRule="auto" w:after="0"/>
              <w:jc w:val="center"/>
            </w:pPr>
            <w:r>
              <w:rPr>
                <w:b w:val="0"/>
                <w:sz w:val="22"/>
              </w:rPr>
              <w:t>18.07</w:t>
            </w:r>
          </w:p>
        </w:tc>
        <w:tc>
          <w:tcPr>
            <w:tcW w:type="dxa" w:w="2016"/>
            <w:vAlign w:val="center"/>
          </w:tcPr>
          <w:p>
            <w:pPr>
              <w:spacing w:line="240" w:lineRule="auto" w:after="0"/>
              <w:jc w:val="center"/>
            </w:pPr>
            <w:r>
              <w:rPr>
                <w:b w:val="0"/>
                <w:sz w:val="22"/>
              </w:rPr>
              <w:t>19.702</w:t>
            </w:r>
          </w:p>
        </w:tc>
        <w:tc>
          <w:tcPr>
            <w:tcW w:type="dxa" w:w="2088"/>
            <w:vAlign w:val="center"/>
          </w:tcPr>
          <w:p>
            <w:pPr>
              <w:spacing w:line="240" w:lineRule="auto" w:after="0"/>
              <w:jc w:val="center"/>
            </w:pPr>
            <w:r>
              <w:rPr>
                <w:b w:val="0"/>
                <w:sz w:val="22"/>
              </w:rPr>
              <w:t>0.330</w:t>
            </w:r>
          </w:p>
        </w:tc>
      </w:tr>
      <w:tr>
        <w:trPr>
          <w:cantSplit/>
        </w:trPr>
        <w:tc>
          <w:tcPr>
            <w:tcW w:type="dxa" w:w="2448"/>
            <w:vAlign w:val="center"/>
          </w:tcPr>
          <w:p>
            <w:pPr>
              <w:spacing w:line="240" w:lineRule="auto" w:after="0"/>
              <w:jc w:val="left"/>
            </w:pPr>
            <w:r>
              <w:rPr>
                <w:b w:val="0"/>
                <w:sz w:val="22"/>
              </w:rPr>
              <w:t>Fog κ = 0.6 m⁻¹</w:t>
            </w:r>
          </w:p>
        </w:tc>
        <w:tc>
          <w:tcPr>
            <w:tcW w:type="dxa" w:w="864"/>
            <w:vAlign w:val="center"/>
          </w:tcPr>
          <w:p>
            <w:pPr>
              <w:spacing w:line="240" w:lineRule="auto" w:after="0"/>
              <w:jc w:val="center"/>
            </w:pPr>
            <w:r>
              <w:rPr>
                <w:b w:val="0"/>
                <w:sz w:val="22"/>
              </w:rPr>
              <w:t>3/3</w:t>
            </w:r>
          </w:p>
        </w:tc>
        <w:tc>
          <w:tcPr>
            <w:tcW w:type="dxa" w:w="1944"/>
            <w:vAlign w:val="center"/>
          </w:tcPr>
          <w:p>
            <w:pPr>
              <w:spacing w:line="240" w:lineRule="auto" w:after="0"/>
              <w:jc w:val="center"/>
            </w:pPr>
            <w:r>
              <w:rPr>
                <w:b w:val="0"/>
                <w:sz w:val="22"/>
              </w:rPr>
              <w:t>17.93</w:t>
            </w:r>
          </w:p>
        </w:tc>
        <w:tc>
          <w:tcPr>
            <w:tcW w:type="dxa" w:w="2016"/>
            <w:vAlign w:val="center"/>
          </w:tcPr>
          <w:p>
            <w:pPr>
              <w:spacing w:line="240" w:lineRule="auto" w:after="0"/>
              <w:jc w:val="center"/>
            </w:pPr>
            <w:r>
              <w:rPr>
                <w:b w:val="0"/>
                <w:sz w:val="22"/>
              </w:rPr>
              <w:t>19.784</w:t>
            </w:r>
          </w:p>
        </w:tc>
        <w:tc>
          <w:tcPr>
            <w:tcW w:type="dxa" w:w="2088"/>
            <w:vAlign w:val="center"/>
          </w:tcPr>
          <w:p>
            <w:pPr>
              <w:spacing w:line="240" w:lineRule="auto" w:after="0"/>
              <w:jc w:val="center"/>
            </w:pPr>
            <w:r>
              <w:rPr>
                <w:b w:val="0"/>
                <w:sz w:val="22"/>
              </w:rPr>
              <w:t>0.345</w:t>
            </w:r>
          </w:p>
        </w:tc>
      </w:tr>
    </w:tbl>
    <w:p>
      <w:pPr>
        <w:spacing w:after="20" w:line="20" w:lineRule="exact"/>
      </w:pPr>
    </w:p>
    <w:p>
      <w:pPr>
        <w:pStyle w:val="Heading2"/>
        <w:pageBreakBefore/>
      </w:pPr>
      <w:r>
        <w:t>4.5 Route generation and measured 3D mapping</w:t>
      </w:r>
    </w:p>
    <w:p>
      <w:pPr>
        <w:keepNext/>
        <w:spacing w:after="40" w:line="240" w:lineRule="auto"/>
        <w:jc w:val="center"/>
      </w:pPr>
      <w:r>
        <w:drawing>
          <wp:inline xmlns:a="http://schemas.openxmlformats.org/drawingml/2006/main" xmlns:pic="http://schemas.openxmlformats.org/drawingml/2006/picture">
            <wp:extent cx="5943600" cy="2011680"/>
            <wp:docPr id="7" name="Picture 7" descr="Measured three dimensional endpoint maps in clear air, rain and fog, sharing physical axes and height colors."/>
            <wp:cNvGraphicFramePr>
              <a:graphicFrameLocks noChangeAspect="1"/>
            </wp:cNvGraphicFramePr>
            <a:graphic>
              <a:graphicData uri="http://schemas.openxmlformats.org/drawingml/2006/picture">
                <pic:pic>
                  <pic:nvPicPr>
                    <pic:cNvPr id="0" name="weather_maps.png"/>
                    <pic:cNvPicPr/>
                  </pic:nvPicPr>
                  <pic:blipFill>
                    <a:blip r:embed="rId16"/>
                    <a:stretch>
                      <a:fillRect/>
                    </a:stretch>
                  </pic:blipFill>
                  <pic:spPr>
                    <a:xfrm>
                      <a:off x="0" y="0"/>
                      <a:ext cx="5943600" cy="2011680"/>
                    </a:xfrm>
                    <a:prstGeom prst="rect"/>
                  </pic:spPr>
                </pic:pic>
              </a:graphicData>
            </a:graphic>
          </wp:inline>
        </w:drawing>
      </w:r>
    </w:p>
    <w:p>
      <w:pPr>
        <w:pStyle w:val="Caption"/>
      </w:pPr>
      <w:r>
        <w:t>Figure 6  Seed-1 measured maps for clear air, rain, and fog in the same fixed scene. Colors show height; all panels use the same axes and height scale. Display hides z ≤ 0.12 m. Each map ends with its own run; no true scene surfaces fill gaps.</w:t>
      </w:r>
    </w:p>
    <w:p>
      <w:r>
        <w:t>Measured surfaces accumulate in 0.12 m voxels. Endpoint cells are 0.2 m over [-2, 21] m × [-6, 7] m (NROI = 7,475). For K intervals and K + 1 states,</w:t>
      </w:r>
    </w:p>
    <w:p>
      <w:pPr>
        <w:keepLines/>
        <w:tabs>
          <w:tab w:pos="4378" w:val="center"/>
          <w:tab w:pos="9360" w:val="right"/>
        </w:tabs>
        <w:spacing w:line="360" w:lineRule="auto" w:before="40" w:after="80"/>
      </w:pPr>
      <w:r>
        <w:tab/>
      </w:r>
      <m:oMath>
        <m:r>
          <w:rPr>
            <w:rFonts w:ascii="Cambria Math" w:hAnsi="Cambria Math"/>
          </w:rPr>
          <m:t xml:space="preserve">L = Σ ‖</m:t>
        </m:r>
        <m:sSub>
          <m:e>
            <m:r>
              <w:rPr>
                <w:rFonts w:ascii="Cambria Math" w:hAnsi="Cambria Math"/>
              </w:rPr>
              <m:t xml:space="preserve">p</m:t>
            </m:r>
          </m:e>
          <m:sub>
            <m:r>
              <w:rPr>
                <w:rFonts w:ascii="Cambria Math" w:hAnsi="Cambria Math"/>
              </w:rPr>
              <m:t xml:space="preserve">k+1</m:t>
            </m:r>
          </m:sub>
        </m:sSub>
        <m:r>
          <w:rPr>
            <w:rFonts w:ascii="Cambria Math" w:hAnsi="Cambria Math"/>
          </w:rPr>
          <m:t xml:space="preserve"> − </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f</m:t>
            </m:r>
          </m:e>
          <m:sub>
            <m:r>
              <w:rPr>
                <w:rFonts w:ascii="Cambria Math" w:hAnsi="Cambria Math"/>
              </w:rPr>
              <m:t xml:space="preserve">obs</m:t>
            </m:r>
          </m:sub>
        </m:sSub>
        <m:r>
          <w:rPr>
            <w:rFonts w:ascii="Cambria Math" w:hAnsi="Cambria Math"/>
          </w:rPr>
          <m:t xml:space="preserve"> = </m:t>
        </m:r>
        <m:f>
          <m:num>
            <m:sSub>
              <m:e>
                <m:r>
                  <w:rPr>
                    <w:rFonts w:ascii="Cambria Math" w:hAnsi="Cambria Math"/>
                  </w:rPr>
                  <m:t xml:space="preserve">N</m:t>
                </m:r>
              </m:e>
              <m:sub>
                <m:r>
                  <w:rPr>
                    <w:rFonts w:ascii="Cambria Math" w:hAnsi="Cambria Math"/>
                  </w:rPr>
                  <m:t xml:space="preserve">obs</m:t>
                </m:r>
              </m:sub>
            </m:sSub>
          </m:num>
          <m:den>
            <m:sSub>
              <m:e>
                <m:r>
                  <w:rPr>
                    <w:rFonts w:ascii="Cambria Math" w:hAnsi="Cambria Math"/>
                  </w:rPr>
                  <m:t xml:space="preserve">N</m:t>
                </m:r>
              </m:e>
              <m:sub>
                <m:r>
                  <w:rPr>
                    <w:rFonts w:ascii="Cambria Math" w:hAnsi="Cambria Math"/>
                  </w:rPr>
                  <m:t xml:space="preserve">ROI</m:t>
                </m:r>
              </m:sub>
            </m:sSub>
          </m:den>
        </m:f>
        <m:r>
          <w:rPr>
            <w:rFonts w:ascii="Cambria Math" w:hAnsi="Cambria Math"/>
          </w:rPr>
          <m:t xml:space="preserve">,     k = 0, …, K − 1</m:t>
        </m:r>
      </m:oMath>
      <w:r>
        <w:tab/>
        <w:t>(19)</w:t>
      </w:r>
    </w:p>
    <w:p>
      <w:r>
        <w:t>Mean observed endpoint cells are 73.67 percent in clear air, 70.33 in rain, and 47.10 in fog. All weather runs reach the goal; endpoint observations do not establish accuracy or free space.</w:t>
      </w:r>
    </w:p>
    <w:p>
      <w:r>
        <w:t>Independent checks cover 65 geometry and 72 power cases; maximum residuals are 3.83e-13 m and 4.39e-16 relative power.</w:t>
      </w:r>
    </w:p>
    <w:p>
      <w:pPr>
        <w:pStyle w:val="Heading1"/>
      </w:pPr>
      <w:r>
        <w:t>5 Conclusions</w:t>
      </w:r>
    </w:p>
    <w:p>
      <w:r>
        <w:t>Target replays expose surface response and geometric sampling. With obstacles fixed, attenuation reduces returns and coverage and increases conditional range error, although all nine weather runs succeed. Threshold trials support the assumed noise model. Three seeds do not establish navigation reliability. Physical calibration, backscatter, pose uncertainty, moving objects, and scan motion remain future work.</w:t>
      </w:r>
    </w:p>
    <w:p>
      <w:pPr>
        <w:pStyle w:val="Heading1"/>
      </w:pPr>
      <w:r>
        <w:t>References</w:t>
      </w:r>
    </w:p>
    <w:p>
      <w:pPr>
        <w:spacing w:line="240" w:lineRule="auto"/>
      </w:pPr>
      <w:r>
        <w:t>[1] “Midterm project,” Robot Perception, course assignment handout, pp. 1-2.</w:t>
      </w:r>
    </w:p>
    <w:p>
      <w:pPr>
        <w:spacing w:line="240" w:lineRule="auto"/>
      </w:pPr>
      <w:r>
        <w:t>[2] E. Heiden, Z. Liu, R. K. Ramachandran, and G. S. Sukhatme, “Physics-based Simulation of Continuous-Wave LIDAR for Localization, Calibration and Tracking,” Proc. IEEE ICRA, 2020, pp. 2595-2601.</w:t>
      </w:r>
    </w:p>
    <w:sectPr w:rsidR="00FC693F" w:rsidRPr="0006063C" w:rsidSect="00034616">
      <w:footerReference w:type="default" r:id="rId9"/>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00"/>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36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80" w:line="360"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80" w:line="360" w:lineRule="auto"/>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360" w:lineRule="auto" w:before="0"/>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100"/>
    </w:pPr>
    <w:rPr>
      <w:rFonts w:ascii="Times New Roman" w:hAnsi="Times New Roman" w:eastAsia="Times New Roman" w:cs="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before="0"/>
    </w:pPr>
    <w:rPr>
      <w:rFonts w:ascii="Times New Roman" w:hAnsi="Times New Roman" w:eastAsia="Times New Roman" w:cs="Times New Roman"/>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40"/>
    </w:pPr>
    <w:rPr>
      <w:rFonts w:ascii="Times New Roman" w:hAnsi="Times New Roman" w:eastAsia="Times New Roman" w:cs="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Based Simulation of a Three Dimensional LiDAR Sensor</dc:title>
  <dc:subject>MAE 5810 Robot Perception Midterm Project</dc:subject>
  <dc:creator/>
  <cp:keywords>LiDAR, physics based model, FOV, LOS, probabilistic measurement</cp:keywords>
  <dc:description>generated by python-docx</dc:description>
  <cp:lastModifiedBy/>
  <cp:revision>1</cp:revision>
  <dcterms:created xsi:type="dcterms:W3CDTF">2013-12-23T23:15:00Z</dcterms:created>
  <dcterms:modified xsi:type="dcterms:W3CDTF">2013-12-23T23:15:00Z</dcterms:modified>
  <cp:category/>
</cp:coreProperties>
</file>