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EFF89">
      <w:pPr>
        <w:pStyle w:val="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Информация об организации:</w:t>
      </w:r>
    </w:p>
    <w:p w14:paraId="7EA3268B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«Полёт»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— производственное объединение (ПО) в России, специализирующееся на выпуске </w:t>
      </w:r>
      <w:r>
        <w:rPr>
          <w:rStyle w:val="10"/>
          <w:rFonts w:ascii="Times New Roman" w:hAnsi="Times New Roman" w:cs="Times New Roman"/>
          <w:b w:val="0"/>
          <w:i w:val="0"/>
          <w:iCs/>
          <w:color w:val="333333"/>
          <w:sz w:val="24"/>
          <w:szCs w:val="24"/>
          <w:shd w:val="clear" w:color="auto" w:fill="FFFFFF"/>
        </w:rPr>
        <w:t>ракетно-космической и авиационной техники</w:t>
      </w:r>
      <w:r>
        <w:rPr>
          <w:rFonts w:ascii="Times New Roman" w:hAnsi="Times New Roman" w:cs="Times New Roman"/>
          <w:i w:val="0"/>
          <w:iCs/>
          <w:color w:val="333333"/>
          <w:sz w:val="24"/>
          <w:szCs w:val="24"/>
          <w:shd w:val="clear" w:color="auto" w:fill="FFFFFF"/>
        </w:rPr>
        <w:t>. Р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асположено в Омске, является филиалом АО «ГКНПЦ им. М. В. Хруничева».</w:t>
      </w:r>
    </w:p>
    <w:p w14:paraId="7C84031B">
      <w:pPr>
        <w:spacing w:line="360" w:lineRule="auto"/>
        <w:jc w:val="both"/>
        <w:rPr>
          <w:rFonts w:ascii="Times New Roman" w:hAnsi="Times New Roman" w:cs="Times New Roman"/>
          <w:bCs/>
          <w:i w:val="0"/>
          <w:iCs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/>
          <w:sz w:val="24"/>
          <w:szCs w:val="24"/>
        </w:rPr>
        <w:t>Деятельность</w:t>
      </w:r>
    </w:p>
    <w:p w14:paraId="2822DED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Ref18558"/>
      <w:r>
        <w:rPr>
          <w:rFonts w:ascii="Times New Roman" w:hAnsi="Times New Roman" w:cs="Times New Roman"/>
          <w:bCs/>
          <w:sz w:val="24"/>
          <w:szCs w:val="24"/>
        </w:rPr>
        <w:t>Выпуск ракет-носителей</w:t>
      </w:r>
      <w:r>
        <w:rPr>
          <w:rFonts w:ascii="Times New Roman" w:hAnsi="Times New Roman" w:cs="Times New Roman"/>
          <w:sz w:val="24"/>
          <w:szCs w:val="24"/>
        </w:rPr>
        <w:t> для семейства «Ангара» лёгкого и тяжёлого класса. </w:t>
      </w:r>
      <w:bookmarkEnd w:id="0"/>
    </w:p>
    <w:p w14:paraId="0CD9DB7E">
      <w:pPr>
        <w:pStyle w:val="1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Производство космических аппаратов</w:t>
      </w:r>
      <w:r>
        <w:rPr>
          <w:rFonts w:ascii="Times New Roman" w:hAnsi="Times New Roman" w:cs="Times New Roman"/>
          <w:sz w:val="24"/>
          <w:szCs w:val="24"/>
        </w:rPr>
        <w:t> связи и навигации. </w:t>
      </w:r>
    </w:p>
    <w:p w14:paraId="72A50D9D">
      <w:pPr>
        <w:pStyle w:val="1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Выпуск сверхмощных двигателей</w:t>
      </w:r>
      <w:r>
        <w:rPr>
          <w:rFonts w:ascii="Times New Roman" w:hAnsi="Times New Roman" w:cs="Times New Roman"/>
          <w:sz w:val="24"/>
          <w:szCs w:val="24"/>
        </w:rPr>
        <w:t> РД-170, РД-171 для многоразовой космической системы «Энергия-Буран».</w:t>
      </w:r>
    </w:p>
    <w:p w14:paraId="1B901351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Проведение научно-исследовательских и опытно-конструкторских работ по мини- и микро КА.</w:t>
      </w:r>
    </w:p>
    <w:p w14:paraId="407A1762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Производство малых космических аппаратов на базе космической платформы «Яхта».</w:t>
      </w:r>
    </w:p>
    <w:p w14:paraId="6C35D01F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Изготовление конструкции и комплектующих для РН «Протон-М», «Рокот», универсальных ракетных модулей РН «Ангара».</w:t>
      </w:r>
    </w:p>
    <w:p w14:paraId="644B339A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Обеспечение запусков КА с использованием запаса ракет-носителей «Космос-3М».</w:t>
      </w:r>
    </w:p>
    <w:p w14:paraId="25729523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Производство самолетов малой авиации.</w:t>
      </w:r>
    </w:p>
    <w:p w14:paraId="5FF8BF79">
      <w:pPr>
        <w:shd w:val="clear" w:color="auto" w:fill="FFFFFF"/>
        <w:spacing w:before="360" w:after="120" w:line="360" w:lineRule="auto"/>
        <w:jc w:val="both"/>
        <w:outlineLvl w:val="1"/>
        <w:rPr>
          <w:rFonts w:ascii="Times New Roman" w:hAnsi="Times New Roman" w:eastAsia="Times New Roman" w:cs="Times New Roman"/>
          <w:bCs/>
          <w:i w:val="0"/>
          <w:iCs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333333"/>
          <w:sz w:val="24"/>
          <w:szCs w:val="24"/>
          <w:lang w:eastAsia="ru-RU"/>
        </w:rPr>
        <w:t>Продукция</w:t>
      </w:r>
    </w:p>
    <w:p w14:paraId="649C22C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hAnsi="Times New Roman" w:eastAsia="Times New Roman" w:cs="Times New Roman"/>
          <w:i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333333"/>
          <w:sz w:val="24"/>
          <w:szCs w:val="24"/>
          <w:lang w:eastAsia="ru-RU"/>
        </w:rPr>
        <w:t>Ракета-носитель</w:t>
      </w:r>
      <w:r>
        <w:rPr>
          <w:rFonts w:ascii="Times New Roman" w:hAnsi="Times New Roman" w:eastAsia="Times New Roman" w:cs="Times New Roman"/>
          <w:bCs/>
          <w:i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/>
          <w:color w:val="333333"/>
          <w:sz w:val="24"/>
          <w:szCs w:val="24"/>
          <w:lang w:eastAsia="ru-RU"/>
        </w:rPr>
        <w:t>лёгкого класса «Космос-3М»</w:t>
      </w:r>
      <w:r>
        <w:rPr>
          <w:rFonts w:ascii="Times New Roman" w:hAnsi="Times New Roman" w:eastAsia="Times New Roman" w:cs="Times New Roman"/>
          <w:i w:val="0"/>
          <w:iCs/>
          <w:color w:val="333333"/>
          <w:sz w:val="24"/>
          <w:szCs w:val="24"/>
          <w:lang w:eastAsia="ru-RU"/>
        </w:rPr>
        <w:t xml:space="preserve">.  </w:t>
      </w:r>
    </w:p>
    <w:p w14:paraId="0B84286F">
      <w:pPr>
        <w:numPr>
          <w:ilvl w:val="0"/>
          <w:numId w:val="2"/>
        </w:numPr>
        <w:shd w:val="clear" w:color="auto" w:fill="FFFFFF"/>
        <w:spacing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333333"/>
          <w:sz w:val="24"/>
          <w:szCs w:val="24"/>
          <w:lang w:eastAsia="ru-RU"/>
        </w:rPr>
        <w:t>Космические аппараты</w:t>
      </w:r>
      <w:r>
        <w:rPr>
          <w:rFonts w:ascii="Times New Roman" w:hAnsi="Times New Roman" w:eastAsia="Times New Roman" w:cs="Times New Roman"/>
          <w:i w:val="0"/>
          <w:iCs/>
          <w:color w:val="333333"/>
          <w:sz w:val="24"/>
          <w:szCs w:val="24"/>
          <w:lang w:eastAsia="ru-RU"/>
        </w:rPr>
        <w:t>: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 xml:space="preserve"> 87 аппаратов навигационной системы ГЛОНАСС, космический аппарат «Надежда» (основной элемент международной спутниковой системы «КОСПАС-САРСАТ»).  </w:t>
      </w:r>
    </w:p>
    <w:p w14:paraId="3C6CEA6D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333333"/>
          <w:sz w:val="24"/>
          <w:szCs w:val="24"/>
          <w:lang w:eastAsia="ru-RU"/>
        </w:rPr>
        <w:t>Самолёты</w:t>
      </w:r>
      <w:r>
        <w:rPr>
          <w:rFonts w:ascii="Times New Roman" w:hAnsi="Times New Roman" w:eastAsia="Times New Roman" w:cs="Times New Roman"/>
          <w:i/>
          <w:color w:val="333333"/>
          <w:sz w:val="24"/>
          <w:szCs w:val="24"/>
          <w:lang w:eastAsia="ru-RU"/>
        </w:rPr>
        <w:t>: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 xml:space="preserve"> в начале 1990-х годов освоен выпуск многоцелевого самолёта Ан-74, налажено серийное производство лёгкого многоцелевого самолёта Ан-3Т. </w:t>
      </w:r>
    </w:p>
    <w:p w14:paraId="36BA8951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b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 w:val="0"/>
          <w:iCs/>
          <w:color w:val="333333"/>
          <w:sz w:val="24"/>
          <w:szCs w:val="24"/>
          <w:lang w:eastAsia="ru-RU"/>
        </w:rPr>
        <w:t xml:space="preserve">Официальный сайт: </w:t>
      </w:r>
      <w:r>
        <w:rPr>
          <w:rFonts w:ascii="Times New Roman" w:hAnsi="Times New Roman" w:eastAsia="Times New Roman" w:cs="Times New Roman"/>
          <w:i/>
          <w:color w:val="333333"/>
          <w:sz w:val="24"/>
          <w:szCs w:val="24"/>
          <w:lang w:eastAsia="ru-RU"/>
        </w:rPr>
        <w:br w:type="textWrapping"/>
      </w:r>
      <w:r>
        <w:fldChar w:fldCharType="begin"/>
      </w:r>
      <w:r>
        <w:instrText xml:space="preserve"> HYPERLINK "http://www.khrunichev.ru/main.php?id=74" </w:instrText>
      </w:r>
      <w:r>
        <w:fldChar w:fldCharType="separate"/>
      </w:r>
      <w:r>
        <w:rPr>
          <w:rStyle w:val="9"/>
          <w:rFonts w:ascii="Times New Roman" w:hAnsi="Times New Roman" w:eastAsia="Times New Roman" w:cs="Times New Roman"/>
          <w:b/>
          <w:sz w:val="24"/>
          <w:szCs w:val="24"/>
          <w:lang w:eastAsia="ru-RU"/>
        </w:rPr>
        <w:t>http://www.khrunichev.ru/main.php?id=74</w:t>
      </w:r>
      <w:r>
        <w:rPr>
          <w:rStyle w:val="9"/>
          <w:rFonts w:ascii="Times New Roman" w:hAnsi="Times New Roman" w:eastAsia="Times New Roman" w:cs="Times New Roman"/>
          <w:b/>
          <w:sz w:val="24"/>
          <w:szCs w:val="24"/>
          <w:lang w:eastAsia="ru-RU"/>
        </w:rPr>
        <w:fldChar w:fldCharType="end"/>
      </w:r>
    </w:p>
    <w:p w14:paraId="342A586D">
      <w:pPr>
        <w:spacing w:line="360" w:lineRule="auto"/>
        <w:jc w:val="both"/>
        <w:rPr>
          <w:rFonts w:ascii="Times New Roman" w:hAnsi="Times New Roman" w:eastAsia="Times New Roman" w:cs="Times New Roman"/>
          <w:b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lang w:eastAsia="ru-RU"/>
        </w:rPr>
        <w:br w:type="page"/>
      </w:r>
    </w:p>
    <w:p w14:paraId="40BA7B57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i w:val="0"/>
          <w:iCs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 w:val="0"/>
          <w:iCs/>
          <w:color w:val="333333"/>
          <w:sz w:val="24"/>
          <w:szCs w:val="24"/>
          <w:lang w:eastAsia="ru-RU"/>
        </w:rPr>
        <w:t>ПО "Полет" одно из крупнейших промышленных предприятий России, которое более 75 лет специализируется на выпуске ракетно-космической техники.</w:t>
      </w:r>
    </w:p>
    <w:p w14:paraId="0D844523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Производственные мощности, высокая квалификация специалистов, большой научный и технический потенциал, применение передовых технологий позволили "ПО "Полет" внести существенный вклад в оборонно- промышленный комплекс страны , и стать единственным заводом бывшего Советского Союза, а затем и России, на котором выпускались и ракеты- носители, и космические аппараты, и сверхмощные двигатели РД -170, и  самолеты, как военной, так и гражданской авиации. </w:t>
      </w:r>
    </w:p>
    <w:p w14:paraId="56FD685F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Cs/>
          <w:color w:val="333333"/>
          <w:sz w:val="24"/>
          <w:szCs w:val="24"/>
          <w:lang w:eastAsia="ru-RU"/>
        </w:rPr>
        <w:t>Руководство</w:t>
      </w:r>
      <w:r>
        <w:rPr>
          <w:rFonts w:ascii="Times New Roman" w:hAnsi="Times New Roman" w:eastAsia="Times New Roman" w:cs="Times New Roman"/>
          <w:b/>
          <w:bCs/>
          <w:i/>
          <w:iCs/>
          <w:color w:val="333333"/>
          <w:sz w:val="24"/>
          <w:szCs w:val="24"/>
          <w:lang w:eastAsia="ru-RU"/>
        </w:rPr>
        <w:t>: </w:t>
      </w: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  <w:lang w:eastAsia="ru-RU"/>
        </w:rPr>
        <w:t>Жариков Антон Александрович -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 Руководитель филиала АО "ГКНПЦ им. М.В. Хруничева" в городе Омск - директор ПО "Полет"</w:t>
      </w:r>
    </w:p>
    <w:p w14:paraId="3595D9BD">
      <w:pPr>
        <w:pStyle w:val="2"/>
        <w:spacing w:line="360" w:lineRule="auto"/>
        <w:jc w:val="both"/>
        <w:rPr>
          <w:rFonts w:ascii="Times New Roman" w:hAnsi="Times New Roman" w:eastAsia="Times New Roman" w:cs="Times New Roman"/>
          <w:b/>
          <w:color w:val="auto"/>
          <w:sz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28"/>
          <w:lang w:eastAsia="ru-RU"/>
        </w:rPr>
        <w:t>Вопросы об предприятии, задаваемые практикодателю:</w:t>
      </w:r>
    </w:p>
    <w:p w14:paraId="1875BC1F">
      <w:pPr>
        <w:pStyle w:val="4"/>
        <w:spacing w:line="360" w:lineRule="auto"/>
        <w:jc w:val="both"/>
        <w:rPr>
          <w:b/>
          <w:i w:val="0"/>
          <w:iCs/>
          <w:sz w:val="28"/>
          <w:u w:val="none"/>
        </w:rPr>
      </w:pPr>
      <w:r>
        <w:rPr>
          <w:rStyle w:val="10"/>
          <w:rFonts w:ascii="Times New Roman" w:hAnsi="Times New Roman" w:cs="Times New Roman"/>
          <w:b w:val="0"/>
          <w:i w:val="0"/>
          <w:iCs/>
          <w:color w:val="0F1115"/>
          <w:sz w:val="28"/>
          <w:u w:val="none"/>
        </w:rPr>
        <w:t>1. Отсутствие систем удаленного управления (RDG, VNC, Web-консоли)</w:t>
      </w:r>
    </w:p>
    <w:p w14:paraId="740BBA84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На нашем предприятии, входящем в состав оборонно-промышленного комплекса (ОПК), </w:t>
      </w:r>
      <w:r>
        <w:rPr>
          <w:rStyle w:val="10"/>
          <w:b w:val="0"/>
          <w:color w:val="0F1115"/>
        </w:rPr>
        <w:t>сознательно не применяются</w:t>
      </w:r>
      <w:r>
        <w:rPr>
          <w:color w:val="0F1115"/>
        </w:rPr>
        <w:t> классические решения для удаленного управления рабочими станциями и серверами, такие как RDP, VNC, TeamViewer или аналогичные веб-консоли. Данное решение обусловлено следующими ключевыми аспектами:</w:t>
      </w:r>
    </w:p>
    <w:p w14:paraId="49EA8C8F">
      <w:pPr>
        <w:pStyle w:val="14"/>
        <w:numPr>
          <w:ilvl w:val="0"/>
          <w:numId w:val="3"/>
        </w:numPr>
        <w:shd w:val="clear" w:color="auto" w:fill="FFFFFF"/>
        <w:spacing w:after="0" w:afterAutospacing="0" w:line="360" w:lineRule="auto"/>
        <w:ind w:left="0" w:hanging="426"/>
        <w:jc w:val="both"/>
        <w:rPr>
          <w:color w:val="0F1115"/>
        </w:rPr>
      </w:pPr>
      <w:r>
        <w:rPr>
          <w:rStyle w:val="10"/>
          <w:b w:val="0"/>
          <w:color w:val="0F1115"/>
        </w:rPr>
        <w:t>Требования информационной безопасности:</w:t>
      </w:r>
      <w:r>
        <w:rPr>
          <w:color w:val="0F1115"/>
        </w:rPr>
        <w:t> Системы, предоставляющие графический интерфейс удаленного доступа, исторически имеют уязвимости и являются потенциальными векторами для атак. Их использование расширяет поверхность атаки.</w:t>
      </w:r>
    </w:p>
    <w:p w14:paraId="5AE24ADB">
      <w:pPr>
        <w:pStyle w:val="14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Сертификация и соответствие:</w:t>
      </w:r>
      <w:r>
        <w:rPr>
          <w:color w:val="0F1115"/>
        </w:rPr>
        <w:t> IT-инфраструктура предприятия должна строго соответствовать регламентам и стандартам, предъявляемым к организациям ОПК. Применение не протоколируемых или сложно контролируемых каналов удаленного доступа часто несовместимо с этими требованиями.</w:t>
      </w:r>
    </w:p>
    <w:p w14:paraId="14C59B94">
      <w:pPr>
        <w:pStyle w:val="14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Принцип минимальной достаточности:</w:t>
      </w:r>
      <w:r>
        <w:rPr>
          <w:color w:val="0F1115"/>
        </w:rPr>
        <w:t> Для выполнения большинства административных задач на серверах не требуется графический интерфейс. Все необходимые операции по настройке, обслуживанию и мониторингу могут и должны выполняться через безопасные текстовые протоколы.</w:t>
      </w:r>
    </w:p>
    <w:p w14:paraId="259BB6F6">
      <w:pPr>
        <w:pStyle w:val="4"/>
        <w:spacing w:line="360" w:lineRule="auto"/>
        <w:jc w:val="both"/>
        <w:rPr>
          <w:b/>
          <w:i w:val="0"/>
          <w:iCs/>
        </w:rPr>
      </w:pPr>
      <w:r>
        <w:rPr>
          <w:rStyle w:val="10"/>
          <w:rFonts w:ascii="Times New Roman" w:hAnsi="Times New Roman" w:cs="Times New Roman"/>
          <w:b w:val="0"/>
          <w:i w:val="0"/>
          <w:iCs/>
          <w:color w:val="0F1115"/>
          <w:sz w:val="28"/>
        </w:rPr>
        <w:t>2. Санкционированная и безопасная методика администрирования</w:t>
      </w:r>
    </w:p>
    <w:p w14:paraId="5876E48F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b/>
          <w:i/>
          <w:color w:val="0F1115"/>
        </w:rPr>
      </w:pPr>
      <w:r>
        <w:rPr>
          <w:color w:val="0F1115"/>
        </w:rPr>
        <w:t>Управление серверным оборудованием осуществляется </w:t>
      </w:r>
      <w:r>
        <w:rPr>
          <w:rStyle w:val="10"/>
          <w:b w:val="0"/>
          <w:i w:val="0"/>
          <w:iCs/>
          <w:color w:val="0F1115"/>
        </w:rPr>
        <w:t>исключительно санкционированным и регламентированным способом</w:t>
      </w:r>
      <w:r>
        <w:rPr>
          <w:b/>
          <w:i w:val="0"/>
          <w:iCs/>
          <w:color w:val="0F1115"/>
        </w:rPr>
        <w:t>:</w:t>
      </w:r>
    </w:p>
    <w:p w14:paraId="57AF187D">
      <w:pPr>
        <w:pStyle w:val="14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Исполнитель:</w:t>
      </w:r>
      <w:r>
        <w:rPr>
          <w:i w:val="0"/>
          <w:iCs/>
          <w:color w:val="0F1115"/>
        </w:rPr>
        <w:t> </w:t>
      </w:r>
      <w:r>
        <w:rPr>
          <w:color w:val="0F1115"/>
        </w:rPr>
        <w:t>Все операции выполняются </w:t>
      </w:r>
      <w:r>
        <w:rPr>
          <w:rStyle w:val="10"/>
          <w:b w:val="0"/>
          <w:color w:val="0F1115"/>
        </w:rPr>
        <w:t>штатным системным администратором</w:t>
      </w:r>
      <w:r>
        <w:rPr>
          <w:b/>
          <w:color w:val="0F1115"/>
        </w:rPr>
        <w:t>,</w:t>
      </w:r>
      <w:r>
        <w:rPr>
          <w:color w:val="0F1115"/>
        </w:rPr>
        <w:t xml:space="preserve"> имеющим соответствующий уровень допуска и четко определенные должностные инструкции.</w:t>
      </w:r>
    </w:p>
    <w:p w14:paraId="51F63FD2">
      <w:pPr>
        <w:pStyle w:val="14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Точка входа:</w:t>
      </w:r>
      <w:r>
        <w:rPr>
          <w:i w:val="0"/>
          <w:iCs/>
          <w:color w:val="0F1115"/>
        </w:rPr>
        <w:t> </w:t>
      </w:r>
      <w:r>
        <w:rPr>
          <w:color w:val="0F1115"/>
        </w:rPr>
        <w:t>Администратор работает</w:t>
      </w:r>
      <w:r>
        <w:rPr>
          <w:i w:val="0"/>
          <w:iCs w:val="0"/>
          <w:color w:val="0F1115"/>
        </w:rPr>
        <w:t> </w:t>
      </w:r>
      <w:r>
        <w:rPr>
          <w:rStyle w:val="10"/>
          <w:b w:val="0"/>
          <w:i w:val="0"/>
          <w:iCs w:val="0"/>
          <w:color w:val="0F1115"/>
        </w:rPr>
        <w:t xml:space="preserve">изнутри </w:t>
      </w:r>
      <w:r>
        <w:rPr>
          <w:rStyle w:val="10"/>
          <w:b w:val="0"/>
          <w:i w:val="0"/>
          <w:iCs w:val="0"/>
          <w:color w:val="0F1115"/>
          <w:lang w:val="ru-RU"/>
        </w:rPr>
        <w:t>защищённой</w:t>
      </w:r>
      <w:r>
        <w:rPr>
          <w:rStyle w:val="10"/>
          <w:b w:val="0"/>
          <w:i w:val="0"/>
          <w:iCs w:val="0"/>
          <w:color w:val="0F1115"/>
        </w:rPr>
        <w:t xml:space="preserve"> локальной сети предприятия</w:t>
      </w:r>
      <w:r>
        <w:rPr>
          <w:b/>
          <w:i w:val="0"/>
          <w:iCs w:val="0"/>
          <w:color w:val="0F1115"/>
        </w:rPr>
        <w:t>.</w:t>
      </w:r>
      <w:r>
        <w:rPr>
          <w:i w:val="0"/>
          <w:iCs w:val="0"/>
          <w:color w:val="0F1115"/>
        </w:rPr>
        <w:t xml:space="preserve"> </w:t>
      </w:r>
      <w:r>
        <w:rPr>
          <w:color w:val="0F1115"/>
        </w:rPr>
        <w:t>Первичный доступ к консоли администрирования возможен только с корпоративных рабочих станций, прошедших проверку и соответствующих политикам безопасности.</w:t>
      </w:r>
    </w:p>
    <w:p w14:paraId="44E26B84">
      <w:pPr>
        <w:pStyle w:val="14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Протокол доступа:</w:t>
      </w:r>
      <w:r>
        <w:rPr>
          <w:color w:val="0F1115"/>
        </w:rPr>
        <w:t> Для непосредственного управления серверами используется </w:t>
      </w:r>
      <w:r>
        <w:rPr>
          <w:rStyle w:val="10"/>
          <w:b w:val="0"/>
          <w:i w:val="0"/>
          <w:iCs/>
          <w:color w:val="0F1115"/>
        </w:rPr>
        <w:t>протокол SSH (Secure Shell)</w:t>
      </w:r>
      <w:r>
        <w:rPr>
          <w:b/>
          <w:i/>
          <w:color w:val="0F1115"/>
        </w:rPr>
        <w:t>.</w:t>
      </w:r>
      <w:r>
        <w:rPr>
          <w:color w:val="0F1115"/>
        </w:rPr>
        <w:t xml:space="preserve"> Это отраслевой стандарт для безопасного удаленного </w:t>
      </w:r>
      <w:bookmarkStart w:id="13" w:name="_GoBack"/>
      <w:bookmarkEnd w:id="13"/>
      <w:r>
        <w:rPr>
          <w:color w:val="0F1115"/>
        </w:rPr>
        <w:t>администрирования.</w:t>
      </w:r>
    </w:p>
    <w:p w14:paraId="19032215">
      <w:pPr>
        <w:pStyle w:val="14"/>
        <w:numPr>
          <w:ilvl w:val="0"/>
          <w:numId w:val="4"/>
        </w:numPr>
        <w:shd w:val="clear" w:color="auto" w:fill="FFFFFF"/>
        <w:spacing w:after="120" w:afterAutospacing="0" w:line="360" w:lineRule="auto"/>
        <w:ind w:left="0"/>
        <w:jc w:val="both"/>
        <w:rPr>
          <w:b/>
          <w:i w:val="0"/>
          <w:iCs/>
          <w:color w:val="0F1115"/>
        </w:rPr>
      </w:pPr>
      <w:r>
        <w:rPr>
          <w:rStyle w:val="10"/>
          <w:b w:val="0"/>
          <w:i w:val="0"/>
          <w:iCs/>
          <w:color w:val="0F1115"/>
        </w:rPr>
        <w:t>Механизмы защиты соединения:</w:t>
      </w:r>
    </w:p>
    <w:p w14:paraId="17D08191">
      <w:pPr>
        <w:pStyle w:val="14"/>
        <w:numPr>
          <w:ilvl w:val="1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Сквозное шифрование:</w:t>
      </w:r>
      <w:r>
        <w:rPr>
          <w:color w:val="0F1115"/>
        </w:rPr>
        <w:t> Весь трафик между рабочей станцией администратора и сервером (включая логины, пароли, команды и данные) передается в зашифрованном виде, что исключает перехват и чтение информации.</w:t>
      </w:r>
    </w:p>
    <w:p w14:paraId="12CFB954">
      <w:pPr>
        <w:pStyle w:val="14"/>
        <w:numPr>
          <w:ilvl w:val="1"/>
          <w:numId w:val="4"/>
        </w:numPr>
        <w:shd w:val="clear" w:color="auto" w:fill="FFFFFF"/>
        <w:spacing w:after="120" w:afterAutospacing="0" w:line="360" w:lineRule="auto"/>
        <w:ind w:left="0"/>
        <w:jc w:val="both"/>
        <w:rPr>
          <w:b/>
          <w:i/>
          <w:color w:val="0F1115"/>
        </w:rPr>
      </w:pPr>
      <w:r>
        <w:rPr>
          <w:rStyle w:val="10"/>
          <w:b w:val="0"/>
          <w:i w:val="0"/>
          <w:iCs/>
          <w:color w:val="0F1115"/>
        </w:rPr>
        <w:t>Аутентификация на основе криптографических ключей:</w:t>
      </w:r>
      <w:r>
        <w:rPr>
          <w:b/>
          <w:i/>
          <w:color w:val="0F1115"/>
        </w:rPr>
        <w:t> </w:t>
      </w:r>
      <w:r>
        <w:rPr>
          <w:color w:val="0F1115"/>
        </w:rPr>
        <w:t>Основным и обязательным методом входа является использование пары </w:t>
      </w:r>
      <w:r>
        <w:rPr>
          <w:rStyle w:val="10"/>
          <w:b w:val="0"/>
          <w:i w:val="0"/>
          <w:iCs/>
          <w:color w:val="0F1115"/>
        </w:rPr>
        <w:t>закрытого и открытого ключей шифрования</w:t>
      </w:r>
      <w:r>
        <w:rPr>
          <w:b/>
          <w:i/>
          <w:color w:val="0F1115"/>
        </w:rPr>
        <w:t>.</w:t>
      </w:r>
    </w:p>
    <w:p w14:paraId="0C56D2FB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Закрытый ключ хранится на защищенной рабочей станции администратора и никогда не передается по сети.</w:t>
      </w:r>
    </w:p>
    <w:p w14:paraId="5998605D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Открытый ключ размещается на целевых серверах.</w:t>
      </w:r>
    </w:p>
    <w:p w14:paraId="4E6A602E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Совпадение ключей математически подтверждает личность администратора, делая несанкционированный доступ чрезвычайно сложным.</w:t>
      </w:r>
    </w:p>
    <w:p w14:paraId="6A8BDB15">
      <w:pPr>
        <w:pStyle w:val="14"/>
        <w:numPr>
          <w:ilvl w:val="1"/>
          <w:numId w:val="4"/>
        </w:numPr>
        <w:shd w:val="clear" w:color="auto" w:fill="FFFFFF"/>
        <w:spacing w:after="12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Дополнительные меры:</w:t>
      </w:r>
      <w:r>
        <w:rPr>
          <w:color w:val="0F1115"/>
        </w:rPr>
        <w:t> Доступ по SSH дополнительно защищен:</w:t>
      </w:r>
    </w:p>
    <w:p w14:paraId="2F1C9047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Запретом на аутентификацию по простому паролю.</w:t>
      </w:r>
    </w:p>
    <w:p w14:paraId="5A3F13D4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Использованием "белых списков" IP-адресов (только из сегмента администрирования).</w:t>
      </w:r>
    </w:p>
    <w:p w14:paraId="0959144C">
      <w:pPr>
        <w:pStyle w:val="14"/>
        <w:numPr>
          <w:ilvl w:val="2"/>
          <w:numId w:val="4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color w:val="0F1115"/>
        </w:rPr>
        <w:t>Строгим учетом и аудитом всех SSH-сессий с фиксацией времени, источника и выполненных команд в централизованных журналах (логах).</w:t>
      </w:r>
    </w:p>
    <w:p w14:paraId="0751D547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/>
          <w:color w:val="auto"/>
          <w:sz w:val="28"/>
        </w:rPr>
      </w:pPr>
      <w:r>
        <w:rPr>
          <w:rFonts w:ascii="Times New Roman" w:hAnsi="Times New Roman" w:cs="Times New Roman"/>
          <w:i w:val="0"/>
          <w:iCs/>
          <w:color w:val="auto"/>
          <w:sz w:val="28"/>
        </w:rPr>
        <w:t>3. Настройка IPSeс и VPN. Настройка межсетевых экранов:</w:t>
      </w:r>
    </w:p>
    <w:p w14:paraId="019A51B6">
      <w:pPr>
        <w:pStyle w:val="14"/>
        <w:shd w:val="clear" w:color="auto" w:fill="FFFFFF"/>
        <w:spacing w:after="0" w:afterAutospacing="0" w:line="360" w:lineRule="auto"/>
        <w:jc w:val="both"/>
        <w:rPr>
          <w:i w:val="0"/>
          <w:iCs/>
          <w:color w:val="333333"/>
        </w:rPr>
      </w:pPr>
      <w:r>
        <w:rPr>
          <w:i w:val="0"/>
          <w:iCs/>
          <w:color w:val="333333"/>
        </w:rPr>
        <w:t>1. Введение и обоснование</w:t>
      </w:r>
      <w:r>
        <w:rPr>
          <w:i w:val="0"/>
          <w:iCs/>
          <w:color w:val="0F1115"/>
        </w:rPr>
        <w:t xml:space="preserve"> </w:t>
      </w:r>
    </w:p>
    <w:p w14:paraId="31337615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В рамках модернизации защищенной автоматизированной системы (АС) предприятия были проведены работы по настройке средств криптографической защиты информации (СКЗИ) «Континент 3.9». Основной задачей являлось создание безопасного, управляемого и изолированного сетевого пространства, соответствующего требованиям регуляторов для организаций ОПК. «Континент 3.9» был выбран как сертифицированное отечественное решение, обеспечивающее комплексную защиту на сетевом и канальном уровнях.</w:t>
      </w:r>
    </w:p>
    <w:p w14:paraId="30F1D6B5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Работы были сосредоточены на двух ключевых компонентах:</w:t>
      </w:r>
    </w:p>
    <w:p w14:paraId="584B5FB1">
      <w:pPr>
        <w:pStyle w:val="14"/>
        <w:numPr>
          <w:ilvl w:val="0"/>
          <w:numId w:val="5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Построение защищенных VPN-туннелей</w:t>
      </w:r>
      <w:r>
        <w:rPr>
          <w:color w:val="0F1115"/>
        </w:rPr>
        <w:t> с использованием протокола </w:t>
      </w:r>
      <w:r>
        <w:rPr>
          <w:rStyle w:val="10"/>
          <w:b w:val="0"/>
          <w:i/>
          <w:color w:val="0F1115"/>
        </w:rPr>
        <w:t>IPsec</w:t>
      </w:r>
      <w:r>
        <w:rPr>
          <w:color w:val="0F1115"/>
        </w:rPr>
        <w:t> для безопасного взаимодействия между критически важными сегментами сети.</w:t>
      </w:r>
    </w:p>
    <w:p w14:paraId="73DD8579">
      <w:pPr>
        <w:pStyle w:val="14"/>
        <w:numPr>
          <w:ilvl w:val="0"/>
          <w:numId w:val="5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Настройка и администрирование межсетевого экрана</w:t>
      </w:r>
      <w:r>
        <w:rPr>
          <w:rStyle w:val="10"/>
          <w:b w:val="0"/>
          <w:i/>
          <w:color w:val="0F1115"/>
        </w:rPr>
        <w:t xml:space="preserve"> (МЭ)</w:t>
      </w:r>
      <w:r>
        <w:rPr>
          <w:color w:val="0F1115"/>
        </w:rPr>
        <w:t> для реализации политики разграничения доступа и контроля сетевого трафика.</w:t>
      </w:r>
    </w:p>
    <w:p w14:paraId="37A386DD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Все работы проводились </w:t>
      </w:r>
      <w:r>
        <w:rPr>
          <w:rStyle w:val="10"/>
          <w:b w:val="0"/>
          <w:i w:val="0"/>
          <w:iCs/>
          <w:color w:val="0F1115"/>
        </w:rPr>
        <w:t>исключительно из внутренней, защищенной локальной сети</w:t>
      </w:r>
      <w:r>
        <w:rPr>
          <w:color w:val="0F1115"/>
        </w:rPr>
        <w:t> сертифицированными специалистами, имеющими соответствующие допуски. Удаленное управление графическими консолями не применялось.</w:t>
      </w:r>
    </w:p>
    <w:p w14:paraId="6374A6F6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1A59836C">
      <w:pPr>
        <w:pStyle w:val="4"/>
        <w:jc w:val="both"/>
        <w:rPr>
          <w:rStyle w:val="10"/>
          <w:rFonts w:ascii="Times New Roman" w:hAnsi="Times New Roman" w:cs="Times New Roman"/>
          <w:b w:val="0"/>
          <w:i w:val="0"/>
          <w:iCs/>
          <w:color w:val="0F1115"/>
          <w:sz w:val="28"/>
          <w:shd w:val="clear" w:color="auto" w:fill="FFFFFF"/>
        </w:rPr>
      </w:pPr>
      <w:r>
        <w:rPr>
          <w:rStyle w:val="10"/>
          <w:rFonts w:ascii="Times New Roman" w:hAnsi="Times New Roman" w:cs="Times New Roman"/>
          <w:b w:val="0"/>
          <w:i w:val="0"/>
          <w:iCs/>
          <w:color w:val="0F1115"/>
          <w:sz w:val="28"/>
          <w:shd w:val="clear" w:color="auto" w:fill="FFFFFF"/>
        </w:rPr>
        <w:t>4. Настройка VPN на базе протокола IPsec</w:t>
      </w:r>
    </w:p>
    <w:p w14:paraId="45A39CCD">
      <w:pPr>
        <w:shd w:val="clear" w:color="auto" w:fill="FFFFFF"/>
        <w:spacing w:before="240" w:after="240" w:line="360" w:lineRule="auto"/>
        <w:jc w:val="both"/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Реализованные этапы и меры безопасности:</w:t>
      </w:r>
    </w:p>
    <w:p w14:paraId="198C993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Аутентификация и управление ключами: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Вместо стандартных Pre-Shared Keys (PSK) была развернута и настроена инфраструктура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PKI на базе УЦ «Континент»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. Для каждого узла (шлюза) были выпущены и установлены уникальные сертификаты X.509. Это обеспечило строгую аутентификацию сторон и защиту от атак «человек посередине».</w:t>
      </w:r>
    </w:p>
    <w:p w14:paraId="423ECC10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Настройка политик IPsec (Фаза 1 и Фаза 2):</w:t>
      </w:r>
    </w:p>
    <w:p w14:paraId="7F4AFEAB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Фаза 1 (IKE):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Настроен режим Main Mode для обеспечения безопасности идентификации. В качестве алгоритмов шифрования использованы российские криптографические стандарты (например, ГОСТ 28147-89). Реализован режим агрессивного Dead Peer Detection (DPD) для оперативного обнаружения падения канала.</w:t>
      </w:r>
    </w:p>
    <w:p w14:paraId="26C9799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Фаза 2 (Quick Mode):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Определены защищенные подсети (Proxy-ID) для туннелирования. Настроен режим туннелирования ESP с аутентифицированным шифрованием. Политика безопасности (Security Policy) настроена на принудительное использование IPsec для всего трафика между заданными подсетями.</w:t>
      </w:r>
    </w:p>
    <w:p w14:paraId="6FADE8D0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Обеспечение отказоустойчивости:</w:t>
      </w:r>
      <w:r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Для критического канала связи настроен режим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Active/Standby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с использованием протокола VRRP. В случае выхода из строя основного VPN-шлюза, резервный автоматически и бесшовно перенимает на себя обслуживание туннеля.</w:t>
      </w:r>
    </w:p>
    <w:p w14:paraId="27DB895F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Журналирование и аудит:</w:t>
      </w:r>
      <w:r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Включено детальное логирование всех событий установления, поддержания и разрыва IPsec-сессий. Логи направляются на выделенный сервер сбора журналов (syslog) для последующего анализа службой безопасности.</w:t>
      </w:r>
    </w:p>
    <w:p w14:paraId="60B755DC">
      <w:pPr>
        <w:shd w:val="clear" w:color="auto" w:fill="FFFFFF"/>
        <w:spacing w:before="240" w:after="240" w:line="360" w:lineRule="auto"/>
        <w:jc w:val="both"/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2.2. Настройка межсетевого экрана (МЭ)</w:t>
      </w:r>
    </w:p>
    <w:p w14:paraId="4EBC8F1A">
      <w:pPr>
        <w:shd w:val="clear" w:color="auto" w:fill="FFFFFF"/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Цель: Реализация детализированной политики контроля доступа между сегментами сети (Интернет, сеть предприятия, DMZ, технологические сегменты).</w:t>
      </w:r>
    </w:p>
    <w:p w14:paraId="76640714">
      <w:pPr>
        <w:shd w:val="clear" w:color="auto" w:fill="FFFFFF"/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Реализованные этапы и меры безопасности:</w:t>
      </w:r>
    </w:p>
    <w:p w14:paraId="6198897A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Разработка и имплементация политик доступа (Access Rules):</w:t>
      </w:r>
    </w:p>
    <w:p w14:paraId="6EB534C2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Политики построены по принципу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«запрещено все, что не разрешено явно»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430C516F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  <w:t>Для каждого правила четко определены: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источник, назначение, служба (протокол/порт), действие (разрешить/запретить), время действия и обязательная идентификация пользователя/группы (при необходимости).</w:t>
      </w:r>
    </w:p>
    <w:p w14:paraId="4F3F4E4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Созданы отдельные правила для служебного трафика (например, для мониторинга NTP, DNS, AD) и прикладного трафика.</w:t>
      </w:r>
    </w:p>
    <w:p w14:paraId="49A1B0FD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Контроль на уровне приложений (Application Control):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Активирован и настроен модуль, позволяющий идентифицировать и контролировать трафик не только по портам, но и по сигнатурам приложений. Это блокирует попытки обхода политик через туннелирование или нестандартные порты.</w:t>
      </w:r>
    </w:p>
    <w:p w14:paraId="5F506443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hAnsi="Times New Roman" w:eastAsia="Times New Roman" w:cs="Times New Roman"/>
          <w:i w:val="0"/>
          <w:i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Настройка NAT (трансляции сетевых адресов):</w:t>
      </w:r>
    </w:p>
    <w:p w14:paraId="3EC35A36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Реализован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PAT (маскарадинг)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для выхода пользовательских сегментов в Интернет.</w:t>
      </w:r>
    </w:p>
    <w:p w14:paraId="365AB917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Настроены статические правила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Port Forwarding (Destination NAT)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для безопасного доступа извне к публичным серверам в DMZ (например, веб-порталу).</w:t>
      </w:r>
    </w:p>
    <w:p w14:paraId="07652FFA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Анти-спуфинг (Anti-Spoofing):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Включена и настроена проверка на спуфинг для всех интерфейсов. Это предотвращает подмену IP-адресов и атаки, основанные на некорректной маршрутизации.</w:t>
      </w:r>
    </w:p>
    <w:p w14:paraId="0BF4EDB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i w:val="0"/>
          <w:iCs/>
          <w:color w:val="0F1115"/>
          <w:sz w:val="24"/>
          <w:szCs w:val="24"/>
          <w:lang w:eastAsia="ru-RU"/>
        </w:rPr>
        <w:t>Сегментация и создание Security Zones:</w:t>
      </w:r>
      <w:r>
        <w:rPr>
          <w:rFonts w:ascii="Times New Roman" w:hAnsi="Times New Roman" w:eastAsia="Times New Roman" w:cs="Times New Roman"/>
          <w:i/>
          <w:color w:val="0F1115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Логическая архитектура МЭ построена на основе </w:t>
      </w:r>
      <w:r>
        <w:rPr>
          <w:rFonts w:ascii="Times New Roman" w:hAnsi="Times New Roman" w:eastAsia="Times New Roman" w:cs="Times New Roman"/>
          <w:bCs/>
          <w:color w:val="0F1115"/>
          <w:sz w:val="24"/>
          <w:szCs w:val="24"/>
          <w:lang w:eastAsia="ru-RU"/>
        </w:rPr>
        <w:t>зон безопасности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 (Trusted, Untrusted, DMZ, OPC). Каждому физическому и логическому интерфейсу присвоена своя зона, что упрощает управление политиками и повышает наглядность конфигурации.</w:t>
      </w:r>
    </w:p>
    <w:p w14:paraId="693CF036">
      <w:pPr>
        <w:pStyle w:val="4"/>
        <w:jc w:val="both"/>
        <w:rPr>
          <w:rFonts w:ascii="Times New Roman" w:hAnsi="Times New Roman" w:cs="Times New Roman"/>
          <w:b/>
          <w:i w:val="0"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/>
          <w:color w:val="auto"/>
          <w:sz w:val="28"/>
          <w:szCs w:val="28"/>
          <w:shd w:val="clear" w:color="auto" w:fill="FFFFFF"/>
        </w:rPr>
        <w:t>5. Обеспечение антивирусной безопасности корпоративной почтовой инфраструктуры с использованием Kaspersky Secure Mail Gateway в связке с Kaspersky Endpoint Security</w:t>
      </w:r>
    </w:p>
    <w:p w14:paraId="03AFF26E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i w:val="0"/>
          <w:iCs/>
          <w:color w:val="0F1115"/>
        </w:rPr>
      </w:pPr>
      <w:r>
        <w:rPr>
          <w:i w:val="0"/>
          <w:iCs/>
          <w:color w:val="0F1115"/>
        </w:rPr>
        <w:t>1. Введение и обоснование структуры</w:t>
      </w:r>
    </w:p>
    <w:p w14:paraId="435E9C6A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Корпоративная электронная почта является одним из ключевых каналов коммуникации и одновременно одним из наиболее значимых векторов кибератак. В связи с этим на предприятии реализована многоуровневая система антивирусной защиты почтового трафика, построенная на программных продуктах «Лаборатории Касперского».</w:t>
      </w:r>
    </w:p>
    <w:p w14:paraId="1224832F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Архитектура данного решения основана на принципе </w:t>
      </w:r>
      <w:r>
        <w:rPr>
          <w:rStyle w:val="10"/>
          <w:b w:val="0"/>
          <w:color w:val="0F1115"/>
        </w:rPr>
        <w:t>«защита на границе + защита на конечной точке»</w:t>
      </w:r>
      <w:r>
        <w:rPr>
          <w:color w:val="0F1115"/>
        </w:rPr>
        <w:t> и включает в себя два основных компонента:</w:t>
      </w:r>
    </w:p>
    <w:p w14:paraId="0CF196F7">
      <w:pPr>
        <w:pStyle w:val="14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Kaspersky Endpoint Security (KES)</w:t>
      </w:r>
      <w:r>
        <w:rPr>
          <w:color w:val="0F1115"/>
        </w:rPr>
        <w:t> – базовое антивирусное решение, установленное </w:t>
      </w:r>
      <w:r>
        <w:rPr>
          <w:rStyle w:val="10"/>
          <w:b w:val="0"/>
          <w:color w:val="0F1115"/>
        </w:rPr>
        <w:t>на всех рабочих станциях и серверах</w:t>
      </w:r>
      <w:r>
        <w:rPr>
          <w:color w:val="0F1115"/>
        </w:rPr>
        <w:t> предприятия. Является фундаментом системы эндпоинт-защиты.</w:t>
      </w:r>
    </w:p>
    <w:p w14:paraId="4278DC82">
      <w:pPr>
        <w:pStyle w:val="14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Kaspersky Secure Mail Gateway (KSMG)</w:t>
      </w:r>
      <w:r>
        <w:rPr>
          <w:color w:val="0F1115"/>
        </w:rPr>
        <w:t> – специализированное шлюзовое решение, развернутое </w:t>
      </w:r>
      <w:r>
        <w:rPr>
          <w:rStyle w:val="10"/>
          <w:b w:val="0"/>
          <w:color w:val="0F1115"/>
        </w:rPr>
        <w:t>на границе почтовой инфраструктуры</w:t>
      </w:r>
      <w:r>
        <w:rPr>
          <w:color w:val="0F1115"/>
        </w:rPr>
        <w:t>.</w:t>
      </w:r>
    </w:p>
    <w:p w14:paraId="6A8E21A9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Данный подход позволяет перехватить и нейтрализовать подавляющее большинство почтовых угроз до их попадания в почтовые ящики пользователей, существенно снижая нагрузку на KES и минимизируя риски успешных атак через социальную инженерию.</w:t>
      </w:r>
    </w:p>
    <w:p w14:paraId="3CE1788C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i w:val="0"/>
          <w:iCs/>
          <w:color w:val="0F1115"/>
        </w:rPr>
      </w:pPr>
      <w:r>
        <w:rPr>
          <w:i w:val="0"/>
          <w:iCs/>
          <w:color w:val="0F1115"/>
        </w:rPr>
        <w:t>2.</w:t>
      </w:r>
      <w:r>
        <w:rPr>
          <w:rStyle w:val="10"/>
          <w:b w:val="0"/>
          <w:bCs w:val="0"/>
          <w:i w:val="0"/>
          <w:iCs/>
          <w:color w:val="0F1115"/>
        </w:rPr>
        <w:t xml:space="preserve"> Детализация функций и взаимодействия компонентов</w:t>
      </w:r>
    </w:p>
    <w:p w14:paraId="3EE4055B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i w:val="0"/>
          <w:iCs/>
          <w:color w:val="0F1115"/>
        </w:rPr>
      </w:pPr>
      <w:r>
        <w:rPr>
          <w:rStyle w:val="10"/>
          <w:b w:val="0"/>
          <w:i w:val="0"/>
          <w:iCs/>
          <w:color w:val="0F1115"/>
        </w:rPr>
        <w:t>2.1. Kaspersky Secure Mail Gateway (KSMG) как основной почтовый фильтр</w:t>
      </w:r>
    </w:p>
    <w:p w14:paraId="729AEEE8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color w:val="0F1115"/>
        </w:rPr>
        <w:t>KSMG функционирует в качестве </w:t>
      </w:r>
      <w:r>
        <w:rPr>
          <w:rStyle w:val="10"/>
          <w:b w:val="0"/>
          <w:color w:val="0F1115"/>
        </w:rPr>
        <w:t>прозрачного прокси-шлюза</w:t>
      </w:r>
      <w:r>
        <w:rPr>
          <w:color w:val="0F1115"/>
        </w:rPr>
        <w:t> (SMTP Proxy), через который проходит весь входящий и исходящий почтовый трафик предприятия.</w:t>
      </w:r>
    </w:p>
    <w:p w14:paraId="6462BAB6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>
        <w:rPr>
          <w:rStyle w:val="10"/>
          <w:b w:val="0"/>
          <w:color w:val="0F1115"/>
        </w:rPr>
        <w:t>Ключевые выполняемые задачи и реализованные меры безопасности:</w:t>
      </w:r>
    </w:p>
    <w:p w14:paraId="31FE2BDA">
      <w:pPr>
        <w:pStyle w:val="14"/>
        <w:numPr>
          <w:ilvl w:val="0"/>
          <w:numId w:val="9"/>
        </w:numPr>
        <w:shd w:val="clear" w:color="auto" w:fill="FFFFFF"/>
        <w:spacing w:after="120" w:afterAutospacing="0" w:line="360" w:lineRule="auto"/>
        <w:ind w:left="0"/>
        <w:jc w:val="both"/>
        <w:rPr>
          <w:i w:val="0"/>
          <w:iCs/>
          <w:color w:val="0F1115"/>
        </w:rPr>
      </w:pPr>
      <w:r>
        <w:rPr>
          <w:rStyle w:val="10"/>
          <w:b w:val="0"/>
          <w:i w:val="0"/>
          <w:iCs/>
          <w:color w:val="0F1115"/>
        </w:rPr>
        <w:t>Проактивное обнаружение вредоносного ПО:</w:t>
      </w:r>
    </w:p>
    <w:p w14:paraId="464B03AC">
      <w:pPr>
        <w:pStyle w:val="14"/>
        <w:numPr>
          <w:ilvl w:val="1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Многоуровневое сканирование:</w:t>
      </w:r>
      <w:r>
        <w:rPr>
          <w:color w:val="0F1115"/>
        </w:rPr>
        <w:t> Все вложения (файлы) и тело писем подвергаются сканированию с использованием как </w:t>
      </w:r>
      <w:r>
        <w:rPr>
          <w:rStyle w:val="10"/>
          <w:b w:val="0"/>
          <w:color w:val="0F1115"/>
        </w:rPr>
        <w:t>сигнатурных баз</w:t>
      </w:r>
      <w:r>
        <w:rPr>
          <w:color w:val="0F1115"/>
        </w:rPr>
        <w:t>, так и </w:t>
      </w:r>
      <w:r>
        <w:rPr>
          <w:rStyle w:val="10"/>
          <w:b w:val="0"/>
          <w:color w:val="0F1115"/>
        </w:rPr>
        <w:t>эвристических анализаторов</w:t>
      </w:r>
      <w:r>
        <w:rPr>
          <w:color w:val="0F1115"/>
        </w:rPr>
        <w:t> и </w:t>
      </w:r>
      <w:r>
        <w:rPr>
          <w:rStyle w:val="10"/>
          <w:b w:val="0"/>
          <w:color w:val="0F1115"/>
        </w:rPr>
        <w:t>машинного обучения</w:t>
      </w:r>
      <w:r>
        <w:rPr>
          <w:color w:val="0F1115"/>
        </w:rPr>
        <w:t> Kaspersky.</w:t>
      </w:r>
    </w:p>
    <w:p w14:paraId="0FEBC44F">
      <w:pPr>
        <w:pStyle w:val="14"/>
        <w:numPr>
          <w:ilvl w:val="1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Песочница (Sandboxing):</w:t>
      </w:r>
      <w:r>
        <w:rPr>
          <w:color w:val="0F1115"/>
        </w:rPr>
        <w:t> Настроен и активирован модуль автоматической проверки подозрительных объектов в изолированной виртуальной среде (Kaspersky Sandbox). Это позволяет выявлять сложные, целенаправленные и ранее неизвестные угрозы (APT, zero-day), которые маскируются под легитимные документы.</w:t>
      </w:r>
    </w:p>
    <w:p w14:paraId="02347FC7">
      <w:pPr>
        <w:pStyle w:val="14"/>
        <w:numPr>
          <w:ilvl w:val="1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Проверка ссылок (URL-фильтрация):</w:t>
      </w:r>
      <w:r>
        <w:rPr>
          <w:color w:val="0F1115"/>
        </w:rPr>
        <w:t> Все гиперссылки в теле письма проверяются в реальном времени на принадлежность к фишинговым, мошенническим или зараженным ресурсам с использованием облачных репутационных баз Kaspersky Security Network (KSN).</w:t>
      </w:r>
    </w:p>
    <w:p w14:paraId="0A88DFEB">
      <w:pPr>
        <w:pStyle w:val="14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Борьба со спамом:</w:t>
      </w:r>
      <w:r>
        <w:rPr>
          <w:i w:val="0"/>
          <w:iCs/>
          <w:color w:val="0F1115"/>
        </w:rPr>
        <w:t> </w:t>
      </w:r>
      <w:r>
        <w:rPr>
          <w:color w:val="0F1115"/>
        </w:rPr>
        <w:t>Применяются сложные алгоритмы анализа контента, проверки репутации отправителя (SPF, DKIM, DMARC) и анализа поведения для эффективного отсеивания нежелательной корреспонденции (спама), что повышает продуктивность сотрудников.</w:t>
      </w:r>
    </w:p>
    <w:p w14:paraId="2D6B98CC">
      <w:pPr>
        <w:pStyle w:val="14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Контентный фильтр и DLP-функции:</w:t>
      </w:r>
      <w:r>
        <w:rPr>
          <w:i w:val="0"/>
          <w:iCs/>
          <w:color w:val="0F1115"/>
        </w:rPr>
        <w:t> </w:t>
      </w:r>
      <w:r>
        <w:rPr>
          <w:color w:val="0F1115"/>
        </w:rPr>
        <w:t>Настроены политики фильтрации по ключевым словам и шаблонам (регулярным выражениям) для предотвращения утечки конфиденциальной информации (номеров, шаблонов документов) через исходящую почту.</w:t>
      </w:r>
    </w:p>
    <w:p w14:paraId="674EE5FD">
      <w:pPr>
        <w:pStyle w:val="14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Шифрование и подпись писем:</w:t>
      </w:r>
      <w:r>
        <w:rPr>
          <w:i w:val="0"/>
          <w:iCs/>
          <w:color w:val="0F1115"/>
        </w:rPr>
        <w:t> </w:t>
      </w:r>
      <w:r>
        <w:rPr>
          <w:color w:val="0F1115"/>
        </w:rPr>
        <w:t>Интегрирован с корпоративным УЦ для автоматического </w:t>
      </w:r>
      <w:r>
        <w:rPr>
          <w:rStyle w:val="10"/>
          <w:b w:val="0"/>
          <w:color w:val="0F1115"/>
        </w:rPr>
        <w:t>шифрования исходящей почты</w:t>
      </w:r>
      <w:r>
        <w:rPr>
          <w:color w:val="0F1115"/>
        </w:rPr>
        <w:t> (по политикам) и </w:t>
      </w:r>
      <w:r>
        <w:rPr>
          <w:rStyle w:val="10"/>
          <w:b w:val="0"/>
          <w:color w:val="0F1115"/>
        </w:rPr>
        <w:t>проверки S/MIME подписей</w:t>
      </w:r>
      <w:r>
        <w:rPr>
          <w:color w:val="0F1115"/>
        </w:rPr>
        <w:t> входящей корреспонденции от доверенных контрагентов.</w:t>
      </w:r>
    </w:p>
    <w:p w14:paraId="7AEA10D0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i w:val="0"/>
          <w:iCs/>
          <w:color w:val="0F1115"/>
        </w:rPr>
      </w:pPr>
      <w:r>
        <w:rPr>
          <w:rStyle w:val="10"/>
          <w:b w:val="0"/>
          <w:i w:val="0"/>
          <w:iCs/>
          <w:color w:val="0F1115"/>
        </w:rPr>
        <w:t>2.2. Kaspersky Endpoint Security (KES) как конечный рубеж обороны</w:t>
      </w:r>
    </w:p>
    <w:p w14:paraId="643D90B3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i w:val="0"/>
          <w:iCs/>
          <w:color w:val="0F1115"/>
        </w:rPr>
      </w:pPr>
      <w:r>
        <w:rPr>
          <w:i w:val="0"/>
          <w:iCs/>
          <w:color w:val="0F1115"/>
        </w:rPr>
        <w:t>KES выполняет роль </w:t>
      </w:r>
      <w:r>
        <w:rPr>
          <w:rStyle w:val="10"/>
          <w:b w:val="0"/>
          <w:i w:val="0"/>
          <w:iCs/>
          <w:color w:val="0F1115"/>
        </w:rPr>
        <w:t>последнего эшелона защиты</w:t>
      </w:r>
      <w:r>
        <w:rPr>
          <w:i w:val="0"/>
          <w:iCs/>
          <w:color w:val="0F1115"/>
        </w:rPr>
        <w:t>:</w:t>
      </w:r>
    </w:p>
    <w:p w14:paraId="36BED64D">
      <w:pPr>
        <w:pStyle w:val="14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Доводочное сканирование:</w:t>
      </w:r>
      <w:r>
        <w:rPr>
          <w:color w:val="0F1115"/>
        </w:rPr>
        <w:t> Обеспечивает финальную проверку почтовых вложений, которые могли быть пропущены шлюзом (например, в случае временного отсутствия связи с KSMG или при получении почты через альтернативные каналы).</w:t>
      </w:r>
    </w:p>
    <w:p w14:paraId="08DFFC69">
      <w:pPr>
        <w:pStyle w:val="14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Защита от действий пользователя:</w:t>
      </w:r>
      <w:r>
        <w:rPr>
          <w:color w:val="0F1115"/>
        </w:rPr>
        <w:t> Блокирует попытки запуска потенциально опасного файла, который пользователь может сохранить из письма и попытаться открыть в обход почтового клиента.</w:t>
      </w:r>
    </w:p>
    <w:p w14:paraId="08DDF20E">
      <w:pPr>
        <w:pStyle w:val="14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Комплексная защита рабочего места:</w:t>
      </w:r>
      <w:r>
        <w:rPr>
          <w:color w:val="0F1115"/>
        </w:rPr>
        <w:t> Обеспечивает защиту не только от почтовых, но и от всех прочих угроз (веб-атак, атак через съемные носители, эксплойтов).</w:t>
      </w:r>
    </w:p>
    <w:p w14:paraId="2D469C89">
      <w:pPr>
        <w:pStyle w:val="14"/>
        <w:shd w:val="clear" w:color="auto" w:fill="FFFFFF"/>
        <w:spacing w:after="0" w:afterAutospacing="0" w:line="360" w:lineRule="auto"/>
        <w:jc w:val="both"/>
        <w:rPr>
          <w:i w:val="0"/>
          <w:iCs/>
          <w:color w:val="0F1115"/>
        </w:rPr>
      </w:pPr>
      <w:r>
        <w:rPr>
          <w:i w:val="0"/>
          <w:iCs/>
          <w:color w:val="0F1115"/>
        </w:rPr>
        <w:t>3.</w:t>
      </w:r>
      <w:r>
        <w:rPr>
          <w:rStyle w:val="10"/>
          <w:b w:val="0"/>
          <w:bCs w:val="0"/>
          <w:i w:val="0"/>
          <w:iCs/>
          <w:color w:val="0F1115"/>
        </w:rPr>
        <w:t xml:space="preserve"> Управление и контроль</w:t>
      </w:r>
    </w:p>
    <w:p w14:paraId="10984ED6">
      <w:pPr>
        <w:pStyle w:val="14"/>
        <w:numPr>
          <w:ilvl w:val="0"/>
          <w:numId w:val="11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Централизованное администрирование:</w:t>
      </w:r>
      <w:r>
        <w:rPr>
          <w:i w:val="0"/>
          <w:iCs/>
          <w:color w:val="0F1115"/>
        </w:rPr>
        <w:t> </w:t>
      </w:r>
      <w:r>
        <w:rPr>
          <w:color w:val="0F1115"/>
        </w:rPr>
        <w:t>Оба продукта (KSMG и KES) управляются с единой консоли – </w:t>
      </w:r>
      <w:r>
        <w:rPr>
          <w:rStyle w:val="10"/>
          <w:b w:val="0"/>
          <w:color w:val="0F1115"/>
        </w:rPr>
        <w:t>Kaspersky Security Center (KSC)</w:t>
      </w:r>
      <w:r>
        <w:rPr>
          <w:color w:val="0F1115"/>
        </w:rPr>
        <w:t>, развернутой в изолированном сегменте сети предприятия.</w:t>
      </w:r>
    </w:p>
    <w:p w14:paraId="15B57A05">
      <w:pPr>
        <w:pStyle w:val="14"/>
        <w:numPr>
          <w:ilvl w:val="0"/>
          <w:numId w:val="11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i w:val="0"/>
          <w:iCs/>
          <w:color w:val="0F1115"/>
        </w:rPr>
        <w:t>Единая отчетность:</w:t>
      </w:r>
      <w:r>
        <w:rPr>
          <w:color w:val="0F1115"/>
        </w:rPr>
        <w:t> В KSC стекаются события и статистика как с почтового шлюза, так и со всех конечных точек, что позволяет анализировать общую картину угроз и эффективность защиты.</w:t>
      </w:r>
    </w:p>
    <w:p w14:paraId="5A7CBBB0">
      <w:pPr>
        <w:pStyle w:val="14"/>
        <w:numPr>
          <w:ilvl w:val="0"/>
          <w:numId w:val="11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>
        <w:rPr>
          <w:rStyle w:val="10"/>
          <w:b w:val="0"/>
          <w:color w:val="0F1115"/>
        </w:rPr>
        <w:t>Обновления:</w:t>
      </w:r>
      <w:r>
        <w:rPr>
          <w:color w:val="0F1115"/>
        </w:rPr>
        <w:t> Антивирусные базы и модули KSMG и KES обновляются </w:t>
      </w:r>
      <w:r>
        <w:rPr>
          <w:rStyle w:val="10"/>
          <w:b w:val="0"/>
          <w:color w:val="0F1115"/>
        </w:rPr>
        <w:t>автоматически</w:t>
      </w:r>
      <w:r>
        <w:rPr>
          <w:color w:val="0F1115"/>
        </w:rPr>
        <w:t> с внутреннего сервера обновлений KSC, который, в свою очередь, синхронизируется с доверенными источниками «Лаборатории Касперского» по строго регламентированным и контролируемым каналам.</w:t>
      </w:r>
    </w:p>
    <w:p w14:paraId="33D98B8D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b/>
          <w:color w:val="333333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333333"/>
          <w:sz w:val="28"/>
          <w:szCs w:val="24"/>
          <w:lang w:eastAsia="ru-RU"/>
        </w:rPr>
        <w:t>Работа на предприятии:</w:t>
      </w:r>
    </w:p>
    <w:p w14:paraId="4EE43C5A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 xml:space="preserve">Работа на предприятии была связана с изучением и работой с программой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val="en-US" w:eastAsia="ru-RU"/>
        </w:rPr>
        <w:t>DLP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 xml:space="preserve"> «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val="en-US" w:eastAsia="ru-RU"/>
        </w:rPr>
        <w:t>StaffCop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». (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instrText xml:space="preserve"> REF _Ref18672 \h </w:instrTex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separate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 1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).</w:t>
      </w:r>
    </w:p>
    <w:p w14:paraId="1D8965E0">
      <w:pPr>
        <w:keepNext/>
        <w:shd w:val="clear" w:color="auto" w:fill="FFFFFF"/>
        <w:spacing w:before="100" w:beforeAutospacing="1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lang w:eastAsia="ru-RU"/>
        </w:rPr>
        <w:drawing>
          <wp:inline distT="0" distB="0" distL="0" distR="0">
            <wp:extent cx="4438650" cy="3020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81" cy="30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F904">
      <w:pPr>
        <w:pStyle w:val="11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" w:name="_Ref18672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bookmarkEnd w:id="1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«StaffCop»</w:t>
      </w:r>
    </w:p>
    <w:p w14:paraId="35725AE8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В ходе знакомства с данной программой, была изучена документация и интерфейс самой программы (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instrText xml:space="preserve"> REF _Ref18764 \h </w:instrTex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separate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 2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  <w:t>).</w:t>
      </w:r>
    </w:p>
    <w:p w14:paraId="1AD1686D">
      <w:pPr>
        <w:keepNext/>
        <w:shd w:val="clear" w:color="auto" w:fill="FFFFFF"/>
        <w:spacing w:before="100" w:beforeAutospacing="1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3430270" cy="346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0901" cy="35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0710">
      <w:pPr>
        <w:pStyle w:val="11"/>
        <w:jc w:val="center"/>
        <w:rPr>
          <w:rFonts w:ascii="Times New Roman" w:hAnsi="Times New Roman" w:eastAsia="Times New Roman" w:cs="Times New Roman"/>
          <w:i w:val="0"/>
          <w:color w:val="auto"/>
          <w:sz w:val="24"/>
          <w:szCs w:val="24"/>
          <w:lang w:eastAsia="ru-RU"/>
        </w:rPr>
      </w:pPr>
      <w:bookmarkStart w:id="2" w:name="_Ref18764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bookmarkEnd w:id="2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Документация "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StaffCop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"</w:t>
      </w:r>
    </w:p>
    <w:p w14:paraId="0E3BFEB1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данной программе можно узнать такую информацию как: имя пользователя, имя компьютера,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IP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-адрес, какой сайт использовался, какие приложения открывались, какое действие происходило, время, потраченное на какое-то определенное действие и т.д.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_Ref19038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3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4DECD2B6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820410" cy="3152775"/>
            <wp:effectExtent l="0" t="0" r="8890" b="0"/>
            <wp:docPr id="3" name="Рисунок 3" descr="C:\Users\Администратор.33500420820312A\Desktop\скрины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Администратор.33500420820312A\Desktop\скрины\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016" cy="315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0F5D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3" w:name="_Ref1903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3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</w:t>
      </w:r>
    </w:p>
    <w:p w14:paraId="15E4C5B5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Из программы получили информацию о том какие пользователи и сколько времени проводили в компьютерных играх на рабочем месте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_Ref19198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4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6719AA4D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672455" cy="2962275"/>
            <wp:effectExtent l="0" t="0" r="4445" b="9525"/>
            <wp:docPr id="4" name="Рисунок 4" descr="C:\Users\Администратор.33500420820312A\Desktop\скрины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\Users\Администратор.33500420820312A\Desktop\скрины\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D64F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4" w:name="_Ref1919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(2)</w:t>
      </w:r>
    </w:p>
    <w:p w14:paraId="2CAC10B1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5B5BB83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Так же из программы была получена информация о том с какой должностью пользователь посещал сайт и какой протокол так использовался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_Ref19309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5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755BFE92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904230" cy="3076575"/>
            <wp:effectExtent l="0" t="0" r="1270" b="0"/>
            <wp:docPr id="5" name="Рисунок 5" descr="C:\Users\Администратор.33500420820312A\Desktop\скрины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Администратор.33500420820312A\Desktop\скрины\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57" b="33959"/>
                    <a:stretch>
                      <a:fillRect/>
                    </a:stretch>
                  </pic:blipFill>
                  <pic:spPr>
                    <a:xfrm>
                      <a:off x="0" y="0"/>
                      <a:ext cx="5914424" cy="308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8C05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5" w:name="_Ref19309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(3)</w:t>
      </w:r>
    </w:p>
    <w:p w14:paraId="683E1EAB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программе было выявлено чем занимался пользователь на том или ином компьютере и какой статус Агента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_Ref19394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6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6F242889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896610" cy="3086100"/>
            <wp:effectExtent l="0" t="0" r="8890" b="0"/>
            <wp:docPr id="6" name="Рисунок 6" descr="C:\Users\Администратор.33500420820312A\Desktop\скрины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Администратор.33500420820312A\Desktop\скрины\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57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904302" cy="309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D940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6" w:name="_Ref19394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6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(4)</w:t>
      </w:r>
    </w:p>
    <w:p w14:paraId="242F5BAD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Так можно узнать какая использовалась конфигурация и версию агента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_Ref19525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7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275C1B8B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855335" cy="3057525"/>
            <wp:effectExtent l="0" t="0" r="0" b="0"/>
            <wp:docPr id="7" name="Рисунок 7" descr="C:\Users\Администратор.33500420820312A\Desktop\скрины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\Users\Администратор.33500420820312A\Desktop\скрины\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865243" cy="306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2EA1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7" w:name="_Ref19525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7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(5)</w:t>
      </w:r>
    </w:p>
    <w:p w14:paraId="5D8A8397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Какой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SID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у пользователя и в какие приложения он заходил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_Ref19629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8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0B7BDA5E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820410" cy="3162300"/>
            <wp:effectExtent l="0" t="0" r="8890" b="0"/>
            <wp:docPr id="8" name="Рисунок 8" descr="C:\Users\Администратор.33500420820312A\Desktop\скрины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Администратор.33500420820312A\Desktop\скрины\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12" b="31293"/>
                    <a:stretch>
                      <a:fillRect/>
                    </a:stretch>
                  </pic:blipFill>
                  <pic:spPr>
                    <a:xfrm>
                      <a:off x="0" y="0"/>
                      <a:ext cx="5837333" cy="31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E4D3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8" w:name="_Ref19629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(6)</w:t>
      </w:r>
    </w:p>
    <w:p w14:paraId="7B87A0AF">
      <w:pPr>
        <w:shd w:val="clear" w:color="auto" w:fill="FFFFFF"/>
        <w:spacing w:before="100" w:beforeAutospacing="1" w:after="120" w:line="360" w:lineRule="auto"/>
        <w:jc w:val="both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Выявили имя файла, и какая операция в нём происходила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_Ref19792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909945" cy="3086100"/>
            <wp:effectExtent l="0" t="0" r="0" b="0"/>
            <wp:docPr id="9" name="Рисунок 9" descr="C:\Users\Администратор.33500420820312A\Desktop\скрины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\Users\Администратор.33500420820312A\Desktop\скрины\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920191" cy="309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B7D0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9" w:name="_Ref19792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9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(7)</w:t>
      </w:r>
    </w:p>
    <w:p w14:paraId="09DE47A5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Можно посмотреть сколько по количеству происходило событий и тип события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_Ref20080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10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4AE9A51A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946775" cy="3105150"/>
            <wp:effectExtent l="0" t="0" r="0" b="0"/>
            <wp:docPr id="10" name="Рисунок 10" descr="C:\Users\Администратор.33500420820312A\Desktop\скрины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\Users\Администратор.33500420820312A\Desktop\скрины\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955559" cy="310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4A2B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10" w:name="_Ref20080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10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(8)</w:t>
      </w:r>
    </w:p>
    <w:p w14:paraId="2BA1D731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D8070BE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Так же смогли посмотреть «Долгую неактивность агента», там указывался статус агента и количество событий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_Ref20201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11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7A136131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955030" cy="3095625"/>
            <wp:effectExtent l="0" t="0" r="7620" b="0"/>
            <wp:docPr id="11" name="Рисунок 11" descr="C:\Users\Администратор.33500420820312A\Desktop\скрины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\Users\Администратор.33500420820312A\Desktop\скрины\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959"/>
                    <a:stretch>
                      <a:fillRect/>
                    </a:stretch>
                  </pic:blipFill>
                  <pic:spPr>
                    <a:xfrm>
                      <a:off x="0" y="0"/>
                      <a:ext cx="5959615" cy="309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9569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11" w:name="_Ref20201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11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11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(10)</w:t>
      </w:r>
    </w:p>
    <w:p w14:paraId="6671EE25">
      <w:pPr>
        <w:shd w:val="clear" w:color="auto" w:fill="FFFFFF"/>
        <w:spacing w:before="100" w:beforeAutospacing="1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Смогли посмотреть тип события и количество событий у пользователя с конкретной должностью (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instrText xml:space="preserve"> REF _Ref20328 \h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Рисунок 12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03449647">
      <w:pPr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eastAsia="ru-RU"/>
        </w:rPr>
        <w:drawing>
          <wp:inline distT="0" distB="0" distL="0" distR="0">
            <wp:extent cx="5909945" cy="3086100"/>
            <wp:effectExtent l="0" t="0" r="0" b="0"/>
            <wp:docPr id="12" name="Рисунок 12" descr="C:\Users\Администратор.33500420820312A\Desktop\скрины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\Users\Администратор.33500420820312A\Desktop\скрины\1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 b="33662"/>
                    <a:stretch>
                      <a:fillRect/>
                    </a:stretch>
                  </pic:blipFill>
                  <pic:spPr>
                    <a:xfrm>
                      <a:off x="0" y="0"/>
                      <a:ext cx="5922938" cy="309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DF2E">
      <w:pPr>
        <w:pStyle w:val="11"/>
        <w:shd w:val="clear" w:color="auto" w:fill="FFFFFF"/>
        <w:spacing w:before="100" w:beforeAutospacing="1" w:after="120" w:line="360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lang w:val="ru-RU" w:eastAsia="ru-RU"/>
        </w:rPr>
      </w:pPr>
      <w:bookmarkStart w:id="12" w:name="_Ref2032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12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12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"StaffCop" интерфейс (11)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D4E89"/>
    <w:multiLevelType w:val="multilevel"/>
    <w:tmpl w:val="043D4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661FB5"/>
    <w:multiLevelType w:val="multilevel"/>
    <w:tmpl w:val="19661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E17902"/>
    <w:multiLevelType w:val="multilevel"/>
    <w:tmpl w:val="1DE17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69269E"/>
    <w:multiLevelType w:val="multilevel"/>
    <w:tmpl w:val="276926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FA21B24"/>
    <w:multiLevelType w:val="multilevel"/>
    <w:tmpl w:val="2FA21B24"/>
    <w:lvl w:ilvl="0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8280"/>
        </w:tabs>
        <w:ind w:left="828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9000"/>
        </w:tabs>
        <w:ind w:left="900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9720"/>
        </w:tabs>
        <w:ind w:left="972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10440"/>
        </w:tabs>
        <w:ind w:left="1044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11160"/>
        </w:tabs>
        <w:ind w:left="11160" w:hanging="360"/>
      </w:pPr>
      <w:rPr>
        <w:rFonts w:hint="default" w:ascii="Wingdings" w:hAnsi="Wingdings"/>
        <w:sz w:val="20"/>
      </w:rPr>
    </w:lvl>
  </w:abstractNum>
  <w:abstractNum w:abstractNumId="5">
    <w:nsid w:val="386B264C"/>
    <w:multiLevelType w:val="multilevel"/>
    <w:tmpl w:val="386B2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E0B7820"/>
    <w:multiLevelType w:val="multilevel"/>
    <w:tmpl w:val="3E0B7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AF4C9A"/>
    <w:multiLevelType w:val="multilevel"/>
    <w:tmpl w:val="59AF4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40E0544"/>
    <w:multiLevelType w:val="multilevel"/>
    <w:tmpl w:val="740E0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6543355"/>
    <w:multiLevelType w:val="multilevel"/>
    <w:tmpl w:val="76543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E7A5F22"/>
    <w:multiLevelType w:val="multilevel"/>
    <w:tmpl w:val="7E7A5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9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8D3"/>
    <w:rsid w:val="000A4A27"/>
    <w:rsid w:val="0012605F"/>
    <w:rsid w:val="002568C3"/>
    <w:rsid w:val="00315562"/>
    <w:rsid w:val="003C1EAF"/>
    <w:rsid w:val="006656E2"/>
    <w:rsid w:val="00691E26"/>
    <w:rsid w:val="007E27EE"/>
    <w:rsid w:val="0082162A"/>
    <w:rsid w:val="00944A0A"/>
    <w:rsid w:val="0097465F"/>
    <w:rsid w:val="009B6426"/>
    <w:rsid w:val="00AA2B3F"/>
    <w:rsid w:val="00AB4675"/>
    <w:rsid w:val="00B45622"/>
    <w:rsid w:val="00BB38D3"/>
    <w:rsid w:val="00C126C6"/>
    <w:rsid w:val="00C5594E"/>
    <w:rsid w:val="00E16257"/>
    <w:rsid w:val="00E733B4"/>
    <w:rsid w:val="43DE36F5"/>
    <w:rsid w:val="54B3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uiPriority w:val="99"/>
    <w:rPr>
      <w:color w:val="0000FF"/>
      <w:u w:val="single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2 Знак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4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16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9F1E4-B470-4850-8208-FF8C3740A9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2232</Words>
  <Characters>12729</Characters>
  <Lines>106</Lines>
  <Paragraphs>29</Paragraphs>
  <TotalTime>29</TotalTime>
  <ScaleCrop>false</ScaleCrop>
  <LinksUpToDate>false</LinksUpToDate>
  <CharactersWithSpaces>14932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2025-12-03T04:03:00Z</dcterms:created>
  <dc:creator>Администратор</dc:creator>
  <cp:lastModifiedBy>Ангел</cp:lastModifiedBy>
  <dcterms:modified xsi:type="dcterms:W3CDTF">2025-12-04T14:48:01Z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B40BA15A076E43DEA3CDFAC3AF457BDD_13</vt:lpwstr>
  </property>
</Properties>
</file>