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9A7B4F"/>
          <w:sz w:val="16"/>
          <w:szCs w:val="16"/>
        </w:rPr>
        <w:t xml:space="preserve">FOUNDING BLUEPRINT · THE COMPLETE OPERATING &amp; LEARNING MODEL</w:t>
      </w:r>
    </w:p>
    <w:p>
      <w:pPr>
        <w:pBdr>
          <w:bottom w:val="single" w:color="2F4A3C" w:sz="14" w:space="6"/>
        </w:pBdr>
        <w:spacing w:after="50"/>
      </w:pPr>
      <w:r>
        <w:rPr>
          <w:rFonts w:ascii="Calibri" w:cs="Calibri" w:eastAsia="Calibri" w:hAnsi="Calibri"/>
          <w:b/>
          <w:bCs/>
          <w:color w:val="2F4A3C"/>
          <w:sz w:val="42"/>
          <w:szCs w:val="42"/>
        </w:rPr>
        <w:t xml:space="preserve">The Itqan Way</w:t>
      </w:r>
    </w:p>
    <w:p>
      <w:pPr>
        <w:spacing w:after="8"/>
      </w:pPr>
      <w:r>
        <w:rPr>
          <w:rFonts w:ascii="Calibri" w:cs="Calibri" w:eastAsia="Calibri" w:hAnsi="Calibri"/>
          <w:b/>
          <w:bCs/>
          <w:color w:val="9A7B4F"/>
          <w:sz w:val="24"/>
          <w:szCs w:val="24"/>
        </w:rPr>
        <w:t xml:space="preserve">From Vision to a Working School</w:t>
      </w:r>
    </w:p>
    <w:p>
      <w:pPr>
        <w:spacing w:after="24"/>
      </w:pPr>
      <w:r>
        <w:rPr>
          <w:rFonts w:ascii="Calibri" w:cs="Calibri" w:eastAsia="Calibri" w:hAnsi="Calibri"/>
          <w:color w:val="55615A"/>
          <w:sz w:val="19"/>
          <w:szCs w:val="19"/>
        </w:rPr>
        <w:t xml:space="preserve">A new Islamic secondary school (Stages 4–6), Sydney — a model in which knowledge, action and faith are one journey, not three subjects. The named model, what learning looks like in practice per year level, how industry plugs in, the technology, the staffing and real NSW salaries, the pathways, and the foundation &amp; risk plan.</w:t>
      </w:r>
    </w:p>
    <w:p>
      <w:pPr>
        <w:spacing w:after="150"/>
      </w:pPr>
      <w:r>
        <w:rPr>
          <w:rFonts w:ascii="Calibri" w:cs="Calibri" w:eastAsia="Calibri" w:hAnsi="Calibri"/>
          <w:i/>
          <w:iCs/>
          <w:color w:val="55615A"/>
          <w:sz w:val="18"/>
          <w:szCs w:val="18"/>
        </w:rPr>
        <w:t xml:space="preserve">Prepared for Dr Khaled Altarawneh · Head of School (Founding Appointment) candidacy</w:t>
      </w:r>
    </w:p>
    <w:tbl>
      <w:tblPr>
        <w:tblW w:type="dxa" w:w="9458"/>
        <w:tblBorders>
          <w:top w:val="single" w:color="F4EEE2" w:sz="2"/>
          <w:left w:val="single" w:color="9A7B4F" w:sz="26"/>
          <w:bottom w:val="single" w:color="F4EEE2" w:sz="2"/>
          <w:right w:val="single" w:color="F4EEE2" w:sz="2"/>
          <w:insideH w:val="single" w:color="auto" w:sz="4"/>
          <w:insideV w:val="single" w:color="auto" w:sz="4"/>
        </w:tblBorders>
      </w:tblPr>
      <w:tblGrid>
        <w:gridCol w:w="9458"/>
      </w:tblGrid>
      <w:tr>
        <w:tc>
          <w:tcPr>
            <w:tcW w:type="dxa" w:w="9458"/>
            <w:shd w:fill="F4EEE2" w:val="clear"/>
            <w:tcMar>
              <w:top w:type="dxa" w:w="110"/>
              <w:left w:type="dxa" w:w="180"/>
              <w:bottom w:type="dxa" w:w="110"/>
              <w:right w:type="dxa" w:w="180"/>
            </w:tcMar>
          </w:tcPr>
          <w:p>
            <w:pPr>
              <w:spacing w:after="50"/>
            </w:pPr>
            <w:r>
              <w:rPr>
                <w:rFonts w:ascii="Calibri" w:cs="Calibri" w:eastAsia="Calibri" w:hAnsi="Calibri"/>
                <w:b/>
                <w:bCs/>
                <w:color w:val="9A7B4F"/>
                <w:sz w:val="20"/>
                <w:szCs w:val="20"/>
              </w:rPr>
              <w:t xml:space="preserve">How to read the numbers in this document</w:t>
            </w:r>
          </w:p>
          <w:p>
            <w:pPr>
              <w:spacing w:after="0" w:line="258"/>
              <w:jc w:val="left"/>
            </w:pPr>
            <w:r>
              <w:rPr>
                <w:rFonts w:ascii="Calibri" w:cs="Calibri" w:eastAsia="Calibri" w:hAnsi="Calibri"/>
              </w:rPr>
              <w:t xml:space="preserve">Four kinds of figure appear, and they are flagged so the Board can trust them: </w:t>
            </w:r>
            <w:r>
              <w:rPr>
                <w:rFonts w:ascii="Calibri" w:cs="Calibri" w:eastAsia="Calibri" w:hAnsi="Calibri"/>
                <w:b/>
                <w:bCs/>
              </w:rPr>
              <w:t xml:space="preserve">NESA facts</w:t>
            </w:r>
            <w:r>
              <w:rPr>
                <w:rFonts w:ascii="Calibri" w:cs="Calibri" w:eastAsia="Calibri" w:hAnsi="Calibri"/>
              </w:rPr>
              <w:t xml:space="preserve"> (registration mechanics, mandatory hours, requirements); </w:t>
            </w:r>
            <w:r>
              <w:rPr>
                <w:rFonts w:ascii="Calibri" w:cs="Calibri" w:eastAsia="Calibri" w:hAnsi="Calibri"/>
                <w:b/>
                <w:bCs/>
              </w:rPr>
              <w:t xml:space="preserve">NSW salary figures</w:t>
            </w:r>
            <w:r>
              <w:rPr>
                <w:rFonts w:ascii="Calibri" w:cs="Calibri" w:eastAsia="Calibri" w:hAnsi="Calibri"/>
              </w:rPr>
              <w:t xml:space="preserve"> (NSW Department of Education teacher and leadership scale effective 9 October 2025, plus independent-sector loadings — real, current rates); </w:t>
            </w:r>
            <w:r>
              <w:rPr>
                <w:rFonts w:ascii="Calibri" w:cs="Calibri" w:eastAsia="Calibri" w:hAnsi="Calibri"/>
                <w:b/>
                <w:bCs/>
              </w:rPr>
              <w:t xml:space="preserve">established practice</w:t>
            </w:r>
            <w:r>
              <w:rPr>
                <w:rFonts w:ascii="Calibri" w:cs="Calibri" w:eastAsia="Calibri" w:hAnsi="Calibri"/>
              </w:rPr>
              <w:t xml:space="preserve"> (patterns proven in named schools); and </w:t>
            </w:r>
            <w:r>
              <w:rPr>
                <w:rFonts w:ascii="Calibri" w:cs="Calibri" w:eastAsia="Calibri" w:hAnsi="Calibri"/>
                <w:b/>
                <w:bCs/>
              </w:rPr>
              <w:t xml:space="preserve">planning assumptions</w:t>
            </w:r>
            <w:r>
              <w:rPr>
                <w:rFonts w:ascii="Calibri" w:cs="Calibri" w:eastAsia="Calibri" w:hAnsi="Calibri"/>
              </w:rPr>
              <w:t xml:space="preserve"> (staffing counts, ratios, time allocations and enrolment sizing — explicitly labelled). No invented dollar figures are presented as fact.</w:t>
            </w:r>
          </w:p>
        </w:tc>
      </w:tr>
    </w:tbl>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1 · The model and its names</w:t>
      </w:r>
    </w:p>
    <w:p>
      <w:pPr>
        <w:pStyle w:val="Heading2"/>
        <w:spacing w:after="70" w:before="200"/>
      </w:pPr>
      <w:r>
        <w:rPr>
          <w:rFonts w:ascii="Calibri" w:cs="Calibri" w:eastAsia="Calibri" w:hAnsi="Calibri"/>
          <w:b/>
          <w:bCs/>
          <w:color w:val="9A7B4F"/>
          <w:sz w:val="23"/>
          <w:szCs w:val="23"/>
        </w:rPr>
        <w:t xml:space="preserve">1.1  One journey — faith at the centre, not on the side</w:t>
      </w:r>
    </w:p>
    <w:p>
      <w:pPr>
        <w:spacing w:after="110" w:line="262"/>
        <w:jc w:val="both"/>
      </w:pPr>
      <w:r>
        <w:rPr>
          <w:rFonts w:ascii="Calibri" w:cs="Calibri" w:eastAsia="Calibri" w:hAnsi="Calibri"/>
        </w:rPr>
        <w:t xml:space="preserve">Most schools teach the mind in one room, character in another, and faith in a third. </w:t>
      </w:r>
      <w:r>
        <w:rPr>
          <w:rFonts w:ascii="Calibri" w:cs="Calibri" w:eastAsia="Calibri" w:hAnsi="Calibri"/>
          <w:b/>
          <w:bCs/>
        </w:rPr>
        <w:t xml:space="preserve">The Itqan Way</w:t>
      </w:r>
      <w:r>
        <w:rPr>
          <w:rFonts w:ascii="Calibri" w:cs="Calibri" w:eastAsia="Calibri" w:hAnsi="Calibri"/>
        </w:rPr>
        <w:t xml:space="preserve"> refuses that split. Everything turns on a single principle — </w:t>
      </w:r>
      <w:r>
        <w:rPr>
          <w:rFonts w:ascii="Calibri" w:cs="Calibri" w:eastAsia="Calibri" w:hAnsi="Calibri"/>
          <w:b/>
          <w:bCs/>
          <w:i/>
          <w:iCs/>
        </w:rPr>
        <w:t xml:space="preserve">Itqan</w:t>
      </w:r>
      <w:r>
        <w:rPr>
          <w:rFonts w:ascii="Calibri" w:cs="Calibri" w:eastAsia="Calibri" w:hAnsi="Calibri"/>
        </w:rPr>
        <w:t xml:space="preserve">: excellence and perfection in whatever your hands turn to, performed as worship. From that centre, three things that are usually separated become one act:</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1513"/>
        <w:gridCol w:w="3216"/>
        <w:gridCol w:w="4729"/>
      </w:tblGrid>
      <w:tr>
        <w:trPr>
          <w:tblHeader/>
        </w:trPr>
        <w:tc>
          <w:tcPr>
            <w:tcW w:type="dxa" w:w="1513"/>
            <w:shd w:fill="2F4A3C" w:val="clear"/>
            <w:tcMar>
              <w:top w:type="dxa" w:w="62"/>
              <w:left w:type="dxa" w:w="90"/>
              <w:bottom w:type="dxa" w:w="62"/>
              <w:right w:type="dxa" w:w="90"/>
            </w:tcMar>
            <w:vAlign w:val="center"/>
          </w:tcPr>
          <w:p>
            <w:r>
              <w:rPr>
                <w:rFonts w:ascii="Calibri" w:cs="Calibri" w:eastAsia="Calibri" w:hAnsi="Calibri"/>
                <w:b/>
                <w:bCs/>
                <w:color w:val="FFFFFF"/>
                <w:sz w:val="17"/>
                <w:szCs w:val="17"/>
              </w:rPr>
              <w:t xml:space="preserve">The faculty</w:t>
            </w:r>
          </w:p>
        </w:tc>
        <w:tc>
          <w:tcPr>
            <w:tcW w:type="dxa" w:w="3216"/>
            <w:shd w:fill="2F4A3C" w:val="clear"/>
            <w:tcMar>
              <w:top w:type="dxa" w:w="62"/>
              <w:left w:type="dxa" w:w="90"/>
              <w:bottom w:type="dxa" w:w="62"/>
              <w:right w:type="dxa" w:w="90"/>
            </w:tcMar>
            <w:vAlign w:val="center"/>
          </w:tcPr>
          <w:p>
            <w:r>
              <w:rPr>
                <w:rFonts w:ascii="Calibri" w:cs="Calibri" w:eastAsia="Calibri" w:hAnsi="Calibri"/>
                <w:b/>
                <w:bCs/>
                <w:color w:val="FFFFFF"/>
                <w:sz w:val="17"/>
                <w:szCs w:val="17"/>
              </w:rPr>
              <w:t xml:space="preserve">The Islamic frame</w:t>
            </w:r>
          </w:p>
        </w:tc>
        <w:tc>
          <w:tcPr>
            <w:tcW w:type="dxa" w:w="4729"/>
            <w:shd w:fill="2F4A3C" w:val="clear"/>
            <w:tcMar>
              <w:top w:type="dxa" w:w="62"/>
              <w:left w:type="dxa" w:w="90"/>
              <w:bottom w:type="dxa" w:w="62"/>
              <w:right w:type="dxa" w:w="90"/>
            </w:tcMar>
            <w:vAlign w:val="center"/>
          </w:tcPr>
          <w:p>
            <w:r>
              <w:rPr>
                <w:rFonts w:ascii="Calibri" w:cs="Calibri" w:eastAsia="Calibri" w:hAnsi="Calibri"/>
                <w:b/>
                <w:bCs/>
                <w:color w:val="FFFFFF"/>
                <w:sz w:val="17"/>
                <w:szCs w:val="17"/>
              </w:rPr>
              <w:t xml:space="preserve">In our school</w:t>
            </w:r>
          </w:p>
        </w:tc>
      </w:tr>
      <w:tr>
        <w:tc>
          <w:tcPr>
            <w:tcW w:type="dxa" w:w="151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6"/>
                <w:szCs w:val="16"/>
              </w:rPr>
              <w:t xml:space="preserve">Mind</w:t>
            </w:r>
          </w:p>
        </w:tc>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‘Ilm — beneficial knowledge</w:t>
            </w:r>
          </w:p>
        </w:tc>
        <w:tc>
          <w:tcPr>
            <w:tcW w:type="dxa" w:w="4729"/>
            <w:shd w:fill="EEF1EC"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The wellspring (Manhal)</w:t>
            </w:r>
          </w:p>
        </w:tc>
      </w:tr>
      <w:tr>
        <w:tc>
          <w:tcPr>
            <w:tcW w:type="dxa" w:w="151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6"/>
                <w:szCs w:val="16"/>
              </w:rPr>
              <w:t xml:space="preserve">Hands</w:t>
            </w:r>
          </w:p>
        </w:tc>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‘Amal — righteous action</w:t>
            </w:r>
          </w:p>
        </w:tc>
        <w:tc>
          <w:tcPr>
            <w:tcW w:type="dxa" w:w="4729"/>
            <w:shd w:fill="FFFFFF"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Real projects in the real world (’Amal Projects + Kitab Maftuh)</w:t>
            </w:r>
          </w:p>
        </w:tc>
      </w:tr>
      <w:tr>
        <w:tc>
          <w:tcPr>
            <w:tcW w:type="dxa" w:w="151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6"/>
                <w:szCs w:val="16"/>
              </w:rPr>
              <w:t xml:space="preserve">Heart</w:t>
            </w:r>
          </w:p>
        </w:tc>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Iman &amp; Akhlaq — faith &amp; character</w:t>
            </w:r>
          </w:p>
        </w:tc>
        <w:tc>
          <w:tcPr>
            <w:tcW w:type="dxa" w:w="4729"/>
            <w:shd w:fill="EEF1EC" w:val="clear"/>
            <w:tcMar>
              <w:top w:type="dxa" w:w="58"/>
              <w:left w:type="dxa" w:w="90"/>
              <w:bottom w:type="dxa" w:w="58"/>
              <w:right w:type="dxa" w:w="90"/>
            </w:tcMar>
            <w:vAlign w:val="center"/>
          </w:tcPr>
          <w:p>
            <w:pPr>
              <w:spacing w:after="0" w:line="236"/>
            </w:pPr>
            <w:r>
              <w:rPr>
                <w:rFonts w:ascii="Calibri" w:cs="Calibri" w:eastAsia="Calibri" w:hAnsi="Calibri"/>
                <w:sz w:val="16"/>
                <w:szCs w:val="16"/>
              </w:rPr>
              <w:t xml:space="preserve">Formed in the doing — evidenced in the Athar portfolio</w:t>
            </w:r>
          </w:p>
        </w:tc>
      </w:tr>
    </w:tbl>
    <w:p>
      <w:pPr>
        <w:spacing w:after="110" w:line="262"/>
        <w:jc w:val="both"/>
      </w:pPr>
      <w:r>
        <w:rPr>
          <w:rFonts w:ascii="Calibri" w:cs="Calibri" w:eastAsia="Calibri" w:hAnsi="Calibri"/>
        </w:rPr>
        <w:t xml:space="preserve">The tradition does the connecting work for us: knowledge (</w:t>
      </w:r>
      <w:r>
        <w:rPr>
          <w:rFonts w:ascii="Calibri" w:cs="Calibri" w:eastAsia="Calibri" w:hAnsi="Calibri"/>
          <w:i/>
          <w:iCs/>
        </w:rPr>
        <w:t xml:space="preserve">‘ilm</w:t>
      </w:r>
      <w:r>
        <w:rPr>
          <w:rFonts w:ascii="Calibri" w:cs="Calibri" w:eastAsia="Calibri" w:hAnsi="Calibri"/>
        </w:rPr>
        <w:t xml:space="preserve">) is incomplete until it becomes action (</w:t>
      </w:r>
      <w:r>
        <w:rPr>
          <w:rFonts w:ascii="Calibri" w:cs="Calibri" w:eastAsia="Calibri" w:hAnsi="Calibri"/>
          <w:i/>
          <w:iCs/>
        </w:rPr>
        <w:t xml:space="preserve">‘amal</w:t>
      </w:r>
      <w:r>
        <w:rPr>
          <w:rFonts w:ascii="Calibri" w:cs="Calibri" w:eastAsia="Calibri" w:hAnsi="Calibri"/>
        </w:rPr>
        <w:t xml:space="preserve">); action is only worthy when done with excellence (</w:t>
      </w:r>
      <w:r>
        <w:rPr>
          <w:rFonts w:ascii="Calibri" w:cs="Calibri" w:eastAsia="Calibri" w:hAnsi="Calibri"/>
          <w:i/>
          <w:iCs/>
        </w:rPr>
        <w:t xml:space="preserve">Itqan / Ihsan</w:t>
      </w:r>
      <w:r>
        <w:rPr>
          <w:rFonts w:ascii="Calibri" w:cs="Calibri" w:eastAsia="Calibri" w:hAnsi="Calibri"/>
        </w:rPr>
        <w:t xml:space="preserve">); and the purpose of reading the world (</w:t>
      </w:r>
      <w:r>
        <w:rPr>
          <w:rFonts w:ascii="Calibri" w:cs="Calibri" w:eastAsia="Calibri" w:hAnsi="Calibri"/>
          <w:i/>
          <w:iCs/>
        </w:rPr>
        <w:t xml:space="preserve">Iqra — ‘read the signs’</w:t>
      </w:r>
      <w:r>
        <w:rPr>
          <w:rFonts w:ascii="Calibri" w:cs="Calibri" w:eastAsia="Calibri" w:hAnsi="Calibri"/>
        </w:rPr>
        <w:t xml:space="preserve">) is to flourish and serve. That is also, almost exactly, the project-based-learning sequence — learn → apply → reflect → contribute. Faith and pedagogy are saying the same thing, so a child practises faith-as-excellence in real contexts hundreds of times before they graduate. That habit, formed young, is what produces leaders who are capable </w:t>
      </w:r>
      <w:r>
        <w:rPr>
          <w:rFonts w:ascii="Calibri" w:cs="Calibri" w:eastAsia="Calibri" w:hAnsi="Calibri"/>
          <w:i/>
          <w:iCs/>
        </w:rPr>
        <w:t xml:space="preserve">and</w:t>
      </w:r>
      <w:r>
        <w:rPr>
          <w:rFonts w:ascii="Calibri" w:cs="Calibri" w:eastAsia="Calibri" w:hAnsi="Calibri"/>
        </w:rPr>
        <w:t xml:space="preserve"> grounded.</w:t>
      </w:r>
    </w:p>
    <w:p>
      <w:pPr>
        <w:pStyle w:val="Heading2"/>
        <w:spacing w:after="70" w:before="200"/>
      </w:pPr>
      <w:r>
        <w:rPr>
          <w:rFonts w:ascii="Calibri" w:cs="Calibri" w:eastAsia="Calibri" w:hAnsi="Calibri"/>
          <w:b/>
          <w:bCs/>
          <w:color w:val="9A7B4F"/>
          <w:sz w:val="23"/>
          <w:szCs w:val="23"/>
        </w:rPr>
        <w:t xml:space="preserve">1.2  Three design tests</w:t>
      </w:r>
    </w:p>
    <w:p>
      <w:pPr>
        <w:spacing w:after="110" w:line="262"/>
        <w:jc w:val="both"/>
      </w:pPr>
      <w:r>
        <w:rPr>
          <w:rFonts w:ascii="Calibri" w:cs="Calibri" w:eastAsia="Calibri" w:hAnsi="Calibri"/>
        </w:rPr>
        <w:t xml:space="preserve">Every decision — every node, project, hire, policy — must pass three tests: </w:t>
      </w:r>
      <w:r>
        <w:rPr>
          <w:rFonts w:ascii="Calibri" w:cs="Calibri" w:eastAsia="Calibri" w:hAnsi="Calibri"/>
          <w:b/>
          <w:bCs/>
          <w:i/>
          <w:iCs/>
        </w:rPr>
        <w:t xml:space="preserve">Ihsan</w:t>
      </w:r>
      <w:r>
        <w:rPr>
          <w:rFonts w:ascii="Calibri" w:cs="Calibri" w:eastAsia="Calibri" w:hAnsi="Calibri"/>
        </w:rPr>
        <w:t xml:space="preserve"> (does it serve the learner and community with excellence, as a trust before the Divine?); </w:t>
      </w:r>
      <w:r>
        <w:rPr>
          <w:rFonts w:ascii="Calibri" w:cs="Calibri" w:eastAsia="Calibri" w:hAnsi="Calibri"/>
          <w:b/>
          <w:bCs/>
        </w:rPr>
        <w:t xml:space="preserve">Authentic mastery</w:t>
      </w:r>
      <w:r>
        <w:rPr>
          <w:rFonts w:ascii="Calibri" w:cs="Calibri" w:eastAsia="Calibri" w:hAnsi="Calibri"/>
        </w:rPr>
        <w:t xml:space="preserve"> (does the learner genuinely understand and can they apply it, evidenced not assumed?); and </w:t>
      </w:r>
      <w:r>
        <w:rPr>
          <w:rFonts w:ascii="Calibri" w:cs="Calibri" w:eastAsia="Calibri" w:hAnsi="Calibri"/>
          <w:b/>
          <w:bCs/>
        </w:rPr>
        <w:t xml:space="preserve">NESA assurance</w:t>
      </w:r>
      <w:r>
        <w:rPr>
          <w:rFonts w:ascii="Calibri" w:cs="Calibri" w:eastAsia="Calibri" w:hAnsi="Calibri"/>
        </w:rPr>
        <w:t xml:space="preserve"> (can we evidence that it meets or exceeds the mandatory outcome for the RoSA/HSC and inspection?).</w:t>
      </w:r>
    </w:p>
    <w:p>
      <w:pPr>
        <w:pStyle w:val="Heading2"/>
        <w:spacing w:after="70" w:before="200"/>
      </w:pPr>
      <w:r>
        <w:rPr>
          <w:rFonts w:ascii="Calibri" w:cs="Calibri" w:eastAsia="Calibri" w:hAnsi="Calibri"/>
          <w:b/>
          <w:bCs/>
          <w:color w:val="9A7B4F"/>
          <w:sz w:val="23"/>
          <w:szCs w:val="23"/>
        </w:rPr>
        <w:t xml:space="preserve">1.3  A named architecture — explicit, faith-rooted, built to inspire</w:t>
      </w:r>
    </w:p>
    <w:p>
      <w:pPr>
        <w:spacing w:after="110" w:line="262"/>
        <w:jc w:val="both"/>
      </w:pPr>
      <w:r>
        <w:rPr>
          <w:rFonts w:ascii="Calibri" w:cs="Calibri" w:eastAsia="Calibri" w:hAnsi="Calibri"/>
        </w:rPr>
        <w:t xml:space="preserve">A founding school needs a language of its own. Each name is chosen so it carries its Islamic meaning </w:t>
      </w:r>
      <w:r>
        <w:rPr>
          <w:rFonts w:ascii="Calibri" w:cs="Calibri" w:eastAsia="Calibri" w:hAnsi="Calibri"/>
          <w:i/>
          <w:iCs/>
        </w:rPr>
        <w:t xml:space="preserve">and</w:t>
      </w:r>
      <w:r>
        <w:rPr>
          <w:rFonts w:ascii="Calibri" w:cs="Calibri" w:eastAsia="Calibri" w:hAnsi="Calibri"/>
        </w:rPr>
        <w:t xml:space="preserve"> its exact pedagogical job at once — nothing decorative, everything translatable.</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1797"/>
        <w:gridCol w:w="1986"/>
        <w:gridCol w:w="5675"/>
      </w:tblGrid>
      <w:tr>
        <w:trPr>
          <w:tblHeader/>
        </w:trPr>
        <w:tc>
          <w:tcPr>
            <w:tcW w:type="dxa" w:w="1797"/>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In the school</w:t>
            </w:r>
          </w:p>
        </w:tc>
        <w:tc>
          <w:tcPr>
            <w:tcW w:type="dxa" w:w="1986"/>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Name</w:t>
            </w:r>
          </w:p>
        </w:tc>
        <w:tc>
          <w:tcPr>
            <w:tcW w:type="dxa" w:w="5675"/>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Meaning  ·  what it does  ·  comparator</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whole model</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Itqan Way</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Itqan = mastery/perfection of one’s work as worship. The philosophy: do everything beautifully.</w:t>
            </w:r>
          </w:p>
        </w:tc>
      </w:tr>
      <w:tr>
        <w:tc>
          <w:tcPr>
            <w:tcW w:type="dxa" w:w="1797"/>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wellspring</w:t>
            </w:r>
          </w:p>
        </w:tc>
        <w:tc>
          <w:tcPr>
            <w:tcW w:type="dxa" w:w="1986"/>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Manhal</w:t>
            </w:r>
          </w:p>
        </w:tc>
        <w:tc>
          <w:tcPr>
            <w:tcW w:type="dxa" w:w="567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Tree of Knowledge.’ The self-paced, mastery-gated curriculum map. Mirrors the CSU topic tree.</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platform</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Manara</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lighthouse / minaret’ — the guiding light. The digital home of the tree, portfolio and dashboards.</w:t>
            </w:r>
          </w:p>
        </w:tc>
      </w:tr>
      <w:tr>
        <w:tc>
          <w:tcPr>
            <w:tcW w:type="dxa" w:w="1797"/>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projects</w:t>
            </w:r>
          </w:p>
        </w:tc>
        <w:tc>
          <w:tcPr>
            <w:tcW w:type="dxa" w:w="1986"/>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’Amal Projects</w:t>
            </w:r>
          </w:p>
        </w:tc>
        <w:tc>
          <w:tcPr>
            <w:tcW w:type="dxa" w:w="567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‘Amal = righteous action. Knowledge turned into deeds — one real interdisciplinary project a term. Mirrors Gold-Standard PBL.</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real-world layer</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Kitab Maftuh</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Open Book’ — the world and the city as an open book of God’s signs. Studios, mosques, councils, workplaces as real learning sites. Mirrors Big Picture’s ‘Leaving to Learn.’</w:t>
            </w:r>
          </w:p>
        </w:tc>
      </w:tr>
      <w:tr>
        <w:tc>
          <w:tcPr>
            <w:tcW w:type="dxa" w:w="1797"/>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portfolio</w:t>
            </w:r>
          </w:p>
        </w:tc>
        <w:tc>
          <w:tcPr>
            <w:tcW w:type="dxa" w:w="1986"/>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Athar</w:t>
            </w:r>
          </w:p>
        </w:tc>
        <w:tc>
          <w:tcPr>
            <w:tcW w:type="dxa" w:w="567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lasting trace one leaves.’ The curated, defended body of evidence. Mirrors the Mastery Transcript / Portfolio of Learning.</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Public exhibitions</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Majlis</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gathering.’ Termly public showcase to family, mentors and community. Mirrors Exhibitions of Learning.</w:t>
            </w:r>
          </w:p>
        </w:tc>
      </w:tr>
      <w:tr>
        <w:tc>
          <w:tcPr>
            <w:tcW w:type="dxa" w:w="1797"/>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home-group</w:t>
            </w:r>
          </w:p>
        </w:tc>
        <w:tc>
          <w:tcPr>
            <w:tcW w:type="dxa" w:w="1986"/>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Usrah</w:t>
            </w:r>
          </w:p>
        </w:tc>
        <w:tc>
          <w:tcPr>
            <w:tcW w:type="dxa" w:w="567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learning family.’ The small belonging-group, 2+ years with one coach. Mirrors Big Picture’s Advisory.</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coach</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Murabbi / Murabbiyah</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‘One who nurtures the whole person’ (from Tarbiyah). Owns each student’s plan, portfolio and wellbeing.</w:t>
            </w:r>
          </w:p>
        </w:tc>
      </w:tr>
      <w:tr>
        <w:tc>
          <w:tcPr>
            <w:tcW w:type="dxa" w:w="1797"/>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Subject experts</w:t>
            </w:r>
          </w:p>
        </w:tc>
        <w:tc>
          <w:tcPr>
            <w:tcW w:type="dxa" w:w="1986"/>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Mu’allim / Mu’allimah</w:t>
            </w:r>
          </w:p>
        </w:tc>
        <w:tc>
          <w:tcPr>
            <w:tcW w:type="dxa" w:w="567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teacher.’ Authors tree nodes, leads knowledge sprints (the Domain Guides).</w:t>
            </w:r>
          </w:p>
        </w:tc>
      </w:tr>
      <w:tr>
        <w:tc>
          <w:tcPr>
            <w:tcW w:type="dxa" w:w="1797"/>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The three stages</w:t>
            </w:r>
          </w:p>
        </w:tc>
        <w:tc>
          <w:tcPr>
            <w:tcW w:type="dxa" w:w="1986"/>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Talab · Tafaqquh · Riyadah</w:t>
            </w:r>
          </w:p>
        </w:tc>
        <w:tc>
          <w:tcPr>
            <w:tcW w:type="dxa" w:w="567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Seek (Talab — talab al-‘ilm) → Deepen (Tafaqquh — deep understanding) → Lead (Riyadah — pioneering leadership &amp; enterprise).</w:t>
            </w:r>
          </w:p>
        </w:tc>
      </w:tr>
    </w:tbl>
    <w:p>
      <w:pPr>
        <w:spacing w:before="60"/>
        <w:jc w:val="both"/>
      </w:pPr>
      <w:r>
        <w:rPr>
          <w:rFonts w:ascii="Calibri" w:cs="Calibri" w:eastAsia="Calibri" w:hAnsi="Calibri"/>
          <w:b/>
          <w:bCs/>
          <w:color w:val="B26540"/>
        </w:rPr>
        <w:t xml:space="preserve">A respectful note: </w:t>
      </w:r>
      <w:r>
        <w:rPr>
          <w:rFonts w:ascii="Calibri" w:cs="Calibri" w:eastAsia="Calibri" w:hAnsi="Calibri"/>
        </w:rPr>
        <w:t xml:space="preserve">these terms are drawn from the Islamic tradition and should be reviewed with the school’s scholars and community before adoption — that care is itself </w:t>
      </w:r>
      <w:r>
        <w:rPr>
          <w:rFonts w:ascii="Calibri" w:cs="Calibri" w:eastAsia="Calibri" w:hAnsi="Calibri"/>
          <w:i/>
          <w:iCs/>
        </w:rPr>
        <w:t xml:space="preserve">adab</w:t>
      </w:r>
      <w:r>
        <w:rPr>
          <w:rFonts w:ascii="Calibri" w:cs="Calibri" w:eastAsia="Calibri" w:hAnsi="Calibri"/>
        </w:rPr>
        <w:t xml:space="preserve">.</w:t>
      </w:r>
    </w:p>
    <w:p>
      <w:pPr>
        <w:pStyle w:val="Heading2"/>
        <w:spacing w:after="70" w:before="200"/>
      </w:pPr>
      <w:r>
        <w:rPr>
          <w:rFonts w:ascii="Calibri" w:cs="Calibri" w:eastAsia="Calibri" w:hAnsi="Calibri"/>
          <w:b/>
          <w:bCs/>
          <w:color w:val="9A7B4F"/>
          <w:sz w:val="23"/>
          <w:szCs w:val="23"/>
        </w:rPr>
        <w:t xml:space="preserve">1.4  This is proven practice — comparable schools</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2270"/>
        <w:gridCol w:w="2648"/>
        <w:gridCol w:w="4540"/>
      </w:tblGrid>
      <w:tr>
        <w:trPr>
          <w:tblHeader/>
        </w:trPr>
        <w:tc>
          <w:tcPr>
            <w:tcW w:type="dxa" w:w="2270"/>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School / network</w:t>
            </w:r>
          </w:p>
        </w:tc>
        <w:tc>
          <w:tcPr>
            <w:tcW w:type="dxa" w:w="2648"/>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Where &amp; scale</w:t>
            </w:r>
          </w:p>
        </w:tc>
        <w:tc>
          <w:tcPr>
            <w:tcW w:type="dxa" w:w="4540"/>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What it proves</w:t>
            </w:r>
          </w:p>
        </w:tc>
      </w:tr>
      <w:tr>
        <w:tc>
          <w:tcPr>
            <w:tcW w:type="dxa" w:w="2270"/>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Charles Sturt Engineering</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Australia — MIT-recognised</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On-demand topic tree + project challenges + workplace learning + competency gating works (your direct experience).</w:t>
            </w:r>
          </w:p>
        </w:tc>
      </w:tr>
      <w:tr>
        <w:tc>
          <w:tcPr>
            <w:tcW w:type="dxa" w:w="2270"/>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Big Picture Learning Australia</w:t>
            </w:r>
          </w:p>
        </w:tc>
        <w:tc>
          <w:tcPr>
            <w:tcW w:type="dxa" w:w="2648"/>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40+ AU campuses, 15+ years (incl. NSW: Sydney Secondary College Leichhardt, Five Islands)</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Advisory + internships + personalised plans + portfolios + exhibitions, at scale in the NSW public system.</w:t>
            </w:r>
          </w:p>
        </w:tc>
      </w:tr>
      <w:tr>
        <w:tc>
          <w:tcPr>
            <w:tcW w:type="dxa" w:w="2270"/>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Templestowe College</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Victoria — ~1,000 students</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Student-empowered, flexible-hours, mixed-cohort PBL revived a near-closed school; among Australia’s most innovative.</w:t>
            </w:r>
          </w:p>
        </w:tc>
      </w:tr>
      <w:tr>
        <w:tc>
          <w:tcPr>
            <w:tcW w:type="dxa" w:w="2270"/>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High Tech High / XP / School 21</w:t>
            </w:r>
          </w:p>
        </w:tc>
        <w:tc>
          <w:tcPr>
            <w:tcW w:type="dxa" w:w="2648"/>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USA &amp; UK</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Rigorous interdisciplinary PBL, oracy and public exhibitions sustain inside national curricula/exams.</w:t>
            </w:r>
          </w:p>
        </w:tc>
      </w:tr>
      <w:tr>
        <w:tc>
          <w:tcPr>
            <w:tcW w:type="dxa" w:w="2270"/>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Mastery Transcript Consortium</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USA, many schools</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Universities accept competency/portfolio transcripts alongside grades.</w:t>
            </w:r>
          </w:p>
        </w:tc>
      </w:tr>
    </w:tbl>
    <w:p>
      <w:pPr>
        <w:spacing w:before="60"/>
        <w:jc w:val="both"/>
      </w:pPr>
      <w:r>
        <w:rPr>
          <w:rFonts w:ascii="Calibri" w:cs="Calibri" w:eastAsia="Calibri" w:hAnsi="Calibri"/>
        </w:rPr>
        <w:t xml:space="preserve">The Big Picture Australia precedent matters most: this kind of model is already </w:t>
      </w:r>
      <w:r>
        <w:rPr>
          <w:rFonts w:ascii="Calibri" w:cs="Calibri" w:eastAsia="Calibri" w:hAnsi="Calibri"/>
          <w:i/>
          <w:iCs/>
        </w:rPr>
        <w:t xml:space="preserve">registered and operating inside the NSW system</w:t>
      </w:r>
      <w:r>
        <w:rPr>
          <w:rFonts w:ascii="Calibri" w:cs="Calibri" w:eastAsia="Calibri" w:hAnsi="Calibri"/>
        </w:rPr>
        <w:t xml:space="preserve">. We combine that proven practice with CSU’s knowledge-tree rigour and an explicit Islamic foundation.</w:t>
      </w:r>
    </w:p>
    <w:p>
      <w:pPr>
        <w:pStyle w:val="Heading2"/>
        <w:spacing w:after="70" w:before="200"/>
      </w:pPr>
      <w:r>
        <w:rPr>
          <w:rFonts w:ascii="Calibri" w:cs="Calibri" w:eastAsia="Calibri" w:hAnsi="Calibri"/>
          <w:b/>
          <w:bCs/>
          <w:color w:val="9A7B4F"/>
          <w:sz w:val="23"/>
          <w:szCs w:val="23"/>
        </w:rPr>
        <w:t xml:space="preserve">1.5  The hard constraints (NESA), in brief</w:t>
      </w:r>
    </w:p>
    <w:p>
      <w:pPr>
        <w:spacing w:after="110" w:line="262"/>
        <w:jc w:val="both"/>
      </w:pPr>
      <w:r>
        <w:rPr>
          <w:rFonts w:ascii="Calibri" w:cs="Calibri" w:eastAsia="Calibri" w:hAnsi="Calibri"/>
        </w:rPr>
        <w:t xml:space="preserve">Registration before opening (a 12-month provisional licence on ‘capacity to comply’); applications due 31 March of the year before opening; nine Part-B requirements (B1 Proprietors/Principals · B2 Management &amp; operation · B3 Staff · B4 Curriculum · B5 Premises · B6 Facilities · B7 Enrolment &amp; attendance · B8 Safe &amp; supportive environment · B9 Discipline); Part C for RoSA/HSC accreditation; mandatory hours (400 each of English, Mathematics, Science across Years 7–10, 100 of a language, plus PDHPE and the rest); all teaching by NESA-accredited teachers; a first-year inspection (Strand A welfare, Strand B teaching). NESA does </w:t>
      </w:r>
      <w:r>
        <w:rPr>
          <w:rFonts w:ascii="Calibri" w:cs="Calibri" w:eastAsia="Calibri" w:hAnsi="Calibri"/>
          <w:i/>
          <w:iCs/>
        </w:rPr>
        <w:t xml:space="preserve">not</w:t>
      </w:r>
      <w:r>
        <w:rPr>
          <w:rFonts w:ascii="Calibri" w:cs="Calibri" w:eastAsia="Calibri" w:hAnsi="Calibri"/>
        </w:rPr>
        <w:t xml:space="preserve"> prescribe class sizes or staffing ratios — it requires accredited teachers covering the mandatory curriculum and safe supervision. That is the legal space in which this model’s flexibility lives.</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2 · What learning looks like in practice, per stage</w:t>
      </w:r>
    </w:p>
    <w:p>
      <w:pPr>
        <w:pStyle w:val="Heading2"/>
        <w:spacing w:after="70" w:before="200"/>
      </w:pPr>
      <w:r>
        <w:rPr>
          <w:rFonts w:ascii="Calibri" w:cs="Calibri" w:eastAsia="Calibri" w:hAnsi="Calibri"/>
          <w:b/>
          <w:bCs/>
          <w:color w:val="9A7B4F"/>
          <w:sz w:val="23"/>
          <w:szCs w:val="23"/>
        </w:rPr>
        <w:t xml:space="preserve">2.1  The weekly architecture and the modality mix</w:t>
      </w:r>
    </w:p>
    <w:p>
      <w:pPr>
        <w:spacing w:after="110" w:line="262"/>
        <w:jc w:val="both"/>
      </w:pPr>
      <w:r>
        <w:rPr>
          <w:rFonts w:ascii="Calibri" w:cs="Calibri" w:eastAsia="Calibri" w:hAnsi="Calibri"/>
        </w:rPr>
        <w:t xml:space="preserve">The week is built from blocks, not 40-minute single-subject periods. </w:t>
      </w:r>
      <w:r>
        <w:rPr>
          <w:rFonts w:ascii="Calibri" w:cs="Calibri" w:eastAsia="Calibri" w:hAnsi="Calibri"/>
          <w:i/>
          <w:iCs/>
        </w:rPr>
        <w:t xml:space="preserve">Manhal</w:t>
      </w:r>
      <w:r>
        <w:rPr>
          <w:rFonts w:ascii="Calibri" w:cs="Calibri" w:eastAsia="Calibri" w:hAnsi="Calibri"/>
        </w:rPr>
        <w:t xml:space="preserve"> carries most content acquisition (asynchronous, on-demand, self-paced); the human time is reserved for what a video cannot do: </w:t>
      </w:r>
      <w:r>
        <w:rPr>
          <w:rFonts w:ascii="Calibri" w:cs="Calibri" w:eastAsia="Calibri" w:hAnsi="Calibri"/>
          <w:b/>
          <w:bCs/>
        </w:rPr>
        <w:t xml:space="preserve">knowledge sprints</w:t>
      </w:r>
      <w:r>
        <w:rPr>
          <w:rFonts w:ascii="Calibri" w:cs="Calibri" w:eastAsia="Calibri" w:hAnsi="Calibri"/>
        </w:rPr>
        <w:t xml:space="preserve"> (scheduled, face-to-face, Guide-led explicit teaching); </w:t>
      </w:r>
      <w:r>
        <w:rPr>
          <w:rFonts w:ascii="Calibri" w:cs="Calibri" w:eastAsia="Calibri" w:hAnsi="Calibri"/>
          <w:b/>
          <w:bCs/>
        </w:rPr>
        <w:t xml:space="preserve">’Amal Project studios</w:t>
      </w:r>
      <w:r>
        <w:rPr>
          <w:rFonts w:ascii="Calibri" w:cs="Calibri" w:eastAsia="Calibri" w:hAnsi="Calibri"/>
        </w:rPr>
        <w:t xml:space="preserve"> (collaborative project work); </w:t>
      </w:r>
      <w:r>
        <w:rPr>
          <w:rFonts w:ascii="Calibri" w:cs="Calibri" w:eastAsia="Calibri" w:hAnsi="Calibri"/>
          <w:b/>
          <w:bCs/>
        </w:rPr>
        <w:t xml:space="preserve">self-paced Manhal time</w:t>
      </w:r>
      <w:r>
        <w:rPr>
          <w:rFonts w:ascii="Calibri" w:cs="Calibri" w:eastAsia="Calibri" w:hAnsi="Calibri"/>
        </w:rPr>
        <w:t xml:space="preserve"> (independent mastery, coach circulating); </w:t>
      </w:r>
      <w:r>
        <w:rPr>
          <w:rFonts w:ascii="Calibri" w:cs="Calibri" w:eastAsia="Calibri" w:hAnsi="Calibri"/>
          <w:b/>
          <w:bCs/>
        </w:rPr>
        <w:t xml:space="preserve">Usrah</w:t>
      </w:r>
      <w:r>
        <w:rPr>
          <w:rFonts w:ascii="Calibri" w:cs="Calibri" w:eastAsia="Calibri" w:hAnsi="Calibri"/>
        </w:rPr>
        <w:t xml:space="preserve"> (daily home-family with the Murabbi); and </w:t>
      </w:r>
      <w:r>
        <w:rPr>
          <w:rFonts w:ascii="Calibri" w:cs="Calibri" w:eastAsia="Calibri" w:hAnsi="Calibri"/>
          <w:b/>
          <w:bCs/>
        </w:rPr>
        <w:t xml:space="preserve">Kitab Maftuh</w:t>
      </w:r>
      <w:r>
        <w:rPr>
          <w:rFonts w:ascii="Calibri" w:cs="Calibri" w:eastAsia="Calibri" w:hAnsi="Calibri"/>
        </w:rPr>
        <w:t xml:space="preserve"> (off-site real-world learning). Students attend a structured, supervised week (NESA B7); the flexibility is in how the time is used, not whether they come.</w:t>
      </w:r>
    </w:p>
    <w:p>
      <w:pPr>
        <w:pStyle w:val="Heading2"/>
        <w:spacing w:after="70" w:before="200"/>
      </w:pPr>
      <w:r>
        <w:rPr>
          <w:rFonts w:ascii="Calibri" w:cs="Calibri" w:eastAsia="Calibri" w:hAnsi="Calibri"/>
          <w:b/>
          <w:bCs/>
          <w:color w:val="9A7B4F"/>
          <w:sz w:val="23"/>
          <w:szCs w:val="23"/>
        </w:rPr>
        <w:t xml:space="preserve">2.2  Time per week, per stage (planning model)</w:t>
      </w:r>
    </w:p>
    <w:p>
      <w:pPr>
        <w:spacing w:after="110" w:line="262"/>
        <w:jc w:val="both"/>
      </w:pPr>
      <w:r>
        <w:rPr>
          <w:rFonts w:ascii="Calibri" w:cs="Calibri" w:eastAsia="Calibri" w:hAnsi="Calibri"/>
        </w:rPr>
        <w:t xml:space="preserve">Indicative split of a ~27-hour student week. The mix shifts from high structure toward independence as self-regulation matures; all hours map to NESA indicative outcome hours across the year.</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3216"/>
        <w:gridCol w:w="2081"/>
        <w:gridCol w:w="2081"/>
        <w:gridCol w:w="2081"/>
      </w:tblGrid>
      <w:tr>
        <w:trPr>
          <w:tblHeader/>
        </w:trPr>
        <w:tc>
          <w:tcPr>
            <w:tcW w:type="dxa" w:w="3216"/>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Element</w:t>
            </w:r>
          </w:p>
        </w:tc>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Talab · Seek (Y7–8)</w:t>
            </w:r>
          </w:p>
        </w:tc>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Tafaqquh · Deepen (Y9–10)</w:t>
            </w:r>
          </w:p>
        </w:tc>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Riyadah · Lead (Y11–12)</w:t>
            </w:r>
          </w:p>
        </w:tc>
      </w:tr>
      <w:tr>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Knowledge sprints (F2F, Guide-led)</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8 hr</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6 hr</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6 hr (HSC-focused)</w:t>
            </w:r>
          </w:p>
        </w:tc>
      </w:tr>
      <w:tr>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Self-paced Manhal time</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5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7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8 hr</w:t>
            </w:r>
          </w:p>
        </w:tc>
      </w:tr>
      <w:tr>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’Amal Project studio</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7 hr</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7 hr</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5 hr (capstone)</w:t>
            </w:r>
          </w:p>
        </w:tc>
      </w:tr>
      <w:tr>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Usrah + coaching</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3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2.5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 hr</w:t>
            </w:r>
          </w:p>
        </w:tc>
      </w:tr>
      <w:tr>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Kitab Maftuh (off-site / internship)</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 hr (visits)</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4 hr (mentorship)</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6 hr (internship, ~1 day)</w:t>
            </w:r>
          </w:p>
        </w:tc>
      </w:tr>
      <w:tr>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Spiritual life, wellbeing, physical, creative</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0.5 hr</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 (embedded)</w:t>
            </w:r>
          </w:p>
        </w:tc>
      </w:tr>
    </w:tbl>
    <w:p>
      <w:pPr>
        <w:spacing w:before="40"/>
        <w:jc w:val="both"/>
      </w:pPr>
      <w:r>
        <w:rPr>
          <w:rFonts w:ascii="Calibri" w:cs="Calibri" w:eastAsia="Calibri" w:hAnsi="Calibri"/>
          <w:i/>
          <w:iCs/>
          <w:color w:val="55615A"/>
          <w:sz w:val="17"/>
          <w:szCs w:val="17"/>
        </w:rPr>
        <w:t xml:space="preserve">Planning assumption — ratios and hours are a starting model, tuned against NESA indicative hours and the timetable.</w:t>
      </w:r>
    </w:p>
    <w:p>
      <w:pPr>
        <w:pStyle w:val="Heading2"/>
        <w:spacing w:after="70" w:before="200"/>
      </w:pPr>
      <w:r>
        <w:rPr>
          <w:rFonts w:ascii="Calibri" w:cs="Calibri" w:eastAsia="Calibri" w:hAnsi="Calibri"/>
          <w:b/>
          <w:bCs/>
          <w:color w:val="9A7B4F"/>
          <w:sz w:val="23"/>
          <w:szCs w:val="23"/>
        </w:rPr>
        <w:t xml:space="preserve">2.3  Talab · Seek (Year 7–8) — a day in the life</w:t>
      </w:r>
    </w:p>
    <w:p>
      <w:pPr>
        <w:spacing w:after="110" w:line="262"/>
        <w:jc w:val="both"/>
      </w:pPr>
      <w:r>
        <w:rPr>
          <w:rFonts w:ascii="Calibri" w:cs="Calibri" w:eastAsia="Calibri" w:hAnsi="Calibri"/>
        </w:rPr>
        <w:t xml:space="preserve">Highest structure, mostly face-to-face. Aisha (Year 7) begins each day in her </w:t>
      </w:r>
      <w:r>
        <w:rPr>
          <w:rFonts w:ascii="Calibri" w:cs="Calibri" w:eastAsia="Calibri" w:hAnsi="Calibri"/>
          <w:i/>
          <w:iCs/>
        </w:rPr>
        <w:t xml:space="preserve">Usrah</w:t>
      </w:r>
      <w:r>
        <w:rPr>
          <w:rFonts w:ascii="Calibri" w:cs="Calibri" w:eastAsia="Calibri" w:hAnsi="Calibri"/>
        </w:rPr>
        <w:t xml:space="preserve"> with her Murabbi — a spiritual anchor, intention-setting, and a look at today’s plan. Mid-morning is a knowledge sprint: a Guide teaches ratio and proportion, because her current </w:t>
      </w:r>
      <w:r>
        <w:rPr>
          <w:rFonts w:ascii="Calibri" w:cs="Calibri" w:eastAsia="Calibri" w:hAnsi="Calibri"/>
          <w:i/>
          <w:iCs/>
        </w:rPr>
        <w:t xml:space="preserve">’Amal Project</w:t>
      </w:r>
      <w:r>
        <w:rPr>
          <w:rFonts w:ascii="Calibri" w:cs="Calibri" w:eastAsia="Calibri" w:hAnsi="Calibri"/>
        </w:rPr>
        <w:t xml:space="preserve"> (a fair water-sharing roster for the school garden) needs it. She then spends a self-paced block in </w:t>
      </w:r>
      <w:r>
        <w:rPr>
          <w:rFonts w:ascii="Calibri" w:cs="Calibri" w:eastAsia="Calibri" w:hAnsi="Calibri"/>
          <w:i/>
          <w:iCs/>
        </w:rPr>
        <w:t xml:space="preserve">Manhal</w:t>
      </w:r>
      <w:r>
        <w:rPr>
          <w:rFonts w:ascii="Calibri" w:cs="Calibri" w:eastAsia="Calibri" w:hAnsi="Calibri"/>
        </w:rPr>
        <w:t xml:space="preserve"> mastering two nodes, her coach checking each gate. After prayer and lunch, the project studio; the day ends with a reflection logged to her </w:t>
      </w:r>
      <w:r>
        <w:rPr>
          <w:rFonts w:ascii="Calibri" w:cs="Calibri" w:eastAsia="Calibri" w:hAnsi="Calibri"/>
          <w:i/>
          <w:iCs/>
        </w:rPr>
        <w:t xml:space="preserve">Athar</w:t>
      </w:r>
      <w:r>
        <w:rPr>
          <w:rFonts w:ascii="Calibri" w:cs="Calibri" w:eastAsia="Calibri" w:hAnsi="Calibri"/>
        </w:rPr>
        <w:t xml:space="preserve"> portfolio. Once a fortnight the class visits a community partner — the gentle start of </w:t>
      </w:r>
      <w:r>
        <w:rPr>
          <w:rFonts w:ascii="Calibri" w:cs="Calibri" w:eastAsia="Calibri" w:hAnsi="Calibri"/>
          <w:i/>
          <w:iCs/>
        </w:rPr>
        <w:t xml:space="preserve">Kitab Maftuh</w:t>
      </w:r>
      <w:r>
        <w:rPr>
          <w:rFonts w:ascii="Calibri" w:cs="Calibri" w:eastAsia="Calibri" w:hAnsi="Calibri"/>
        </w:rPr>
        <w:t xml:space="preserve">.</w:t>
      </w:r>
    </w:p>
    <w:p>
      <w:pPr>
        <w:pStyle w:val="Heading2"/>
        <w:spacing w:after="70" w:before="200"/>
      </w:pPr>
      <w:r>
        <w:rPr>
          <w:rFonts w:ascii="Calibri" w:cs="Calibri" w:eastAsia="Calibri" w:hAnsi="Calibri"/>
          <w:b/>
          <w:bCs/>
          <w:color w:val="9A7B4F"/>
          <w:sz w:val="23"/>
          <w:szCs w:val="23"/>
        </w:rPr>
        <w:t xml:space="preserve">2.4  Tafaqquh · Deepen (Year 9–10) — a day in the life</w:t>
      </w:r>
    </w:p>
    <w:p>
      <w:pPr>
        <w:spacing w:after="110" w:line="262"/>
        <w:jc w:val="both"/>
      </w:pPr>
      <w:r>
        <w:rPr>
          <w:rFonts w:ascii="Calibri" w:cs="Calibri" w:eastAsia="Calibri" w:hAnsi="Calibri"/>
        </w:rPr>
        <w:t xml:space="preserve">More independence, deeper discipline, first real mentorships. Yusuf (Year 10) runs more of his own week. Two mornings he is off-site at a council sustainability office, working on his </w:t>
      </w:r>
      <w:r>
        <w:rPr>
          <w:rFonts w:ascii="Calibri" w:cs="Calibri" w:eastAsia="Calibri" w:hAnsi="Calibri"/>
          <w:i/>
          <w:iCs/>
        </w:rPr>
        <w:t xml:space="preserve">’Amal Project</w:t>
      </w:r>
      <w:r>
        <w:rPr>
          <w:rFonts w:ascii="Calibri" w:cs="Calibri" w:eastAsia="Calibri" w:hAnsi="Calibri"/>
        </w:rPr>
        <w:t xml:space="preserve"> (“The Cool Courtyard”, §2.7). On campus he pulls heat-transfer and water-cycle nodes from </w:t>
      </w:r>
      <w:r>
        <w:rPr>
          <w:rFonts w:ascii="Calibri" w:cs="Calibri" w:eastAsia="Calibri" w:hAnsi="Calibri"/>
          <w:i/>
          <w:iCs/>
        </w:rPr>
        <w:t xml:space="preserve">Manhal</w:t>
      </w:r>
      <w:r>
        <w:rPr>
          <w:rFonts w:ascii="Calibri" w:cs="Calibri" w:eastAsia="Calibri" w:hAnsi="Calibri"/>
        </w:rPr>
        <w:t xml:space="preserve"> exactly when his calculations need them, books a tutorial with the science Guide, and joins a sprint on technical-report writing. His Murabbi meets him fortnightly for a deeper one-to-one. His evidence — the dataset, the model, the client feedback, the reflection on </w:t>
      </w:r>
      <w:r>
        <w:rPr>
          <w:rFonts w:ascii="Calibri" w:cs="Calibri" w:eastAsia="Calibri" w:hAnsi="Calibri"/>
          <w:i/>
          <w:iCs/>
        </w:rPr>
        <w:t xml:space="preserve">adab</w:t>
      </w:r>
      <w:r>
        <w:rPr>
          <w:rFonts w:ascii="Calibri" w:cs="Calibri" w:eastAsia="Calibri" w:hAnsi="Calibri"/>
        </w:rPr>
        <w:t xml:space="preserve"> with a real client — builds toward his RoSA.</w:t>
      </w:r>
    </w:p>
    <w:p>
      <w:pPr>
        <w:pStyle w:val="Heading2"/>
        <w:spacing w:after="70" w:before="200"/>
      </w:pPr>
      <w:r>
        <w:rPr>
          <w:rFonts w:ascii="Calibri" w:cs="Calibri" w:eastAsia="Calibri" w:hAnsi="Calibri"/>
          <w:b/>
          <w:bCs/>
          <w:color w:val="9A7B4F"/>
          <w:sz w:val="23"/>
          <w:szCs w:val="23"/>
        </w:rPr>
        <w:t xml:space="preserve">2.5  Riyadah · Lead (Year 11–12) — a day in the life</w:t>
      </w:r>
    </w:p>
    <w:p>
      <w:pPr>
        <w:spacing w:after="110" w:line="262"/>
        <w:jc w:val="both"/>
      </w:pPr>
      <w:r>
        <w:rPr>
          <w:rFonts w:ascii="Calibri" w:cs="Calibri" w:eastAsia="Calibri" w:hAnsi="Calibri"/>
        </w:rPr>
        <w:t xml:space="preserve">Highest flexibility, with the HSC held firmly in view. Mariam (Year 12) spends about a day a week in a genuine internship (the Learning-Through-Internship model), and much of her on-campus time in self-paced </w:t>
      </w:r>
      <w:r>
        <w:rPr>
          <w:rFonts w:ascii="Calibri" w:cs="Calibri" w:eastAsia="Calibri" w:hAnsi="Calibri"/>
          <w:i/>
          <w:iCs/>
        </w:rPr>
        <w:t xml:space="preserve">Manhal</w:t>
      </w:r>
      <w:r>
        <w:rPr>
          <w:rFonts w:ascii="Calibri" w:cs="Calibri" w:eastAsia="Calibri" w:hAnsi="Calibri"/>
        </w:rPr>
        <w:t xml:space="preserve"> work and HSC sprints. Her capstone — a </w:t>
      </w:r>
      <w:r>
        <w:rPr>
          <w:rFonts w:ascii="Calibri" w:cs="Calibri" w:eastAsia="Calibri" w:hAnsi="Calibri"/>
          <w:i/>
          <w:iCs/>
        </w:rPr>
        <w:t xml:space="preserve">Riyadah</w:t>
      </w:r>
      <w:r>
        <w:rPr>
          <w:rFonts w:ascii="Calibri" w:cs="Calibri" w:eastAsia="Calibri" w:hAnsi="Calibri"/>
        </w:rPr>
        <w:t xml:space="preserve"> project of real consequence — is supervised by both a Guide and an industry mentor. She still sits her HSC examinations (non-negotiable for Board Developed Courses), and graduates with an </w:t>
      </w:r>
      <w:r>
        <w:rPr>
          <w:rFonts w:ascii="Calibri" w:cs="Calibri" w:eastAsia="Calibri" w:hAnsi="Calibri"/>
          <w:i/>
          <w:iCs/>
        </w:rPr>
        <w:t xml:space="preserve">Athar</w:t>
      </w:r>
      <w:r>
        <w:rPr>
          <w:rFonts w:ascii="Calibri" w:cs="Calibri" w:eastAsia="Calibri" w:hAnsi="Calibri"/>
        </w:rPr>
        <w:t xml:space="preserve"> portfolio and a real professional reference — a young leader, ready to serve.</w:t>
      </w:r>
    </w:p>
    <w:p>
      <w:pPr>
        <w:pStyle w:val="Heading2"/>
        <w:spacing w:after="70" w:before="200"/>
      </w:pPr>
      <w:r>
        <w:rPr>
          <w:rFonts w:ascii="Calibri" w:cs="Calibri" w:eastAsia="Calibri" w:hAnsi="Calibri"/>
          <w:b/>
          <w:bCs/>
          <w:color w:val="9A7B4F"/>
          <w:sz w:val="23"/>
          <w:szCs w:val="23"/>
        </w:rPr>
        <w:t xml:space="preserve">2.6  The Manhal in practice</w:t>
      </w:r>
    </w:p>
    <w:p>
      <w:pPr>
        <w:spacing w:after="110" w:line="262"/>
        <w:jc w:val="both"/>
      </w:pPr>
      <w:r>
        <w:rPr>
          <w:rFonts w:ascii="Calibri" w:cs="Calibri" w:eastAsia="Calibri" w:hAnsi="Calibri"/>
        </w:rPr>
        <w:t xml:space="preserve">Each </w:t>
      </w:r>
      <w:r>
        <w:rPr>
          <w:rFonts w:ascii="Calibri" w:cs="Calibri" w:eastAsia="Calibri" w:hAnsi="Calibri"/>
          <w:b/>
          <w:bCs/>
        </w:rPr>
        <w:t xml:space="preserve">node</w:t>
      </w:r>
      <w:r>
        <w:rPr>
          <w:rFonts w:ascii="Calibri" w:cs="Calibri" w:eastAsia="Calibri" w:hAnsi="Calibri"/>
        </w:rPr>
        <w:t xml:space="preserve"> is the atomic unit: a learning intention; the NESA outcome code(s) it delivers; a visible Bloom badge (Remember → Understand → Apply → Analyse → Evaluate → Create); prerequisites (the upstream links); multi-modal on-demand resources; a mastery check that gates it; and the projects it feeds. A student navigates it like a map: see what is mastered, in progress and next; pull what a project needs; advance on demonstrated mastery, not the clock. Because every mandatory outcome is tagged to a node </w:t>
      </w:r>
      <w:r>
        <w:rPr>
          <w:rFonts w:ascii="Calibri" w:cs="Calibri" w:eastAsia="Calibri" w:hAnsi="Calibri"/>
          <w:i/>
          <w:iCs/>
        </w:rPr>
        <w:t xml:space="preserve">and</w:t>
      </w:r>
      <w:r>
        <w:rPr>
          <w:rFonts w:ascii="Calibri" w:cs="Calibri" w:eastAsia="Calibri" w:hAnsi="Calibri"/>
        </w:rPr>
        <w:t xml:space="preserve"> a portfolio evidence point, an automated coverage audit guarantees no gaps against a traditional curriculum — with a stronger audit trail.</w:t>
      </w:r>
    </w:p>
    <w:p>
      <w:pPr>
        <w:pStyle w:val="Heading2"/>
        <w:spacing w:after="70" w:before="200"/>
      </w:pPr>
      <w:r>
        <w:rPr>
          <w:rFonts w:ascii="Calibri" w:cs="Calibri" w:eastAsia="Calibri" w:hAnsi="Calibri"/>
          <w:b/>
          <w:bCs/>
          <w:color w:val="9A7B4F"/>
          <w:sz w:val="23"/>
          <w:szCs w:val="23"/>
        </w:rPr>
        <w:t xml:space="preserve">2.7  An ’Amal Project, fully mapped (worked example)</w:t>
      </w:r>
    </w:p>
    <w:tbl>
      <w:tblPr>
        <w:tblW w:type="dxa" w:w="9458"/>
        <w:tblBorders>
          <w:top w:val="single" w:color="EEF1EC" w:sz="2"/>
          <w:left w:val="single" w:color="6C7D3C" w:sz="26"/>
          <w:bottom w:val="single" w:color="EEF1EC" w:sz="2"/>
          <w:right w:val="single" w:color="EEF1EC" w:sz="2"/>
          <w:insideH w:val="single" w:color="auto" w:sz="4"/>
          <w:insideV w:val="single" w:color="auto" w:sz="4"/>
        </w:tblBorders>
      </w:tblPr>
      <w:tblGrid>
        <w:gridCol w:w="9458"/>
      </w:tblGrid>
      <w:tr>
        <w:tc>
          <w:tcPr>
            <w:tcW w:type="dxa" w:w="9458"/>
            <w:shd w:fill="EEF1EC" w:val="clear"/>
            <w:tcMar>
              <w:top w:type="dxa" w:w="110"/>
              <w:left w:type="dxa" w:w="180"/>
              <w:bottom w:type="dxa" w:w="110"/>
              <w:right w:type="dxa" w:w="180"/>
            </w:tcMar>
          </w:tcPr>
          <w:p>
            <w:pPr>
              <w:spacing w:after="50"/>
            </w:pPr>
            <w:r>
              <w:rPr>
                <w:rFonts w:ascii="Calibri" w:cs="Calibri" w:eastAsia="Calibri" w:hAnsi="Calibri"/>
                <w:b/>
                <w:bCs/>
                <w:color w:val="6C7D3C"/>
                <w:sz w:val="20"/>
                <w:szCs w:val="20"/>
              </w:rPr>
              <w:t xml:space="preserve">Tafaqquh-stage (Year 9) ’Amal Project: “The Cool Courtyard” · one term</w:t>
            </w:r>
          </w:p>
          <w:p>
            <w:pPr>
              <w:spacing w:after="0" w:line="256"/>
              <w:jc w:val="left"/>
            </w:pPr>
            <w:r>
              <w:rPr>
                <w:rFonts w:ascii="Calibri" w:cs="Calibri" w:eastAsia="Calibri" w:hAnsi="Calibri"/>
              </w:rPr>
              <w:t xml:space="preserve">Design a passive-cooling, water-wise courtyard and an ablution-water re-use concept for a partner mosque, presented to the mosque committee and a council officer. Every phase shows the nodes pulled, when, prerequisites (P) and co-requisites (C), the artefact, the Bloom level and the NESA areas evidenced.</w:t>
            </w:r>
          </w:p>
        </w:tc>
      </w:tr>
    </w:tbl>
    <w:p>
      <w:pPr>
        <w:spacing w:after="30"/>
      </w:pPr>
      <w:r>
        <w:rPr>
          <w:rFonts w:ascii="Calibri" w:cs="Calibri" w:eastAsia="Calibri" w:hAnsi="Calibri"/>
        </w:rPr>
        <w:t xml:space="preserve"/>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1702"/>
        <w:gridCol w:w="3216"/>
        <w:gridCol w:w="1892"/>
        <w:gridCol w:w="1230"/>
        <w:gridCol w:w="1419"/>
      </w:tblGrid>
      <w:tr>
        <w:trPr>
          <w:tblHeader/>
        </w:trPr>
        <w:tc>
          <w:tcPr>
            <w:tcW w:type="dxa" w:w="1702"/>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Phase / weeks</w:t>
            </w:r>
          </w:p>
        </w:tc>
        <w:tc>
          <w:tcPr>
            <w:tcW w:type="dxa" w:w="3216"/>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Manhal nodes (P=prereq, C=co-req)</w:t>
            </w:r>
          </w:p>
        </w:tc>
        <w:tc>
          <w:tcPr>
            <w:tcW w:type="dxa" w:w="1892"/>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Artefact (evidence)</w:t>
            </w:r>
          </w:p>
        </w:tc>
        <w:tc>
          <w:tcPr>
            <w:tcW w:type="dxa" w:w="1230"/>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Bloom</w:t>
            </w:r>
          </w:p>
        </w:tc>
        <w:tc>
          <w:tcPr>
            <w:tcW w:type="dxa" w:w="1419"/>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NESA areas</w:t>
            </w:r>
          </w:p>
        </w:tc>
      </w:tr>
      <w:tr>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Empathise &amp; Define (1–2)</w:t>
            </w:r>
          </w:p>
        </w:tc>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 client brief; sustainability; urban-heat. C: interviewing</w:t>
            </w:r>
          </w:p>
        </w:tc>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Brief &amp; needs analysis</w:t>
            </w:r>
          </w:p>
        </w:tc>
        <w:tc>
          <w:tcPr>
            <w:tcW w:type="dxa" w:w="123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Understand/Analyse</w:t>
            </w:r>
          </w:p>
        </w:tc>
        <w:tc>
          <w:tcPr>
            <w:tcW w:type="dxa" w:w="141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English; Geography</w:t>
            </w:r>
          </w:p>
        </w:tc>
      </w:tr>
      <w:tr>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Investigate (2–4)</w:t>
            </w:r>
          </w:p>
        </w:tc>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 measurement; area; scale drawing; data. C: spreadsheets &amp; stats</w:t>
            </w:r>
          </w:p>
        </w:tc>
        <w:tc>
          <w:tcPr>
            <w:tcW w:type="dxa" w:w="189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Site dataset + scaled plan</w:t>
            </w:r>
          </w:p>
        </w:tc>
        <w:tc>
          <w:tcPr>
            <w:tcW w:type="dxa" w:w="123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Apply/Analyse</w:t>
            </w:r>
          </w:p>
        </w:tc>
        <w:tc>
          <w:tcPr>
            <w:tcW w:type="dxa" w:w="141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Maths; Science</w:t>
            </w:r>
          </w:p>
        </w:tc>
      </w:tr>
      <w:tr>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Knowledge sprint (4–6)</w:t>
            </w:r>
          </w:p>
        </w:tc>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 heat transfer; water cycle; evaporative cooling. C: rates &amp; ratios</w:t>
            </w:r>
          </w:p>
        </w:tc>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Thermal &amp; water calcs + diagrams</w:t>
            </w:r>
          </w:p>
        </w:tc>
        <w:tc>
          <w:tcPr>
            <w:tcW w:type="dxa" w:w="123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Apply/Analyse</w:t>
            </w:r>
          </w:p>
        </w:tc>
        <w:tc>
          <w:tcPr>
            <w:tcW w:type="dxa" w:w="141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Science; Maths</w:t>
            </w:r>
          </w:p>
        </w:tc>
      </w:tr>
      <w:tr>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Ideate &amp; prototype (6–8)</w:t>
            </w:r>
          </w:p>
        </w:tc>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 design thinking; materials; intro CAD. C: costing</w:t>
            </w:r>
          </w:p>
        </w:tc>
        <w:tc>
          <w:tcPr>
            <w:tcW w:type="dxa" w:w="189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CAD + physical model; costed proposal</w:t>
            </w:r>
          </w:p>
        </w:tc>
        <w:tc>
          <w:tcPr>
            <w:tcW w:type="dxa" w:w="123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Create/Evaluate</w:t>
            </w:r>
          </w:p>
        </w:tc>
        <w:tc>
          <w:tcPr>
            <w:tcW w:type="dxa" w:w="141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Design &amp; Tech; Maths</w:t>
            </w:r>
          </w:p>
        </w:tc>
      </w:tr>
      <w:tr>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Communicate (8–9)</w:t>
            </w:r>
          </w:p>
        </w:tc>
        <w:tc>
          <w:tcPr>
            <w:tcW w:type="dxa" w:w="3216"/>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 report structure; oracy; data viz. C: critique</w:t>
            </w:r>
          </w:p>
        </w:tc>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Technical report + client pitch</w:t>
            </w:r>
          </w:p>
        </w:tc>
        <w:tc>
          <w:tcPr>
            <w:tcW w:type="dxa" w:w="123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Create/Evaluate</w:t>
            </w:r>
          </w:p>
        </w:tc>
        <w:tc>
          <w:tcPr>
            <w:tcW w:type="dxa" w:w="141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English</w:t>
            </w:r>
          </w:p>
        </w:tc>
      </w:tr>
      <w:tr>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Majlis &amp; reflect (10)</w:t>
            </w:r>
          </w:p>
        </w:tc>
        <w:tc>
          <w:tcPr>
            <w:tcW w:type="dxa" w:w="3216"/>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(synthesis)</w:t>
            </w:r>
          </w:p>
        </w:tc>
        <w:tc>
          <w:tcPr>
            <w:tcW w:type="dxa" w:w="189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Public exhibition + reflective entry</w:t>
            </w:r>
          </w:p>
        </w:tc>
        <w:tc>
          <w:tcPr>
            <w:tcW w:type="dxa" w:w="123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Evaluate/Create</w:t>
            </w:r>
          </w:p>
        </w:tc>
        <w:tc>
          <w:tcPr>
            <w:tcW w:type="dxa" w:w="141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Cross-KLA; values; portfolio</w:t>
            </w:r>
          </w:p>
        </w:tc>
      </w:tr>
    </w:tbl>
    <w:p>
      <w:pPr>
        <w:pStyle w:val="Heading2"/>
        <w:spacing w:after="70" w:before="200"/>
      </w:pPr>
      <w:r>
        <w:rPr>
          <w:rFonts w:ascii="Calibri" w:cs="Calibri" w:eastAsia="Calibri" w:hAnsi="Calibri"/>
          <w:b/>
          <w:bCs/>
          <w:color w:val="9A7B4F"/>
          <w:sz w:val="23"/>
          <w:szCs w:val="23"/>
        </w:rPr>
        <w:t xml:space="preserve">2.8  Assessment, the Athar portfolio and the exam question</w:t>
      </w:r>
    </w:p>
    <w:p>
      <w:pPr>
        <w:pStyle w:val="ListParagraph"/>
        <w:numPr>
          <w:ilvl w:val="0"/>
          <w:numId w:val="2"/>
        </w:numPr>
        <w:spacing w:after="64" w:line="256"/>
      </w:pPr>
      <w:r>
        <w:rPr>
          <w:rFonts w:ascii="Calibri" w:cs="Calibri" w:eastAsia="Calibri" w:hAnsi="Calibri"/>
          <w:b/>
          <w:bCs/>
        </w:rPr>
        <w:t xml:space="preserve">Mastery is shown many ways </w:t>
      </w:r>
      <w:r>
        <w:rPr>
          <w:rFonts w:ascii="Calibri" w:cs="Calibri" w:eastAsia="Calibri" w:hAnsi="Calibri"/>
        </w:rPr>
        <w:t xml:space="preserve">— product, </w:t>
      </w:r>
      <w:r>
        <w:rPr>
          <w:rFonts w:ascii="Calibri" w:cs="Calibri" w:eastAsia="Calibri" w:hAnsi="Calibri"/>
          <w:i/>
          <w:iCs/>
        </w:rPr>
        <w:t xml:space="preserve">Majlis</w:t>
      </w:r>
      <w:r>
        <w:rPr>
          <w:rFonts w:ascii="Calibri" w:cs="Calibri" w:eastAsia="Calibri" w:hAnsi="Calibri"/>
        </w:rPr>
        <w:t xml:space="preserve"> exhibition, portfolio defence/viva, observation, structured tasks — across defined mastery levels.</w:t>
      </w:r>
    </w:p>
    <w:p>
      <w:pPr>
        <w:pStyle w:val="ListParagraph"/>
        <w:numPr>
          <w:ilvl w:val="0"/>
          <w:numId w:val="2"/>
        </w:numPr>
        <w:spacing w:after="64" w:line="256"/>
      </w:pPr>
      <w:r>
        <w:rPr>
          <w:rFonts w:ascii="Calibri" w:cs="Calibri" w:eastAsia="Calibri" w:hAnsi="Calibri"/>
          <w:b/>
          <w:bCs/>
        </w:rPr>
        <w:t xml:space="preserve">Stages 4–5 (RoSA): no formal exams required. </w:t>
      </w:r>
      <w:r>
        <w:rPr>
          <w:rFonts w:ascii="Calibri" w:cs="Calibri" w:eastAsia="Calibri" w:hAnsi="Calibri"/>
        </w:rPr>
        <w:t xml:space="preserve">The RoSA rests on satisfactory completion and grades against syllabus standards; the school chooses the method, and the Athar portfolio is the evidence.</w:t>
      </w:r>
    </w:p>
    <w:p>
      <w:pPr>
        <w:pStyle w:val="ListParagraph"/>
        <w:numPr>
          <w:ilvl w:val="0"/>
          <w:numId w:val="2"/>
        </w:numPr>
        <w:spacing w:after="64" w:line="256"/>
      </w:pPr>
      <w:r>
        <w:rPr>
          <w:rFonts w:ascii="Calibri" w:cs="Calibri" w:eastAsia="Calibri" w:hAnsi="Calibri"/>
          <w:b/>
          <w:bCs/>
        </w:rPr>
        <w:t xml:space="preserve">Stage 6 (HSC): external examinations are mandatory </w:t>
      </w:r>
      <w:r>
        <w:rPr>
          <w:rFonts w:ascii="Calibri" w:cs="Calibri" w:eastAsia="Calibri" w:hAnsi="Calibri"/>
        </w:rPr>
        <w:t xml:space="preserve">for Board Developed Courses. The model wraps the HSC inside Riyadah projects, but students still sit the exams — state this plainly; knowing the regulator’s hard line builds trust.</w:t>
      </w:r>
    </w:p>
    <w:p>
      <w:pPr>
        <w:pStyle w:val="Heading2"/>
        <w:spacing w:after="70" w:before="200"/>
      </w:pPr>
      <w:r>
        <w:rPr>
          <w:rFonts w:ascii="Calibri" w:cs="Calibri" w:eastAsia="Calibri" w:hAnsi="Calibri"/>
          <w:b/>
          <w:bCs/>
          <w:color w:val="9A7B4F"/>
          <w:sz w:val="23"/>
          <w:szCs w:val="23"/>
        </w:rPr>
        <w:t xml:space="preserve">2.9  Coaching and mentoring requirements, per stage</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2081"/>
        <w:gridCol w:w="1513"/>
        <w:gridCol w:w="3027"/>
        <w:gridCol w:w="2837"/>
      </w:tblGrid>
      <w:tr>
        <w:trPr>
          <w:tblHeader/>
        </w:trPr>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Stage</w:t>
            </w:r>
          </w:p>
        </w:tc>
        <w:tc>
          <w:tcPr>
            <w:tcW w:type="dxa" w:w="1513"/>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Murabbi ratio*</w:t>
            </w:r>
          </w:p>
        </w:tc>
        <w:tc>
          <w:tcPr>
            <w:tcW w:type="dxa" w:w="3027"/>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Coaching cadence</w:t>
            </w:r>
          </w:p>
        </w:tc>
        <w:tc>
          <w:tcPr>
            <w:tcW w:type="dxa" w:w="2837"/>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Mentoring</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Talab · Seek (Y7–8)</w:t>
            </w:r>
          </w:p>
        </w:tc>
        <w:tc>
          <w:tcPr>
            <w:tcW w:type="dxa" w:w="1513"/>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 : 15</w:t>
            </w:r>
          </w:p>
        </w:tc>
        <w:tc>
          <w:tcPr>
            <w:tcW w:type="dxa" w:w="302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Daily Usrah + weekly 1:1</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Guest practitioners; class site visits</w:t>
            </w:r>
          </w:p>
        </w:tc>
      </w:tr>
      <w:tr>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Tafaqquh · Deepen (Y9–10)</w:t>
            </w:r>
          </w:p>
        </w:tc>
        <w:tc>
          <w:tcPr>
            <w:tcW w:type="dxa" w:w="1513"/>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 : 16–18</w:t>
            </w:r>
          </w:p>
        </w:tc>
        <w:tc>
          <w:tcPr>
            <w:tcW w:type="dxa" w:w="302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Daily Usrah + fortnightly deep 1:1</w:t>
            </w:r>
          </w:p>
        </w:tc>
        <w:tc>
          <w:tcPr>
            <w:tcW w:type="dxa" w:w="283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First project mentor (feedback across a project; ~monthly)</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Riyadah · Lead (Y11–12)</w:t>
            </w:r>
          </w:p>
        </w:tc>
        <w:tc>
          <w:tcPr>
            <w:tcW w:type="dxa" w:w="1513"/>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 : 18</w:t>
            </w:r>
          </w:p>
        </w:tc>
        <w:tc>
          <w:tcPr>
            <w:tcW w:type="dxa" w:w="302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Daily Usrah + fortnightly 1:1 + capstone supervision</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Sustained internship host (weekly during placement) + academic mentor for HSC &amp; capstone</w:t>
            </w:r>
          </w:p>
        </w:tc>
      </w:tr>
    </w:tbl>
    <w:p>
      <w:pPr>
        <w:spacing w:before="40"/>
        <w:jc w:val="both"/>
      </w:pPr>
      <w:r>
        <w:rPr>
          <w:rFonts w:ascii="Calibri" w:cs="Calibri" w:eastAsia="Calibri" w:hAnsi="Calibri"/>
          <w:i/>
          <w:iCs/>
          <w:color w:val="55615A"/>
          <w:sz w:val="17"/>
          <w:szCs w:val="17"/>
        </w:rPr>
        <w:t xml:space="preserve">*Ratios are planning assumptions in the range Big Picture advisories use (≈15–20:1); to be confirmed against the staffing budget.</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3 · Industry &amp; community as a working process</w:t>
      </w:r>
    </w:p>
    <w:p>
      <w:pPr>
        <w:spacing w:after="110" w:line="262"/>
        <w:jc w:val="both"/>
      </w:pPr>
      <w:r>
        <w:rPr>
          <w:rFonts w:ascii="Calibri" w:cs="Calibri" w:eastAsia="Calibri" w:hAnsi="Calibri"/>
          <w:i/>
          <w:iCs/>
        </w:rPr>
        <w:t xml:space="preserve">Kitab Maftuh</w:t>
      </w:r>
      <w:r>
        <w:rPr>
          <w:rFonts w:ascii="Calibri" w:cs="Calibri" w:eastAsia="Calibri" w:hAnsi="Calibri"/>
        </w:rPr>
        <w:t xml:space="preserve"> is an operating system, not a hope. Industry and community involvement is tiered by stage, screened, scheduled and evidenced — and the accredited teacher always owns the learning.</w:t>
      </w:r>
    </w:p>
    <w:p>
      <w:pPr>
        <w:pStyle w:val="Heading2"/>
        <w:spacing w:after="70" w:before="200"/>
      </w:pPr>
      <w:r>
        <w:rPr>
          <w:rFonts w:ascii="Calibri" w:cs="Calibri" w:eastAsia="Calibri" w:hAnsi="Calibri"/>
          <w:b/>
          <w:bCs/>
          <w:color w:val="9A7B4F"/>
          <w:sz w:val="23"/>
          <w:szCs w:val="23"/>
        </w:rPr>
        <w:t xml:space="preserve">3.1  Who, what, when, why — by stage</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1892"/>
        <w:gridCol w:w="2081"/>
        <w:gridCol w:w="3594"/>
        <w:gridCol w:w="1892"/>
      </w:tblGrid>
      <w:tr>
        <w:trPr>
          <w:tblHeader/>
        </w:trPr>
        <w:tc>
          <w:tcPr>
            <w:tcW w:type="dxa" w:w="1892"/>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Stage</w:t>
            </w:r>
          </w:p>
        </w:tc>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Who</w:t>
            </w:r>
          </w:p>
        </w:tc>
        <w:tc>
          <w:tcPr>
            <w:tcW w:type="dxa" w:w="3594"/>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What they do</w:t>
            </w:r>
          </w:p>
        </w:tc>
        <w:tc>
          <w:tcPr>
            <w:tcW w:type="dxa" w:w="1892"/>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When / how often</w:t>
            </w:r>
          </w:p>
        </w:tc>
      </w:tr>
      <w:tr>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Talab · Seek (Y7–8)</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Guest practitioners; community partners</w:t>
            </w:r>
          </w:p>
        </w:tc>
        <w:tc>
          <w:tcPr>
            <w:tcW w:type="dxa" w:w="3594"/>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Talk to a class; host a short site visit; pose a real problem for a project</w:t>
            </w:r>
          </w:p>
        </w:tc>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 few times a term</w:t>
            </w:r>
          </w:p>
        </w:tc>
      </w:tr>
      <w:tr>
        <w:tc>
          <w:tcPr>
            <w:tcW w:type="dxa" w:w="189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Tafaqquh · Deepen (Y9–10)</w:t>
            </w:r>
          </w:p>
        </w:tc>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Project mentors (industry &amp; community)</w:t>
            </w:r>
          </w:p>
        </w:tc>
        <w:tc>
          <w:tcPr>
            <w:tcW w:type="dxa" w:w="3594"/>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Co-set a brief; give feedback at milestones; host half-day visits</w:t>
            </w:r>
          </w:p>
        </w:tc>
        <w:tc>
          <w:tcPr>
            <w:tcW w:type="dxa" w:w="1892"/>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Across a project — roughly monthly</w:t>
            </w:r>
          </w:p>
        </w:tc>
      </w:tr>
      <w:tr>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Riyadah · Lead (Y11–12)</w:t>
            </w:r>
          </w:p>
        </w:tc>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Internship hosts; capstone supervisors</w:t>
            </w:r>
          </w:p>
        </w:tc>
        <w:tc>
          <w:tcPr>
            <w:tcW w:type="dxa" w:w="3594"/>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Provide real workplace tasks; supervise an internship; co-judge the capstone</w:t>
            </w:r>
          </w:p>
        </w:tc>
        <w:tc>
          <w:tcPr>
            <w:tcW w:type="dxa" w:w="189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Weekly during placement (~1 day)</w:t>
            </w:r>
          </w:p>
        </w:tc>
      </w:tr>
    </w:tbl>
    <w:p>
      <w:pPr>
        <w:spacing w:before="50"/>
        <w:jc w:val="both"/>
      </w:pPr>
      <w:r>
        <w:rPr>
          <w:rFonts w:ascii="Calibri" w:cs="Calibri" w:eastAsia="Calibri" w:hAnsi="Calibri"/>
          <w:b/>
          <w:bCs/>
        </w:rPr>
        <w:t xml:space="preserve">Why it matters: </w:t>
      </w:r>
      <w:r>
        <w:rPr>
          <w:rFonts w:ascii="Calibri" w:cs="Calibri" w:eastAsia="Calibri" w:hAnsi="Calibri"/>
        </w:rPr>
        <w:t xml:space="preserve">authentic </w:t>
      </w:r>
      <w:r>
        <w:rPr>
          <w:rFonts w:ascii="Calibri" w:cs="Calibri" w:eastAsia="Calibri" w:hAnsi="Calibri"/>
          <w:i/>
          <w:iCs/>
        </w:rPr>
        <w:t xml:space="preserve">ilm naafiʼ</w:t>
      </w:r>
      <w:r>
        <w:rPr>
          <w:rFonts w:ascii="Calibri" w:cs="Calibri" w:eastAsia="Calibri" w:hAnsi="Calibri"/>
        </w:rPr>
        <w:t xml:space="preserve"> (beneficial knowledge), genuine employability, real references and networks, and the lived experience that turns content into capability — and character.</w:t>
      </w:r>
    </w:p>
    <w:p>
      <w:pPr>
        <w:pStyle w:val="Heading2"/>
        <w:spacing w:after="70" w:before="200"/>
      </w:pPr>
      <w:r>
        <w:rPr>
          <w:rFonts w:ascii="Calibri" w:cs="Calibri" w:eastAsia="Calibri" w:hAnsi="Calibri"/>
          <w:b/>
          <w:bCs/>
          <w:color w:val="9A7B4F"/>
          <w:sz w:val="23"/>
          <w:szCs w:val="23"/>
        </w:rPr>
        <w:t xml:space="preserve">3.2  The operational machinery — what makes it work</w:t>
      </w:r>
    </w:p>
    <w:p>
      <w:pPr>
        <w:pStyle w:val="ListParagraph"/>
        <w:numPr>
          <w:ilvl w:val="0"/>
          <w:numId w:val="3"/>
        </w:numPr>
        <w:spacing w:after="64" w:line="256"/>
      </w:pPr>
      <w:r>
        <w:rPr>
          <w:rFonts w:ascii="Calibri" w:cs="Calibri" w:eastAsia="Calibri" w:hAnsi="Calibri"/>
          <w:b/>
          <w:bCs/>
        </w:rPr>
        <w:t xml:space="preserve">Curate the network. </w:t>
      </w:r>
      <w:r>
        <w:rPr>
          <w:rFonts w:ascii="Calibri" w:cs="Calibri" w:eastAsia="Calibri" w:hAnsi="Calibri"/>
        </w:rPr>
        <w:t xml:space="preserve">The Partnerships Lead builds a host/mentor database with signed MOUs (mosques, councils, businesses, universities, creative practitioners).</w:t>
      </w:r>
    </w:p>
    <w:p>
      <w:pPr>
        <w:pStyle w:val="ListParagraph"/>
        <w:numPr>
          <w:ilvl w:val="0"/>
          <w:numId w:val="3"/>
        </w:numPr>
        <w:spacing w:after="64" w:line="256"/>
      </w:pPr>
      <w:r>
        <w:rPr>
          <w:rFonts w:ascii="Calibri" w:cs="Calibri" w:eastAsia="Calibri" w:hAnsi="Calibri"/>
          <w:b/>
          <w:bCs/>
        </w:rPr>
        <w:t xml:space="preserve">Screen and induct. </w:t>
      </w:r>
      <w:r>
        <w:rPr>
          <w:rFonts w:ascii="Calibri" w:cs="Calibri" w:eastAsia="Calibri" w:hAnsi="Calibri"/>
        </w:rPr>
        <w:t xml:space="preserve">Every adult in student contact holds a Working With Children Check and completes a duty-of-care and child-protection induction (NESA B8). A mentor handbook sets expectations.</w:t>
      </w:r>
    </w:p>
    <w:p>
      <w:pPr>
        <w:pStyle w:val="ListParagraph"/>
        <w:numPr>
          <w:ilvl w:val="0"/>
          <w:numId w:val="3"/>
        </w:numPr>
        <w:spacing w:after="64" w:line="256"/>
      </w:pPr>
      <w:r>
        <w:rPr>
          <w:rFonts w:ascii="Calibri" w:cs="Calibri" w:eastAsia="Calibri" w:hAnsi="Calibri"/>
          <w:b/>
          <w:bCs/>
        </w:rPr>
        <w:t xml:space="preserve">Match and schedule. </w:t>
      </w:r>
      <w:r>
        <w:rPr>
          <w:rFonts w:ascii="Calibri" w:cs="Calibri" w:eastAsia="Calibri" w:hAnsi="Calibri"/>
        </w:rPr>
        <w:t xml:space="preserve">A platform (ImBlaze-style) matches students to opportunities by interest and project, and schedules them into the week.</w:t>
      </w:r>
    </w:p>
    <w:p>
      <w:pPr>
        <w:pStyle w:val="ListParagraph"/>
        <w:numPr>
          <w:ilvl w:val="0"/>
          <w:numId w:val="3"/>
        </w:numPr>
        <w:spacing w:after="64" w:line="256"/>
      </w:pPr>
      <w:r>
        <w:rPr>
          <w:rFonts w:ascii="Calibri" w:cs="Calibri" w:eastAsia="Calibri" w:hAnsi="Calibri"/>
          <w:b/>
          <w:bCs/>
        </w:rPr>
        <w:t xml:space="preserve">Govern safety off-site. </w:t>
      </w:r>
      <w:r>
        <w:rPr>
          <w:rFonts w:ascii="Calibri" w:cs="Calibri" w:eastAsia="Calibri" w:hAnsi="Calibri"/>
        </w:rPr>
        <w:t xml:space="preserve">Risk assessments, transport and supervision protocols, insurance and emergency procedures for every external placement.</w:t>
      </w:r>
    </w:p>
    <w:p>
      <w:pPr>
        <w:pStyle w:val="ListParagraph"/>
        <w:numPr>
          <w:ilvl w:val="0"/>
          <w:numId w:val="3"/>
        </w:numPr>
        <w:spacing w:after="64" w:line="256"/>
      </w:pPr>
      <w:r>
        <w:rPr>
          <w:rFonts w:ascii="Calibri" w:cs="Calibri" w:eastAsia="Calibri" w:hAnsi="Calibri"/>
          <w:b/>
          <w:bCs/>
        </w:rPr>
        <w:t xml:space="preserve">Evidence and sign off. </w:t>
      </w:r>
      <w:r>
        <w:rPr>
          <w:rFonts w:ascii="Calibri" w:cs="Calibri" w:eastAsia="Calibri" w:hAnsi="Calibri"/>
        </w:rPr>
        <w:t xml:space="preserve">Industry feedback maps to outcomes via a shared rubric and is logged to the Athar portfolio; the accredited Guide signs off the learning. Mentors enrich; they are not the teacher of record.</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4 · The technology, in practice</w:t>
      </w:r>
    </w:p>
    <w:p>
      <w:pPr>
        <w:pStyle w:val="Heading2"/>
        <w:spacing w:after="70" w:before="200"/>
      </w:pPr>
      <w:r>
        <w:rPr>
          <w:rFonts w:ascii="Calibri" w:cs="Calibri" w:eastAsia="Calibri" w:hAnsi="Calibri"/>
          <w:b/>
          <w:bCs/>
          <w:color w:val="9A7B4F"/>
          <w:sz w:val="23"/>
          <w:szCs w:val="23"/>
        </w:rPr>
        <w:t xml:space="preserve">4.1  The Manara platform stack</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2081"/>
        <w:gridCol w:w="3972"/>
        <w:gridCol w:w="3405"/>
      </w:tblGrid>
      <w:tr>
        <w:trPr>
          <w:tblHeader/>
        </w:trPr>
        <w:tc>
          <w:tcPr>
            <w:tcW w:type="dxa" w:w="208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Layer</w:t>
            </w:r>
          </w:p>
        </w:tc>
        <w:tc>
          <w:tcPr>
            <w:tcW w:type="dxa" w:w="3972"/>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Function</w:t>
            </w:r>
          </w:p>
        </w:tc>
        <w:tc>
          <w:tcPr>
            <w:tcW w:type="dxa" w:w="3405"/>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Real options</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Delivery LMS</w:t>
            </w:r>
          </w:p>
        </w:tc>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Hosts node resources, comms</w:t>
            </w:r>
          </w:p>
        </w:tc>
        <w:tc>
          <w:tcPr>
            <w:tcW w:type="dxa" w:w="340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Canvas, Moodle (+ add-ons)</w:t>
            </w:r>
          </w:p>
        </w:tc>
      </w:tr>
      <w:tr>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Competency / outcomes</w:t>
            </w:r>
          </w:p>
        </w:tc>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Outcome map; gates nodes on mastery</w:t>
            </w:r>
          </w:p>
        </w:tc>
        <w:tc>
          <w:tcPr>
            <w:tcW w:type="dxa" w:w="340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Canvas Outcomes + Mastery Paths; Moodle Competency Frameworks</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Adaptive / knowledge-graph</w:t>
            </w:r>
          </w:p>
        </w:tc>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Manhal itself — prerequisites, on-demand pathing</w:t>
            </w:r>
          </w:p>
        </w:tc>
        <w:tc>
          <w:tcPr>
            <w:tcW w:type="dxa" w:w="340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Realizeit (the CSU engine); knowledge-graph tools</w:t>
            </w:r>
          </w:p>
        </w:tc>
      </w:tr>
      <w:tr>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Learning Record Store (xAPI)</w:t>
            </w:r>
          </w:p>
        </w:tc>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Captures every learning event, in and out of school</w:t>
            </w:r>
          </w:p>
        </w:tc>
        <w:tc>
          <w:tcPr>
            <w:tcW w:type="dxa" w:w="340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Any xAPI-conformant LRS</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Portfolio / credential</w:t>
            </w:r>
          </w:p>
        </w:tc>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The Athar portfolio &amp; transcript</w:t>
            </w:r>
          </w:p>
        </w:tc>
        <w:tc>
          <w:tcPr>
            <w:tcW w:type="dxa" w:w="340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Portfolio tools; Mastery-Transcript model</w:t>
            </w:r>
          </w:p>
        </w:tc>
      </w:tr>
      <w:tr>
        <w:tc>
          <w:tcPr>
            <w:tcW w:type="dxa" w:w="2081"/>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Real-world / mentor</w:t>
            </w:r>
          </w:p>
        </w:tc>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Curates internships safely</w:t>
            </w:r>
          </w:p>
        </w:tc>
        <w:tc>
          <w:tcPr>
            <w:tcW w:type="dxa" w:w="3405"/>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ImBlaze-style platform</w:t>
            </w:r>
          </w:p>
        </w:tc>
      </w:tr>
      <w:tr>
        <w:tc>
          <w:tcPr>
            <w:tcW w:type="dxa" w:w="2081"/>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Analytics / early-warning</w:t>
            </w:r>
          </w:p>
        </w:tc>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Coverage audit, mastery dashboards, at-risk flags</w:t>
            </w:r>
          </w:p>
        </w:tc>
        <w:tc>
          <w:tcPr>
            <w:tcW w:type="dxa" w:w="3405"/>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Built on LRS + LMS data</w:t>
            </w:r>
          </w:p>
        </w:tc>
      </w:tr>
    </w:tbl>
    <w:p>
      <w:pPr>
        <w:pStyle w:val="Heading2"/>
        <w:spacing w:after="70" w:before="200"/>
      </w:pPr>
      <w:r>
        <w:rPr>
          <w:rFonts w:ascii="Calibri" w:cs="Calibri" w:eastAsia="Calibri" w:hAnsi="Calibri"/>
          <w:b/>
          <w:bCs/>
          <w:color w:val="9A7B4F"/>
          <w:sz w:val="23"/>
          <w:szCs w:val="23"/>
        </w:rPr>
        <w:t xml:space="preserve">4.2  What Manara looks like to each person</w:t>
      </w:r>
    </w:p>
    <w:p>
      <w:pPr>
        <w:pStyle w:val="ListParagraph"/>
        <w:numPr>
          <w:ilvl w:val="0"/>
          <w:numId w:val="2"/>
        </w:numPr>
        <w:spacing w:after="64" w:line="256"/>
      </w:pPr>
      <w:r>
        <w:rPr>
          <w:rFonts w:ascii="Calibri" w:cs="Calibri" w:eastAsia="Calibri" w:hAnsi="Calibri"/>
          <w:b/>
          <w:bCs/>
        </w:rPr>
        <w:t xml:space="preserve">Student: </w:t>
      </w:r>
      <w:r>
        <w:rPr>
          <w:rFonts w:ascii="Calibri" w:cs="Calibri" w:eastAsia="Calibri" w:hAnsi="Calibri"/>
        </w:rPr>
        <w:t xml:space="preserve">“my tree” (mastered / in progress / next), my current ’Amal Project, my Athar portfolio, my coverage map, and my next sprint or booked tutorial.</w:t>
      </w:r>
    </w:p>
    <w:p>
      <w:pPr>
        <w:pStyle w:val="ListParagraph"/>
        <w:numPr>
          <w:ilvl w:val="0"/>
          <w:numId w:val="2"/>
        </w:numPr>
        <w:spacing w:after="64" w:line="256"/>
      </w:pPr>
      <w:r>
        <w:rPr>
          <w:rFonts w:ascii="Calibri" w:cs="Calibri" w:eastAsia="Calibri" w:hAnsi="Calibri"/>
          <w:b/>
          <w:bCs/>
        </w:rPr>
        <w:t xml:space="preserve">Murabbi (coach): </w:t>
      </w:r>
      <w:r>
        <w:rPr>
          <w:rFonts w:ascii="Calibri" w:cs="Calibri" w:eastAsia="Calibri" w:hAnsi="Calibri"/>
        </w:rPr>
        <w:t xml:space="preserve">the whole Usrah at a glance — each student’s pace, flags, plan and portfolio completeness.</w:t>
      </w:r>
    </w:p>
    <w:p>
      <w:pPr>
        <w:pStyle w:val="ListParagraph"/>
        <w:numPr>
          <w:ilvl w:val="0"/>
          <w:numId w:val="2"/>
        </w:numPr>
        <w:spacing w:after="64" w:line="256"/>
      </w:pPr>
      <w:r>
        <w:rPr>
          <w:rFonts w:ascii="Calibri" w:cs="Calibri" w:eastAsia="Calibri" w:hAnsi="Calibri"/>
          <w:b/>
          <w:bCs/>
        </w:rPr>
        <w:t xml:space="preserve">Parent: </w:t>
      </w:r>
      <w:r>
        <w:rPr>
          <w:rFonts w:ascii="Calibri" w:cs="Calibri" w:eastAsia="Calibri" w:hAnsi="Calibri"/>
        </w:rPr>
        <w:t xml:space="preserve">their child’s coverage against the mandatory map in plain language, mastery progress, and Majlis invitations — transparency that builds confidence in a non-traditional model.</w:t>
      </w:r>
    </w:p>
    <w:p>
      <w:pPr>
        <w:pStyle w:val="ListParagraph"/>
        <w:numPr>
          <w:ilvl w:val="0"/>
          <w:numId w:val="2"/>
        </w:numPr>
        <w:spacing w:after="64" w:line="256"/>
      </w:pPr>
      <w:r>
        <w:rPr>
          <w:rFonts w:ascii="Calibri" w:cs="Calibri" w:eastAsia="Calibri" w:hAnsi="Calibri"/>
          <w:b/>
          <w:bCs/>
        </w:rPr>
        <w:t xml:space="preserve">Leadership / NESA inspector: </w:t>
      </w:r>
      <w:r>
        <w:rPr>
          <w:rFonts w:ascii="Calibri" w:cs="Calibri" w:eastAsia="Calibri" w:hAnsi="Calibri"/>
        </w:rPr>
        <w:t xml:space="preserve">school-wide coverage assurance, standard-of-teaching evidence, attendance, and the full audit trail — the cleanest inspection artefact a school can offer.</w:t>
      </w:r>
    </w:p>
    <w:p>
      <w:pPr>
        <w:pStyle w:val="Heading2"/>
        <w:spacing w:after="70" w:before="200"/>
      </w:pPr>
      <w:r>
        <w:rPr>
          <w:rFonts w:ascii="Calibri" w:cs="Calibri" w:eastAsia="Calibri" w:hAnsi="Calibri"/>
          <w:b/>
          <w:bCs/>
          <w:color w:val="9A7B4F"/>
          <w:sz w:val="23"/>
          <w:szCs w:val="23"/>
        </w:rPr>
        <w:t xml:space="preserve">4.3  Build vs buy, and the ‘no-gaps’ guarantee</w:t>
      </w:r>
    </w:p>
    <w:p>
      <w:pPr>
        <w:spacing w:after="110" w:line="262"/>
        <w:jc w:val="both"/>
      </w:pPr>
      <w:r>
        <w:rPr>
          <w:rFonts w:ascii="Calibri" w:cs="Calibri" w:eastAsia="Calibri" w:hAnsi="Calibri"/>
        </w:rPr>
        <w:t xml:space="preserve">Recommended posture: start with a configured mainstream LMS + competency layer + an LRS for the opening stage (lowest risk, registrable, affordable, within your expertise); add an adaptive engine once the model is proven and the tree is mature. The </w:t>
      </w:r>
      <w:r>
        <w:rPr>
          <w:rFonts w:ascii="Calibri" w:cs="Calibri" w:eastAsia="Calibri" w:hAnsi="Calibri"/>
          <w:b/>
          <w:bCs/>
        </w:rPr>
        <w:t xml:space="preserve">no-gaps guarantee</w:t>
      </w:r>
      <w:r>
        <w:rPr>
          <w:rFonts w:ascii="Calibri" w:cs="Calibri" w:eastAsia="Calibri" w:hAnsi="Calibri"/>
        </w:rPr>
        <w:t xml:space="preserve"> is a process: a coverage matrix lists every mandatory outcome; the stage’s tree is not ‘ready’ until each maps to a node and a portfolio evidence point; an automated audit re-checks per student each term. Build the data model right; buy sophistication later.</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5 · Staffing and salaries (grounded in NSW rates)</w:t>
      </w:r>
    </w:p>
    <w:p>
      <w:pPr>
        <w:pStyle w:val="Heading2"/>
        <w:spacing w:after="70" w:before="200"/>
      </w:pPr>
      <w:r>
        <w:rPr>
          <w:rFonts w:ascii="Calibri" w:cs="Calibri" w:eastAsia="Calibri" w:hAnsi="Calibri"/>
          <w:b/>
          <w:bCs/>
          <w:color w:val="9A7B4F"/>
          <w:sz w:val="23"/>
          <w:szCs w:val="23"/>
        </w:rPr>
        <w:t xml:space="preserve">5.1  Real NSW salary benchmarks (effective 9 October 2025)</w:t>
      </w:r>
    </w:p>
    <w:p>
      <w:pPr>
        <w:spacing w:after="110" w:line="262"/>
        <w:jc w:val="both"/>
      </w:pPr>
      <w:r>
        <w:rPr>
          <w:rFonts w:ascii="Calibri" w:cs="Calibri" w:eastAsia="Calibri" w:hAnsi="Calibri"/>
        </w:rPr>
        <w:t xml:space="preserve">Current NSW Department of Education rates — the public-school scale is the benchmark; independent schools (via the IEU/AIS multi-enterprise agreement) commonly sit around 5–10% higher, with an Accomplished Teacher allowance of $5,203 (from 1 Feb 2026) and leadership allowances on top.</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3972"/>
        <w:gridCol w:w="2648"/>
        <w:gridCol w:w="2837"/>
      </w:tblGrid>
      <w:tr>
        <w:trPr>
          <w:tblHeader/>
        </w:trPr>
        <w:tc>
          <w:tcPr>
            <w:tcW w:type="dxa" w:w="3972"/>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Role / level</w:t>
            </w:r>
          </w:p>
        </w:tc>
        <w:tc>
          <w:tcPr>
            <w:tcW w:type="dxa" w:w="2648"/>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NSW benchmark salary</w:t>
            </w:r>
          </w:p>
        </w:tc>
        <w:tc>
          <w:tcPr>
            <w:tcW w:type="dxa" w:w="2837"/>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Basis</w:t>
            </w:r>
          </w:p>
        </w:tc>
      </w:tr>
      <w:tr>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Graduate teacher (Step 1)</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$90,177</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classroom scale</w:t>
            </w:r>
          </w:p>
        </w:tc>
      </w:tr>
      <w:tr>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Top of classroom scale (Step 7)</w:t>
            </w:r>
          </w:p>
        </w:tc>
        <w:tc>
          <w:tcPr>
            <w:tcW w:type="dxa" w:w="2648"/>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$129,536</w:t>
            </w:r>
          </w:p>
        </w:tc>
        <w:tc>
          <w:tcPr>
            <w:tcW w:type="dxa" w:w="283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classroom scale</w:t>
            </w:r>
          </w:p>
        </w:tc>
      </w:tr>
      <w:tr>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Highly Accomplished / Lead Teacher</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~$137,861</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w:t>
            </w:r>
          </w:p>
        </w:tc>
      </w:tr>
      <w:tr>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Assistant Principal / Head Teacher</w:t>
            </w:r>
          </w:p>
        </w:tc>
        <w:tc>
          <w:tcPr>
            <w:tcW w:type="dxa" w:w="2648"/>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$149,059</w:t>
            </w:r>
          </w:p>
        </w:tc>
        <w:tc>
          <w:tcPr>
            <w:tcW w:type="dxa" w:w="283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leadership</w:t>
            </w:r>
          </w:p>
        </w:tc>
      </w:tr>
      <w:tr>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Deputy Principal</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$174,034</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leadership</w:t>
            </w:r>
          </w:p>
        </w:tc>
      </w:tr>
      <w:tr>
        <w:tc>
          <w:tcPr>
            <w:tcW w:type="dxa" w:w="397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Principal</w:t>
            </w:r>
          </w:p>
        </w:tc>
        <w:tc>
          <w:tcPr>
            <w:tcW w:type="dxa" w:w="2648"/>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$229,435</w:t>
            </w:r>
          </w:p>
        </w:tc>
        <w:tc>
          <w:tcPr>
            <w:tcW w:type="dxa" w:w="283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leadership</w:t>
            </w:r>
          </w:p>
        </w:tc>
      </w:tr>
      <w:tr>
        <w:tc>
          <w:tcPr>
            <w:tcW w:type="dxa" w:w="397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Executive Principal</w:t>
            </w:r>
          </w:p>
        </w:tc>
        <w:tc>
          <w:tcPr>
            <w:tcW w:type="dxa" w:w="2648"/>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$245,989</w:t>
            </w:r>
          </w:p>
        </w:tc>
        <w:tc>
          <w:tcPr>
            <w:tcW w:type="dxa" w:w="283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NSW DoE leadership</w:t>
            </w:r>
          </w:p>
        </w:tc>
      </w:tr>
    </w:tbl>
    <w:p>
      <w:pPr>
        <w:pStyle w:val="Heading2"/>
        <w:spacing w:after="70" w:before="200"/>
      </w:pPr>
      <w:r>
        <w:rPr>
          <w:rFonts w:ascii="Calibri" w:cs="Calibri" w:eastAsia="Calibri" w:hAnsi="Calibri"/>
          <w:b/>
          <w:bCs/>
          <w:color w:val="9A7B4F"/>
          <w:sz w:val="23"/>
          <w:szCs w:val="23"/>
        </w:rPr>
        <w:t xml:space="preserve">5.2  The staffing &amp; salary plan, by phase</w:t>
      </w:r>
    </w:p>
    <w:p>
      <w:pPr>
        <w:spacing w:after="110" w:line="262"/>
        <w:jc w:val="both"/>
      </w:pPr>
      <w:r>
        <w:rPr>
          <w:rFonts w:ascii="Calibri" w:cs="Calibri" w:eastAsia="Calibri" w:hAnsi="Calibri"/>
        </w:rPr>
        <w:t xml:space="preserve">Role types mostly exist from Year 1 (lean, often part-time); what scales is the number of Domain Guides and Murabbi coaches as cohorts grow, plus HSC subject specialists added as the cohort reaches Stage 6. Salaries are benchmarked to the NSW rates above; FTE counts are planning assumptions on the enrolment basis stated.</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2554"/>
        <w:gridCol w:w="3499"/>
        <w:gridCol w:w="1702"/>
        <w:gridCol w:w="1702"/>
      </w:tblGrid>
      <w:tr>
        <w:trPr>
          <w:tblHeader/>
        </w:trPr>
        <w:tc>
          <w:tcPr>
            <w:tcW w:type="dxa" w:w="2554"/>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Role</w:t>
            </w:r>
          </w:p>
        </w:tc>
        <w:tc>
          <w:tcPr>
            <w:tcW w:type="dxa" w:w="3499"/>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Salary benchmark</w:t>
            </w:r>
          </w:p>
        </w:tc>
        <w:tc>
          <w:tcPr>
            <w:tcW w:type="dxa" w:w="1702"/>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Yr1 (Y7 only)</w:t>
            </w:r>
          </w:p>
        </w:tc>
        <w:tc>
          <w:tcPr>
            <w:tcW w:type="dxa" w:w="1702"/>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Full (Y7–12)</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Head of School</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$210k–$250k (Principal–Exec Principal band)</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Director, Registration &amp; Compliance</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~$150k–$175k (Asst/Deputy Principal)</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Director of Learning Architecture</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~$150k–$175k</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Competency Architects</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~$130k–$150k (top scale + allowance)</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1–2 (build)</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2–3</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Domain Guides (Mu’allim) — accredited</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$90k–$130k + allowances</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3–4</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20–26 (incl. HSC specialists)</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Learning Coaches (Murabbi)</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teacher scale + coordination allowance</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(Guides double)</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8–12</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Islamic Studies &amp; Spiritual Formation (Imam)</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teacher scale + leadership allowance</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2–3</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Wellbeing &amp; Inclusion Lead</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~$130k–$150k (or P/T + external psych)</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0.5–1</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2</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Learning Technologist (Manara)</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~$90k–$120k (planning assumption)</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0.5–1</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1–2</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Business Manager / Operations</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~$120k–$160k (planning assumption)</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1–2</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Partnerships &amp; Community Lead</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~$100k–$130k (planning assumption)</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0.5–1</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1–2</w:t>
            </w:r>
          </w:p>
        </w:tc>
      </w:tr>
      <w:tr>
        <w:tc>
          <w:tcPr>
            <w:tcW w:type="dxa" w:w="2554"/>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Experts-in-Residence</w:t>
            </w:r>
          </w:p>
        </w:tc>
        <w:tc>
          <w:tcPr>
            <w:tcW w:type="dxa" w:w="3499"/>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sessional / honoraria / volunteer</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via partners</w:t>
            </w:r>
          </w:p>
        </w:tc>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via partners</w:t>
            </w:r>
          </w:p>
        </w:tc>
      </w:tr>
      <w:tr>
        <w:tc>
          <w:tcPr>
            <w:tcW w:type="dxa" w:w="2554"/>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Indicative total FTE</w:t>
            </w:r>
          </w:p>
        </w:tc>
        <w:tc>
          <w:tcPr>
            <w:tcW w:type="dxa" w:w="3499"/>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~10–13</w:t>
            </w:r>
          </w:p>
        </w:tc>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~45–55 (≈600 students)</w:t>
            </w:r>
          </w:p>
        </w:tc>
      </w:tr>
    </w:tbl>
    <w:p>
      <w:pPr>
        <w:spacing w:before="40"/>
        <w:jc w:val="both"/>
      </w:pPr>
      <w:r>
        <w:rPr>
          <w:rFonts w:ascii="Calibri" w:cs="Calibri" w:eastAsia="Calibri" w:hAnsi="Calibri"/>
          <w:i/>
          <w:iCs/>
          <w:color w:val="55615A"/>
          <w:sz w:val="17"/>
          <w:szCs w:val="17"/>
        </w:rPr>
        <w:t xml:space="preserve">Enrolment basis (planning assumption): Year 1 opens with a single Year 7 cohort (≈40–60 students); the full school reaches ≈600 across Y7–12. NESA sets no fixed staff ratio — the floor is that every mandatory KLA, and every HSC Board Developed Course offered, is taught by an accredited teacher with safe supervision.</w:t>
      </w:r>
    </w:p>
    <w:p>
      <w:pPr>
        <w:pStyle w:val="Heading2"/>
        <w:spacing w:after="70" w:before="200"/>
      </w:pPr>
      <w:r>
        <w:rPr>
          <w:rFonts w:ascii="Calibri" w:cs="Calibri" w:eastAsia="Calibri" w:hAnsi="Calibri"/>
          <w:b/>
          <w:bCs/>
          <w:color w:val="9A7B4F"/>
          <w:sz w:val="23"/>
          <w:szCs w:val="23"/>
        </w:rPr>
        <w:t xml:space="preserve">5.3  The phased org chart</w:t>
      </w:r>
    </w:p>
    <w:p>
      <w:pPr>
        <w:spacing w:after="20" w:before="5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95725"/>
                    </a:xfrm>
                    <a:prstGeom prst="rect">
                      <a:avLst/>
                    </a:prstGeom>
                  </pic:spPr>
                </pic:pic>
              </a:graphicData>
            </a:graphic>
          </wp:inline>
        </w:drawing>
      </w:r>
    </w:p>
    <w:p>
      <w:pPr>
        <w:spacing w:after="110"/>
        <w:jc w:val="center"/>
      </w:pPr>
      <w:r>
        <w:rPr>
          <w:rFonts w:ascii="Calibri" w:cs="Calibri" w:eastAsia="Calibri" w:hAnsi="Calibri"/>
          <w:i/>
          <w:iCs/>
          <w:color w:val="55615A"/>
          <w:sz w:val="15"/>
          <w:szCs w:val="15"/>
        </w:rPr>
        <w:t xml:space="preserve">Founding staffing architecture, colour-coded by when each role joins. Guides and Murabbi coaches scale with cohorts; HSC specialists are added by ~Year 4–5.</w:t>
      </w:r>
    </w:p>
    <w:p>
      <w:pPr>
        <w:pStyle w:val="Heading2"/>
        <w:spacing w:after="70" w:before="200"/>
      </w:pPr>
      <w:r>
        <w:rPr>
          <w:rFonts w:ascii="Calibri" w:cs="Calibri" w:eastAsia="Calibri" w:hAnsi="Calibri"/>
          <w:b/>
          <w:bCs/>
          <w:color w:val="9A7B4F"/>
          <w:sz w:val="23"/>
          <w:szCs w:val="23"/>
        </w:rPr>
        <w:t xml:space="preserve">5.4  The Head-of-School salary, benchmarked</w:t>
      </w:r>
    </w:p>
    <w:p>
      <w:pPr>
        <w:spacing w:after="110" w:line="262"/>
        <w:jc w:val="both"/>
      </w:pPr>
      <w:r>
        <w:rPr>
          <w:rFonts w:ascii="Calibri" w:cs="Calibri" w:eastAsia="Calibri" w:hAnsi="Calibri"/>
        </w:rPr>
        <w:t xml:space="preserve">The advertised band ($210,000–$250,000) is well-founded: it sits between the NSW </w:t>
      </w:r>
      <w:r>
        <w:rPr>
          <w:rFonts w:ascii="Calibri" w:cs="Calibri" w:eastAsia="Calibri" w:hAnsi="Calibri"/>
          <w:b/>
          <w:bCs/>
        </w:rPr>
        <w:t xml:space="preserve">Principal</w:t>
      </w:r>
      <w:r>
        <w:rPr>
          <w:rFonts w:ascii="Calibri" w:cs="Calibri" w:eastAsia="Calibri" w:hAnsi="Calibri"/>
        </w:rPr>
        <w:t xml:space="preserve"> rate ($229,435) and </w:t>
      </w:r>
      <w:r>
        <w:rPr>
          <w:rFonts w:ascii="Calibri" w:cs="Calibri" w:eastAsia="Calibri" w:hAnsi="Calibri"/>
          <w:b/>
          <w:bCs/>
        </w:rPr>
        <w:t xml:space="preserve">Executive Principal</w:t>
      </w:r>
      <w:r>
        <w:rPr>
          <w:rFonts w:ascii="Calibri" w:cs="Calibri" w:eastAsia="Calibri" w:hAnsi="Calibri"/>
        </w:rPr>
        <w:t xml:space="preserve"> rate ($245,989). A $250,000 expectation is therefore defensible as a top-of-band, founding-leader figure aligned to a substantial NSW principalship — not aspirational.</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6 · Pathways to university and the workforce</w:t>
      </w:r>
    </w:p>
    <w:p>
      <w:pPr>
        <w:pStyle w:val="Heading2"/>
        <w:spacing w:after="70" w:before="200"/>
      </w:pPr>
      <w:r>
        <w:rPr>
          <w:rFonts w:ascii="Calibri" w:cs="Calibri" w:eastAsia="Calibri" w:hAnsi="Calibri"/>
          <w:b/>
          <w:bCs/>
          <w:color w:val="9A7B4F"/>
          <w:sz w:val="23"/>
          <w:szCs w:val="23"/>
        </w:rPr>
        <w:t xml:space="preserve">6.1  How learning and excellence are demonstrated</w:t>
      </w:r>
    </w:p>
    <w:p>
      <w:pPr>
        <w:spacing w:after="110" w:line="262"/>
        <w:jc w:val="both"/>
      </w:pPr>
      <w:r>
        <w:rPr>
          <w:rFonts w:ascii="Calibri" w:cs="Calibri" w:eastAsia="Calibri" w:hAnsi="Calibri"/>
        </w:rPr>
        <w:t xml:space="preserve">Five evidence streams, layered: mastery levels recorded in </w:t>
      </w:r>
      <w:r>
        <w:rPr>
          <w:rFonts w:ascii="Calibri" w:cs="Calibri" w:eastAsia="Calibri" w:hAnsi="Calibri"/>
          <w:i/>
          <w:iCs/>
        </w:rPr>
        <w:t xml:space="preserve">Manhal</w:t>
      </w:r>
      <w:r>
        <w:rPr>
          <w:rFonts w:ascii="Calibri" w:cs="Calibri" w:eastAsia="Calibri" w:hAnsi="Calibri"/>
        </w:rPr>
        <w:t xml:space="preserve">; public </w:t>
      </w:r>
      <w:r>
        <w:rPr>
          <w:rFonts w:ascii="Calibri" w:cs="Calibri" w:eastAsia="Calibri" w:hAnsi="Calibri"/>
          <w:i/>
          <w:iCs/>
        </w:rPr>
        <w:t xml:space="preserve">Majlis</w:t>
      </w:r>
      <w:r>
        <w:rPr>
          <w:rFonts w:ascii="Calibri" w:cs="Calibri" w:eastAsia="Calibri" w:hAnsi="Calibri"/>
        </w:rPr>
        <w:t xml:space="preserve"> exhibitions; the </w:t>
      </w:r>
      <w:r>
        <w:rPr>
          <w:rFonts w:ascii="Calibri" w:cs="Calibri" w:eastAsia="Calibri" w:hAnsi="Calibri"/>
          <w:i/>
          <w:iCs/>
        </w:rPr>
        <w:t xml:space="preserve">Athar</w:t>
      </w:r>
      <w:r>
        <w:rPr>
          <w:rFonts w:ascii="Calibri" w:cs="Calibri" w:eastAsia="Calibri" w:hAnsi="Calibri"/>
        </w:rPr>
        <w:t xml:space="preserve"> portfolio; HSC results; and a graduate-attribute profile (Scholar, Maker, Steward, Communicator, Self-directed learner, Person of character). Excellence is visible, defended and externally witnessed — not reduced to a single number.</w:t>
      </w:r>
    </w:p>
    <w:p>
      <w:pPr>
        <w:pStyle w:val="Heading2"/>
        <w:spacing w:after="70" w:before="200"/>
      </w:pPr>
      <w:r>
        <w:rPr>
          <w:rFonts w:ascii="Calibri" w:cs="Calibri" w:eastAsia="Calibri" w:hAnsi="Calibri"/>
          <w:b/>
          <w:bCs/>
          <w:color w:val="9A7B4F"/>
          <w:sz w:val="23"/>
          <w:szCs w:val="23"/>
        </w:rPr>
        <w:t xml:space="preserve">6.2  The university pathway</w:t>
      </w:r>
    </w:p>
    <w:p>
      <w:pPr>
        <w:spacing w:after="110" w:line="262"/>
        <w:jc w:val="both"/>
      </w:pPr>
      <w:r>
        <w:rPr>
          <w:rFonts w:ascii="Calibri" w:cs="Calibri" w:eastAsia="Calibri" w:hAnsi="Calibri"/>
        </w:rPr>
        <w:t xml:space="preserve">Students sit the HSC and receive an ATAR — the conventional gate is fully preserved. On top of it they carry an </w:t>
      </w:r>
      <w:r>
        <w:rPr>
          <w:rFonts w:ascii="Calibri" w:cs="Calibri" w:eastAsia="Calibri" w:hAnsi="Calibri"/>
          <w:i/>
          <w:iCs/>
        </w:rPr>
        <w:t xml:space="preserve">Athar</w:t>
      </w:r>
      <w:r>
        <w:rPr>
          <w:rFonts w:ascii="Calibri" w:cs="Calibri" w:eastAsia="Calibri" w:hAnsi="Calibri"/>
        </w:rPr>
        <w:t xml:space="preserve"> portfolio of authentic work. With universities increasingly offering early-entry and portfolio-based admission, a graduate who can evidence real capability is advantaged, not disadvantaged. The model widens the door rather than narrowing it.</w:t>
      </w:r>
    </w:p>
    <w:p>
      <w:pPr>
        <w:pStyle w:val="Heading2"/>
        <w:spacing w:after="70" w:before="200"/>
      </w:pPr>
      <w:r>
        <w:rPr>
          <w:rFonts w:ascii="Calibri" w:cs="Calibri" w:eastAsia="Calibri" w:hAnsi="Calibri"/>
          <w:b/>
          <w:bCs/>
          <w:color w:val="9A7B4F"/>
          <w:sz w:val="23"/>
          <w:szCs w:val="23"/>
        </w:rPr>
        <w:t xml:space="preserve">6.3  The workforce &amp; vocational pathway</w:t>
      </w:r>
    </w:p>
    <w:p>
      <w:pPr>
        <w:spacing w:after="110" w:line="262"/>
        <w:jc w:val="both"/>
      </w:pPr>
      <w:r>
        <w:rPr>
          <w:rFonts w:ascii="Calibri" w:cs="Calibri" w:eastAsia="Calibri" w:hAnsi="Calibri"/>
        </w:rPr>
        <w:t xml:space="preserve">Internships through </w:t>
      </w:r>
      <w:r>
        <w:rPr>
          <w:rFonts w:ascii="Calibri" w:cs="Calibri" w:eastAsia="Calibri" w:hAnsi="Calibri"/>
          <w:i/>
          <w:iCs/>
        </w:rPr>
        <w:t xml:space="preserve">Kitab Maftuh</w:t>
      </w:r>
      <w:r>
        <w:rPr>
          <w:rFonts w:ascii="Calibri" w:cs="Calibri" w:eastAsia="Calibri" w:hAnsi="Calibri"/>
        </w:rPr>
        <w:t xml:space="preserve"> produce real references, networks and work samples; VET (Board Endorsed / Content Endorsed) courses can be embedded where relevant; and the portfolio is itself a record of applied competence. A graduate leaves employable, not merely examined.</w:t>
      </w:r>
    </w:p>
    <w:p>
      <w:pPr>
        <w:pStyle w:val="Heading2"/>
        <w:spacing w:after="70" w:before="200"/>
      </w:pPr>
      <w:r>
        <w:rPr>
          <w:rFonts w:ascii="Calibri" w:cs="Calibri" w:eastAsia="Calibri" w:hAnsi="Calibri"/>
          <w:b/>
          <w:bCs/>
          <w:color w:val="9A7B4F"/>
          <w:sz w:val="23"/>
          <w:szCs w:val="23"/>
        </w:rPr>
        <w:t xml:space="preserve">6.4  The graduate — the ‘deep generalist’</w:t>
      </w:r>
    </w:p>
    <w:p>
      <w:pPr>
        <w:spacing w:after="110" w:line="262"/>
        <w:jc w:val="both"/>
      </w:pPr>
      <w:r>
        <w:rPr>
          <w:rFonts w:ascii="Calibri" w:cs="Calibri" w:eastAsia="Calibri" w:hAnsi="Calibri"/>
        </w:rPr>
        <w:t xml:space="preserve">The brief asks for graduates who combine academic excellence, spiritual depth, creative problem-solving and moral conviction. The model </w:t>
      </w:r>
      <w:r>
        <w:rPr>
          <w:rFonts w:ascii="Calibri" w:cs="Calibri" w:eastAsia="Calibri" w:hAnsi="Calibri"/>
          <w:i/>
          <w:iCs/>
        </w:rPr>
        <w:t xml:space="preserve">manufactures</w:t>
      </w:r>
      <w:r>
        <w:rPr>
          <w:rFonts w:ascii="Calibri" w:cs="Calibri" w:eastAsia="Calibri" w:hAnsi="Calibri"/>
        </w:rPr>
        <w:t xml:space="preserve"> that profile by design: rigorous knowledge (</w:t>
      </w:r>
      <w:r>
        <w:rPr>
          <w:rFonts w:ascii="Calibri" w:cs="Calibri" w:eastAsia="Calibri" w:hAnsi="Calibri"/>
          <w:i/>
          <w:iCs/>
        </w:rPr>
        <w:t xml:space="preserve">Manhal</w:t>
      </w:r>
      <w:r>
        <w:rPr>
          <w:rFonts w:ascii="Calibri" w:cs="Calibri" w:eastAsia="Calibri" w:hAnsi="Calibri"/>
        </w:rPr>
        <w:t xml:space="preserve">), applied in consequence (</w:t>
      </w:r>
      <w:r>
        <w:rPr>
          <w:rFonts w:ascii="Calibri" w:cs="Calibri" w:eastAsia="Calibri" w:hAnsi="Calibri"/>
          <w:i/>
          <w:iCs/>
        </w:rPr>
        <w:t xml:space="preserve">’Amal + Kitab Maftuh</w:t>
      </w:r>
      <w:r>
        <w:rPr>
          <w:rFonts w:ascii="Calibri" w:cs="Calibri" w:eastAsia="Calibri" w:hAnsi="Calibri"/>
        </w:rPr>
        <w:t xml:space="preserve">), formed in character (</w:t>
      </w:r>
      <w:r>
        <w:rPr>
          <w:rFonts w:ascii="Calibri" w:cs="Calibri" w:eastAsia="Calibri" w:hAnsi="Calibri"/>
          <w:i/>
          <w:iCs/>
        </w:rPr>
        <w:t xml:space="preserve">Tarbiyah / Adab</w:t>
      </w:r>
      <w:r>
        <w:rPr>
          <w:rFonts w:ascii="Calibri" w:cs="Calibri" w:eastAsia="Calibri" w:hAnsi="Calibri"/>
        </w:rPr>
        <w:t xml:space="preserve">), and evidenced in a body of work (</w:t>
      </w:r>
      <w:r>
        <w:rPr>
          <w:rFonts w:ascii="Calibri" w:cs="Calibri" w:eastAsia="Calibri" w:hAnsi="Calibri"/>
          <w:i/>
          <w:iCs/>
        </w:rPr>
        <w:t xml:space="preserve">Athar</w:t>
      </w:r>
      <w:r>
        <w:rPr>
          <w:rFonts w:ascii="Calibri" w:cs="Calibri" w:eastAsia="Calibri" w:hAnsi="Calibri"/>
        </w:rPr>
        <w:t xml:space="preserve">). A young leader who is excellent </w:t>
      </w:r>
      <w:r>
        <w:rPr>
          <w:rFonts w:ascii="Calibri" w:cs="Calibri" w:eastAsia="Calibri" w:hAnsi="Calibri"/>
          <w:i/>
          <w:iCs/>
        </w:rPr>
        <w:t xml:space="preserve">and</w:t>
      </w:r>
      <w:r>
        <w:rPr>
          <w:rFonts w:ascii="Calibri" w:cs="Calibri" w:eastAsia="Calibri" w:hAnsi="Calibri"/>
        </w:rPr>
        <w:t xml:space="preserve"> grounded — the operational definition of the school’s vision.</w:t>
      </w:r>
    </w:p>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7 · Foundation roadmap &amp; risk</w:t>
      </w:r>
    </w:p>
    <w:p>
      <w:pPr>
        <w:pStyle w:val="Heading2"/>
        <w:spacing w:after="70" w:before="200"/>
      </w:pPr>
      <w:r>
        <w:rPr>
          <w:rFonts w:ascii="Calibri" w:cs="Calibri" w:eastAsia="Calibri" w:hAnsi="Calibri"/>
          <w:b/>
          <w:bCs/>
          <w:color w:val="9A7B4F"/>
          <w:sz w:val="23"/>
          <w:szCs w:val="23"/>
        </w:rPr>
        <w:t xml:space="preserve">7.1  Phases and gateways</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1702"/>
        <w:gridCol w:w="4729"/>
        <w:gridCol w:w="3027"/>
      </w:tblGrid>
      <w:tr>
        <w:trPr>
          <w:tblHeader/>
        </w:trPr>
        <w:tc>
          <w:tcPr>
            <w:tcW w:type="dxa" w:w="1702"/>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Phase</w:t>
            </w:r>
          </w:p>
        </w:tc>
        <w:tc>
          <w:tcPr>
            <w:tcW w:type="dxa" w:w="4729"/>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Focus</w:t>
            </w:r>
          </w:p>
        </w:tc>
        <w:tc>
          <w:tcPr>
            <w:tcW w:type="dxa" w:w="3027"/>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Exit gateway</w:t>
            </w:r>
          </w:p>
        </w:tc>
      </w:tr>
      <w:tr>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0 — Feasibility</w:t>
            </w:r>
          </w:p>
        </w:tc>
        <w:tc>
          <w:tcPr>
            <w:tcW w:type="dxa" w:w="4729"/>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Entity, board, financial model, site search, EOI to NESA</w:t>
            </w:r>
          </w:p>
        </w:tc>
        <w:tc>
          <w:tcPr>
            <w:tcW w:type="dxa" w:w="302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Funded mandate + viable site line-of-sight</w:t>
            </w:r>
          </w:p>
        </w:tc>
      </w:tr>
      <w:tr>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1 — Design &amp; evidence</w:t>
            </w:r>
          </w:p>
        </w:tc>
        <w:tc>
          <w:tcPr>
            <w:tcW w:type="dxa" w:w="4729"/>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Manhal build, platform, policy suite, NESA briefing</w:t>
            </w:r>
          </w:p>
        </w:tc>
        <w:tc>
          <w:tcPr>
            <w:tcW w:type="dxa" w:w="302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Registration application ready</w:t>
            </w:r>
          </w:p>
        </w:tc>
      </w:tr>
      <w:tr>
        <w:tc>
          <w:tcPr>
            <w:tcW w:type="dxa" w:w="1702"/>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2 — Build &amp; approve</w:t>
            </w:r>
          </w:p>
        </w:tc>
        <w:tc>
          <w:tcPr>
            <w:tcW w:type="dxa" w:w="4729"/>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Submit (31 Mar), recruit team, fit-out, enrolment</w:t>
            </w:r>
          </w:p>
        </w:tc>
        <w:tc>
          <w:tcPr>
            <w:tcW w:type="dxa" w:w="3027"/>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Provisional registration granted</w:t>
            </w:r>
          </w:p>
        </w:tc>
      </w:tr>
      <w:tr>
        <w:tc>
          <w:tcPr>
            <w:tcW w:type="dxa" w:w="1702"/>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3 — Launch &amp; prove</w:t>
            </w:r>
          </w:p>
        </w:tc>
        <w:tc>
          <w:tcPr>
            <w:tcW w:type="dxa" w:w="4729"/>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Open Term 1, operate, renew</w:t>
            </w:r>
          </w:p>
        </w:tc>
        <w:tc>
          <w:tcPr>
            <w:tcW w:type="dxa" w:w="3027"/>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Pass first-year inspection (Term 2)</w:t>
            </w:r>
          </w:p>
        </w:tc>
      </w:tr>
    </w:tbl>
    <w:p>
      <w:pPr>
        <w:pStyle w:val="Heading2"/>
        <w:spacing w:after="70" w:before="200"/>
      </w:pPr>
      <w:r>
        <w:rPr>
          <w:rFonts w:ascii="Calibri" w:cs="Calibri" w:eastAsia="Calibri" w:hAnsi="Calibri"/>
          <w:b/>
          <w:bCs/>
          <w:color w:val="9A7B4F"/>
          <w:sz w:val="23"/>
          <w:szCs w:val="23"/>
        </w:rPr>
        <w:t xml:space="preserve">7.2  Master schedule (Gantt)</w:t>
      </w:r>
    </w:p>
    <w:p>
      <w:pPr>
        <w:spacing w:after="110" w:before="50"/>
        <w:jc w:val="center"/>
      </w:pPr>
      <w:r>
        <w:drawing>
          <wp:inline distT="0" distB="0" distL="0" distR="0">
            <wp:extent cx="56959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95950" cy="2495550"/>
                    </a:xfrm>
                    <a:prstGeom prst="rect">
                      <a:avLst/>
                    </a:prstGeom>
                  </pic:spPr>
                </pic:pic>
              </a:graphicData>
            </a:graphic>
          </wp:inline>
        </w:drawing>
      </w:r>
    </w:p>
    <w:p>
      <w:pPr>
        <w:spacing w:after="110" w:line="262"/>
        <w:jc w:val="both"/>
      </w:pPr>
      <w:r>
        <w:rPr>
          <w:rFonts w:ascii="Calibri" w:cs="Calibri" w:eastAsia="Calibri" w:hAnsi="Calibri"/>
        </w:rPr>
        <w:t xml:space="preserve">Three items bind everything: the immovable 31 March application date (~9–10 months before a January open); premises/planning (a State Significant Development can take ~24 months); and the opening-stage Manhal, which must be coverage-complete before opening.</w:t>
      </w:r>
    </w:p>
    <w:p>
      <w:pPr>
        <w:pStyle w:val="Heading2"/>
        <w:spacing w:after="70" w:before="200"/>
      </w:pPr>
      <w:r>
        <w:rPr>
          <w:rFonts w:ascii="Calibri" w:cs="Calibri" w:eastAsia="Calibri" w:hAnsi="Calibri"/>
          <w:b/>
          <w:bCs/>
          <w:color w:val="9A7B4F"/>
          <w:sz w:val="23"/>
          <w:szCs w:val="23"/>
        </w:rPr>
        <w:t xml:space="preserve">7.3  Risk register (pre-mitigation)</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473"/>
        <w:gridCol w:w="3121"/>
        <w:gridCol w:w="1324"/>
        <w:gridCol w:w="4540"/>
      </w:tblGrid>
      <w:tr>
        <w:trPr>
          <w:tblHeader/>
        </w:trPr>
        <w:tc>
          <w:tcPr>
            <w:tcW w:type="dxa" w:w="473"/>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ID</w:t>
            </w:r>
          </w:p>
        </w:tc>
        <w:tc>
          <w:tcPr>
            <w:tcW w:type="dxa" w:w="3121"/>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Risk</w:t>
            </w:r>
          </w:p>
        </w:tc>
        <w:tc>
          <w:tcPr>
            <w:tcW w:type="dxa" w:w="1324"/>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L×I</w:t>
            </w:r>
          </w:p>
        </w:tc>
        <w:tc>
          <w:tcPr>
            <w:tcW w:type="dxa" w:w="4540"/>
            <w:shd w:fill="2F4A3C" w:val="clear"/>
            <w:tcMar>
              <w:top w:type="dxa" w:w="62"/>
              <w:left w:type="dxa" w:w="90"/>
              <w:bottom w:type="dxa" w:w="62"/>
              <w:right w:type="dxa" w:w="90"/>
            </w:tcMar>
            <w:vAlign w:val="center"/>
          </w:tcPr>
          <w:p>
            <w:r>
              <w:rPr>
                <w:rFonts w:ascii="Calibri" w:cs="Calibri" w:eastAsia="Calibri" w:hAnsi="Calibri"/>
                <w:b/>
                <w:bCs/>
                <w:color w:val="FFFFFF"/>
                <w:sz w:val="15"/>
                <w:szCs w:val="15"/>
              </w:rPr>
              <w:t xml:space="preserve">Mitigation</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R1</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NESA registration/accreditation delayed or refused</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Likely × Critical</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Engage NESA early; build evidence from Phase 1; single-stage launch defers accreditation</w:t>
            </w:r>
          </w:p>
        </w:tc>
      </w:tr>
      <w:tr>
        <w:tc>
          <w:tcPr>
            <w:tcW w:type="dxa" w:w="47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R2</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Premises / planning delay or no site</w:t>
            </w:r>
          </w:p>
        </w:tc>
        <w:tc>
          <w:tcPr>
            <w:tcW w:type="dxa" w:w="1324"/>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Possible × Critical</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Start in Phase 0; interim leased premises; planning advisers</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R3</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Manhal not coverage-complete at opening</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Possible × Severe</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Coverage audit; single-stage scope; AI-assisted authoring + QA; buffer</w:t>
            </w:r>
          </w:p>
        </w:tc>
      </w:tr>
      <w:tr>
        <w:tc>
          <w:tcPr>
            <w:tcW w:type="dxa" w:w="47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R4</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Cannot recruit aligned, accredited educators</w:t>
            </w:r>
          </w:p>
        </w:tc>
        <w:tc>
          <w:tcPr>
            <w:tcW w:type="dxa" w:w="1324"/>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Likely × Severe</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Early recruitment; grow-your-own PD; hire for character then train; partner sessionals</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R5</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Financial viability shortfall (B2.5)</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Unlikely × Critical</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Conservative enrolment; staged scaling; sponsor runway; sensitivity testing</w:t>
            </w:r>
          </w:p>
        </w:tc>
      </w:tr>
      <w:tr>
        <w:tc>
          <w:tcPr>
            <w:tcW w:type="dxa" w:w="47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R6</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Family reluctance; soft enrolment</w:t>
            </w:r>
          </w:p>
        </w:tc>
        <w:tc>
          <w:tcPr>
            <w:tcW w:type="dxa" w:w="1324"/>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Possible × Major</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Transparent evidence; clear HSC pathway messaging</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R7</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Model-fidelity drift to conventional teaching</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Likely × Major</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Fidelity rubric; PD; hire for alignment; measure it</w:t>
            </w:r>
          </w:p>
        </w:tc>
      </w:tr>
      <w:tr>
        <w:tc>
          <w:tcPr>
            <w:tcW w:type="dxa" w:w="47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R8</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Tech stack fails to assure coverage</w:t>
            </w:r>
          </w:p>
        </w:tc>
        <w:tc>
          <w:tcPr>
            <w:tcW w:type="dxa" w:w="1324"/>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Unlikely × Severe</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Proven mainstream LMS first; pilot before launch</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R9</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Inspection finds welfare/curriculum gaps</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Possible × Severe</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Strand A &amp; B readiness from day one; mock inspection</w:t>
            </w:r>
          </w:p>
        </w:tc>
      </w:tr>
      <w:tr>
        <w:tc>
          <w:tcPr>
            <w:tcW w:type="dxa" w:w="473"/>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R11</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Teacher accreditation not complete in time</w:t>
            </w:r>
          </w:p>
        </w:tc>
        <w:tc>
          <w:tcPr>
            <w:tcW w:type="dxa" w:w="1324"/>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Likely × Moderate</w:t>
            </w:r>
          </w:p>
        </w:tc>
        <w:tc>
          <w:tcPr>
            <w:tcW w:type="dxa" w:w="4540"/>
            <w:shd w:fill="FFFFFF"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Track in recruitment; support staff through NESA early</w:t>
            </w:r>
          </w:p>
        </w:tc>
      </w:tr>
      <w:tr>
        <w:tc>
          <w:tcPr>
            <w:tcW w:type="dxa" w:w="473"/>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4"/>
                <w:szCs w:val="14"/>
              </w:rPr>
              <w:t xml:space="preserve">R12</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Insufficient/unsafe internship supply</w:t>
            </w:r>
          </w:p>
        </w:tc>
        <w:tc>
          <w:tcPr>
            <w:tcW w:type="dxa" w:w="1324"/>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Possible × Moderate</w:t>
            </w:r>
          </w:p>
        </w:tc>
        <w:tc>
          <w:tcPr>
            <w:tcW w:type="dxa" w:w="4540"/>
            <w:shd w:fill="EEF1EC" w:val="clear"/>
            <w:tcMar>
              <w:top w:type="dxa" w:w="58"/>
              <w:left w:type="dxa" w:w="90"/>
              <w:bottom w:type="dxa" w:w="58"/>
              <w:right w:type="dxa" w:w="90"/>
            </w:tcMar>
            <w:vAlign w:val="center"/>
          </w:tcPr>
          <w:p>
            <w:pPr>
              <w:spacing w:after="0" w:line="236"/>
            </w:pPr>
            <w:r>
              <w:rPr>
                <w:rFonts w:ascii="Calibri" w:cs="Calibri" w:eastAsia="Calibri" w:hAnsi="Calibri"/>
                <w:sz w:val="14"/>
                <w:szCs w:val="14"/>
              </w:rPr>
              <w:t xml:space="preserve">Build host network early; WWCC + duty-of-care; vet every site</w:t>
            </w:r>
          </w:p>
        </w:tc>
      </w:tr>
    </w:tbl>
    <w:p>
      <w:pPr>
        <w:spacing w:after="110" w:before="50"/>
        <w:jc w:val="center"/>
      </w:pPr>
      <w:r>
        <w:drawing>
          <wp:inline distT="0" distB="0" distL="0" distR="0">
            <wp:extent cx="35433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43300" cy="3524250"/>
                    </a:xfrm>
                    <a:prstGeom prst="rect">
                      <a:avLst/>
                    </a:prstGeom>
                  </pic:spPr>
                </pic:pic>
              </a:graphicData>
            </a:graphic>
          </wp:inline>
        </w:drawing>
      </w:r>
    </w:p>
    <w:p>
      <w:pPr>
        <w:pStyle w:val="Heading2"/>
        <w:spacing w:after="70" w:before="200"/>
      </w:pPr>
      <w:r>
        <w:rPr>
          <w:rFonts w:ascii="Calibri" w:cs="Calibri" w:eastAsia="Calibri" w:hAnsi="Calibri"/>
          <w:b/>
          <w:bCs/>
          <w:color w:val="9A7B4F"/>
          <w:sz w:val="23"/>
          <w:szCs w:val="23"/>
        </w:rPr>
        <w:t xml:space="preserve">7.4  Scaling logic — the single-stage launch</w:t>
      </w:r>
    </w:p>
    <w:tbl>
      <w:tblPr>
        <w:tblW w:type="dxa" w:w="9458"/>
        <w:tblBorders>
          <w:top w:val="single" w:color="F4EEE2" w:sz="2"/>
          <w:left w:val="single" w:color="9A7B4F" w:sz="26"/>
          <w:bottom w:val="single" w:color="F4EEE2" w:sz="2"/>
          <w:right w:val="single" w:color="F4EEE2" w:sz="2"/>
          <w:insideH w:val="single" w:color="auto" w:sz="4"/>
          <w:insideV w:val="single" w:color="auto" w:sz="4"/>
        </w:tblBorders>
      </w:tblPr>
      <w:tblGrid>
        <w:gridCol w:w="9458"/>
      </w:tblGrid>
      <w:tr>
        <w:tc>
          <w:tcPr>
            <w:tcW w:type="dxa" w:w="9458"/>
            <w:shd w:fill="F4EEE2" w:val="clear"/>
            <w:tcMar>
              <w:top w:type="dxa" w:w="110"/>
              <w:left w:type="dxa" w:w="180"/>
              <w:bottom w:type="dxa" w:w="110"/>
              <w:right w:type="dxa" w:w="180"/>
            </w:tcMar>
          </w:tcPr>
          <w:p>
            <w:pPr>
              <w:spacing w:after="50"/>
            </w:pPr>
            <w:r>
              <w:rPr>
                <w:rFonts w:ascii="Calibri" w:cs="Calibri" w:eastAsia="Calibri" w:hAnsi="Calibri"/>
                <w:b/>
                <w:bCs/>
                <w:color w:val="9A7B4F"/>
                <w:sz w:val="20"/>
                <w:szCs w:val="20"/>
              </w:rPr>
              <w:t xml:space="preserve">The move that de-risks everything</w:t>
            </w:r>
          </w:p>
          <w:p>
            <w:pPr>
              <w:spacing w:after="0" w:line="258"/>
              <w:jc w:val="left"/>
            </w:pPr>
            <w:r>
              <w:rPr>
                <w:rFonts w:ascii="Calibri" w:cs="Calibri" w:eastAsia="Calibri" w:hAnsi="Calibri"/>
              </w:rPr>
              <w:t xml:space="preserve">Open with Year 7 only, then add one year-level a year. It shrinks the Year-1 Manhal to a single stage, needs a smaller team and less capital, and </w:t>
            </w:r>
            <w:r>
              <w:rPr>
                <w:rFonts w:ascii="Calibri" w:cs="Calibri" w:eastAsia="Calibri" w:hAnsi="Calibri"/>
                <w:i/>
                <w:iCs/>
              </w:rPr>
              <w:t xml:space="preserve">defers HSC accreditation</w:t>
            </w:r>
            <w:r>
              <w:rPr>
                <w:rFonts w:ascii="Calibri" w:cs="Calibri" w:eastAsia="Calibri" w:hAnsi="Calibri"/>
              </w:rPr>
              <w:t xml:space="preserve"> (no senior students for ~4–5 years) so registration is secured first and accreditation added as the cohort reaches Tafaqquh and Riyadah. A terrifying ‘open a whole school’ problem becomes a manageable ‘open one year group well’ problem.</w:t>
            </w:r>
          </w:p>
        </w:tc>
      </w:tr>
    </w:tbl>
    <w:p>
      <w:r>
        <w:br w:type="page"/>
      </w:r>
    </w:p>
    <w:p>
      <w:pPr>
        <w:pStyle w:val="Heading1"/>
        <w:pBdr>
          <w:bottom w:val="single" w:color="9A7B4F" w:sz="10" w:space="4"/>
        </w:pBdr>
        <w:spacing w:after="120" w:before="300"/>
      </w:pPr>
      <w:r>
        <w:rPr>
          <w:rFonts w:ascii="Calibri" w:cs="Calibri" w:eastAsia="Calibri" w:hAnsi="Calibri"/>
          <w:b/>
          <w:bCs/>
          <w:color w:val="2F4A3C"/>
          <w:sz w:val="30"/>
          <w:szCs w:val="30"/>
        </w:rPr>
        <w:t xml:space="preserve">Part 8 · Compliance, deployment &amp; sources</w:t>
      </w:r>
    </w:p>
    <w:p>
      <w:pPr>
        <w:pStyle w:val="Heading2"/>
        <w:spacing w:after="70" w:before="200"/>
      </w:pPr>
      <w:r>
        <w:rPr>
          <w:rFonts w:ascii="Calibri" w:cs="Calibri" w:eastAsia="Calibri" w:hAnsi="Calibri"/>
          <w:b/>
          <w:bCs/>
          <w:color w:val="9A7B4F"/>
          <w:sz w:val="23"/>
          <w:szCs w:val="23"/>
        </w:rPr>
        <w:t xml:space="preserve">Appendix A — NESA compliance crosswalk</w:t>
      </w:r>
    </w:p>
    <w:tbl>
      <w:tblPr>
        <w:tblW w:type="dxa" w:w="9458"/>
        <w:tblBorders>
          <w:top w:val="single" w:color="CCCCCC" w:sz="1"/>
          <w:left w:val="single" w:color="CCCCCC" w:sz="1"/>
          <w:bottom w:val="single" w:color="CCCCCC" w:sz="1"/>
          <w:right w:val="single" w:color="CCCCCC" w:sz="1"/>
          <w:insideH w:val="single" w:color="DDDDDD" w:sz="1"/>
          <w:insideV w:val="single" w:color="DDDDDD" w:sz="1"/>
        </w:tblBorders>
      </w:tblPr>
      <w:tblGrid>
        <w:gridCol w:w="946"/>
        <w:gridCol w:w="3121"/>
        <w:gridCol w:w="5391"/>
      </w:tblGrid>
      <w:tr>
        <w:trPr>
          <w:tblHeader/>
        </w:trPr>
        <w:tc>
          <w:tcPr>
            <w:tcW w:type="dxa" w:w="946"/>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Req.</w:t>
            </w:r>
          </w:p>
        </w:tc>
        <w:tc>
          <w:tcPr>
            <w:tcW w:type="dxa" w:w="312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Requirement</w:t>
            </w:r>
          </w:p>
        </w:tc>
        <w:tc>
          <w:tcPr>
            <w:tcW w:type="dxa" w:w="5391"/>
            <w:shd w:fill="2F4A3C" w:val="clear"/>
            <w:tcMar>
              <w:top w:type="dxa" w:w="62"/>
              <w:left w:type="dxa" w:w="90"/>
              <w:bottom w:type="dxa" w:w="62"/>
              <w:right w:type="dxa" w:w="90"/>
            </w:tcMar>
            <w:vAlign w:val="center"/>
          </w:tcPr>
          <w:p>
            <w:r>
              <w:rPr>
                <w:rFonts w:ascii="Calibri" w:cs="Calibri" w:eastAsia="Calibri" w:hAnsi="Calibri"/>
                <w:b/>
                <w:bCs/>
                <w:color w:val="FFFFFF"/>
                <w:sz w:val="16"/>
                <w:szCs w:val="16"/>
              </w:rPr>
              <w:t xml:space="preserve">Owner &amp; key evidence</w:t>
            </w:r>
          </w:p>
        </w:tc>
      </w:tr>
      <w:tr>
        <w:tc>
          <w:tcPr>
            <w:tcW w:type="dxa" w:w="94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B1</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Proprietors &amp; Principals</w:t>
            </w:r>
          </w:p>
        </w:tc>
        <w:tc>
          <w:tcPr>
            <w:tcW w:type="dxa" w:w="539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Board — fit-and-proper persons; Principal suitability</w:t>
            </w:r>
          </w:p>
        </w:tc>
      </w:tr>
      <w:tr>
        <w:tc>
          <w:tcPr>
            <w:tcW w:type="dxa" w:w="94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B2</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Management &amp; operation</w:t>
            </w:r>
          </w:p>
        </w:tc>
        <w:tc>
          <w:tcPr>
            <w:tcW w:type="dxa" w:w="539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Board — governance, conflict-of-interest, audited financial viability</w:t>
            </w:r>
          </w:p>
        </w:tc>
      </w:tr>
      <w:tr>
        <w:tc>
          <w:tcPr>
            <w:tcW w:type="dxa" w:w="94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B3</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Staff</w:t>
            </w:r>
          </w:p>
        </w:tc>
        <w:tc>
          <w:tcPr>
            <w:tcW w:type="dxa" w:w="539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Compliance — NESA-accredited teachers; induction/mentoring/PD</w:t>
            </w:r>
          </w:p>
        </w:tc>
      </w:tr>
      <w:tr>
        <w:tc>
          <w:tcPr>
            <w:tcW w:type="dxa" w:w="94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B4</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Curriculum</w:t>
            </w:r>
          </w:p>
        </w:tc>
        <w:tc>
          <w:tcPr>
            <w:tcW w:type="dxa" w:w="539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Learning Architecture — syllabus-based programs; coverage audit</w:t>
            </w:r>
          </w:p>
        </w:tc>
      </w:tr>
      <w:tr>
        <w:tc>
          <w:tcPr>
            <w:tcW w:type="dxa" w:w="94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B5/B6</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Premises &amp; facilities</w:t>
            </w:r>
          </w:p>
        </w:tc>
        <w:tc>
          <w:tcPr>
            <w:tcW w:type="dxa" w:w="539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Business Manager — compliant, fit-for-purpose, safe spaces</w:t>
            </w:r>
          </w:p>
        </w:tc>
      </w:tr>
      <w:tr>
        <w:tc>
          <w:tcPr>
            <w:tcW w:type="dxa" w:w="94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B7</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Enrolment &amp; attendance</w:t>
            </w:r>
          </w:p>
        </w:tc>
        <w:tc>
          <w:tcPr>
            <w:tcW w:type="dxa" w:w="539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Operations — policies and records (flexible time, attended week)</w:t>
            </w:r>
          </w:p>
        </w:tc>
      </w:tr>
      <w:tr>
        <w:tc>
          <w:tcPr>
            <w:tcW w:type="dxa" w:w="94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B8</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Safe &amp; supportive environment</w:t>
            </w:r>
          </w:p>
        </w:tc>
        <w:tc>
          <w:tcPr>
            <w:tcW w:type="dxa" w:w="539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Designated officer — child protection, welfare (Strand A)</w:t>
            </w:r>
          </w:p>
        </w:tc>
      </w:tr>
      <w:tr>
        <w:tc>
          <w:tcPr>
            <w:tcW w:type="dxa" w:w="94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B9</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Discipline</w:t>
            </w:r>
          </w:p>
        </w:tc>
        <w:tc>
          <w:tcPr>
            <w:tcW w:type="dxa" w:w="539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HoS — fair discipline policy</w:t>
            </w:r>
          </w:p>
        </w:tc>
      </w:tr>
      <w:tr>
        <w:tc>
          <w:tcPr>
            <w:tcW w:type="dxa" w:w="946"/>
            <w:shd w:fill="EEF1EC"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C1/C2</w:t>
            </w:r>
          </w:p>
        </w:tc>
        <w:tc>
          <w:tcPr>
            <w:tcW w:type="dxa" w:w="312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RoSA &amp; HSC curriculum</w:t>
            </w:r>
          </w:p>
        </w:tc>
        <w:tc>
          <w:tcPr>
            <w:tcW w:type="dxa" w:w="5391"/>
            <w:shd w:fill="EEF1EC"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Compliance — mandatory courses/hours; HSC Board Developed Courses &amp; external exams</w:t>
            </w:r>
          </w:p>
        </w:tc>
      </w:tr>
      <w:tr>
        <w:tc>
          <w:tcPr>
            <w:tcW w:type="dxa" w:w="946"/>
            <w:shd w:fill="FFFFFF" w:val="clear"/>
            <w:tcMar>
              <w:top w:type="dxa" w:w="58"/>
              <w:left w:type="dxa" w:w="90"/>
              <w:bottom w:type="dxa" w:w="58"/>
              <w:right w:type="dxa" w:w="90"/>
            </w:tcMar>
            <w:vAlign w:val="center"/>
          </w:tcPr>
          <w:p>
            <w:pPr>
              <w:spacing w:after="0" w:line="236"/>
            </w:pPr>
            <w:r>
              <w:rPr>
                <w:rFonts w:ascii="Calibri" w:cs="Calibri" w:eastAsia="Calibri" w:hAnsi="Calibri"/>
                <w:b/>
                <w:bCs/>
                <w:color w:val="2F4A3C"/>
                <w:sz w:val="15"/>
                <w:szCs w:val="15"/>
              </w:rPr>
              <w:t xml:space="preserve">C3</w:t>
            </w:r>
          </w:p>
        </w:tc>
        <w:tc>
          <w:tcPr>
            <w:tcW w:type="dxa" w:w="312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Quality of educational program</w:t>
            </w:r>
          </w:p>
        </w:tc>
        <w:tc>
          <w:tcPr>
            <w:tcW w:type="dxa" w:w="5391"/>
            <w:shd w:fill="FFFFFF" w:val="clear"/>
            <w:tcMar>
              <w:top w:type="dxa" w:w="58"/>
              <w:left w:type="dxa" w:w="90"/>
              <w:bottom w:type="dxa" w:w="58"/>
              <w:right w:type="dxa" w:w="90"/>
            </w:tcMar>
            <w:vAlign w:val="center"/>
          </w:tcPr>
          <w:p>
            <w:pPr>
              <w:spacing w:after="0" w:line="236"/>
            </w:pPr>
            <w:r>
              <w:rPr>
                <w:rFonts w:ascii="Calibri" w:cs="Calibri" w:eastAsia="Calibri" w:hAnsi="Calibri"/>
                <w:sz w:val="15"/>
                <w:szCs w:val="15"/>
              </w:rPr>
              <w:t xml:space="preserve">HoS — standard of teaching &amp; quality of learning (Strand B)</w:t>
            </w:r>
          </w:p>
        </w:tc>
      </w:tr>
    </w:tbl>
    <w:p>
      <w:pPr>
        <w:pStyle w:val="Heading2"/>
        <w:spacing w:after="70" w:before="200"/>
      </w:pPr>
      <w:r>
        <w:rPr>
          <w:rFonts w:ascii="Calibri" w:cs="Calibri" w:eastAsia="Calibri" w:hAnsi="Calibri"/>
          <w:b/>
          <w:bCs/>
          <w:color w:val="9A7B4F"/>
          <w:sz w:val="23"/>
          <w:szCs w:val="23"/>
        </w:rPr>
        <w:t xml:space="preserve">Appendix B — Using this with the Board</w:t>
      </w:r>
    </w:p>
    <w:p>
      <w:pPr>
        <w:pStyle w:val="ListParagraph"/>
        <w:numPr>
          <w:ilvl w:val="0"/>
          <w:numId w:val="2"/>
        </w:numPr>
        <w:spacing w:after="64" w:line="256"/>
      </w:pPr>
      <w:r>
        <w:rPr>
          <w:rFonts w:ascii="Calibri" w:cs="Calibri" w:eastAsia="Calibri" w:hAnsi="Calibri"/>
          <w:b/>
          <w:bCs/>
        </w:rPr>
        <w:t xml:space="preserve">Open with the connecting idea and the named model </w:t>
      </w:r>
      <w:r>
        <w:rPr>
          <w:rFonts w:ascii="Calibri" w:cs="Calibri" w:eastAsia="Calibri" w:hAnsi="Calibri"/>
        </w:rPr>
        <w:t xml:space="preserve">— faith at the centre, Mind/Hands/Heart as one journey; it shows a systems thinker with a brand.</w:t>
      </w:r>
    </w:p>
    <w:p>
      <w:pPr>
        <w:pStyle w:val="ListParagraph"/>
        <w:numPr>
          <w:ilvl w:val="0"/>
          <w:numId w:val="2"/>
        </w:numPr>
        <w:spacing w:after="64" w:line="256"/>
      </w:pPr>
      <w:r>
        <w:rPr>
          <w:rFonts w:ascii="Calibri" w:cs="Calibri" w:eastAsia="Calibri" w:hAnsi="Calibri"/>
          <w:b/>
          <w:bCs/>
        </w:rPr>
        <w:t xml:space="preserve">Show the worked ’Amal Project, the org chart and the Gantt </w:t>
      </w:r>
      <w:r>
        <w:rPr>
          <w:rFonts w:ascii="Calibri" w:cs="Calibri" w:eastAsia="Calibri" w:hAnsi="Calibri"/>
        </w:rPr>
        <w:t xml:space="preserve">— concreteness is what separates you.</w:t>
      </w:r>
    </w:p>
    <w:p>
      <w:pPr>
        <w:pStyle w:val="ListParagraph"/>
        <w:numPr>
          <w:ilvl w:val="0"/>
          <w:numId w:val="2"/>
        </w:numPr>
        <w:spacing w:after="64" w:line="256"/>
      </w:pPr>
      <w:r>
        <w:rPr>
          <w:rFonts w:ascii="Calibri" w:cs="Calibri" w:eastAsia="Calibri" w:hAnsi="Calibri"/>
          <w:b/>
          <w:bCs/>
        </w:rPr>
        <w:t xml:space="preserve">Lead the risk conversation with the single-stage launch </w:t>
      </w:r>
      <w:r>
        <w:rPr>
          <w:rFonts w:ascii="Calibri" w:cs="Calibri" w:eastAsia="Calibri" w:hAnsi="Calibri"/>
        </w:rPr>
        <w:t xml:space="preserve">— the answer that makes the whole thing safe to back.</w:t>
      </w:r>
    </w:p>
    <w:p>
      <w:pPr>
        <w:pStyle w:val="ListParagraph"/>
        <w:numPr>
          <w:ilvl w:val="0"/>
          <w:numId w:val="2"/>
        </w:numPr>
        <w:spacing w:after="64" w:line="256"/>
      </w:pPr>
      <w:r>
        <w:rPr>
          <w:rFonts w:ascii="Calibri" w:cs="Calibri" w:eastAsia="Calibri" w:hAnsi="Calibri"/>
          <w:b/>
          <w:bCs/>
        </w:rPr>
        <w:t xml:space="preserve">Anchor salary to the NSW principal benchmark </w:t>
      </w:r>
      <w:r>
        <w:rPr>
          <w:rFonts w:ascii="Calibri" w:cs="Calibri" w:eastAsia="Calibri" w:hAnsi="Calibri"/>
        </w:rPr>
        <w:t xml:space="preserve">— confident, evidence-based, not aspirational.</w:t>
      </w:r>
    </w:p>
    <w:p>
      <w:pPr>
        <w:pStyle w:val="Heading2"/>
        <w:spacing w:after="70" w:before="200"/>
      </w:pPr>
      <w:r>
        <w:rPr>
          <w:rFonts w:ascii="Calibri" w:cs="Calibri" w:eastAsia="Calibri" w:hAnsi="Calibri"/>
          <w:b/>
          <w:bCs/>
          <w:color w:val="9A7B4F"/>
          <w:sz w:val="23"/>
          <w:szCs w:val="23"/>
        </w:rPr>
        <w:t xml:space="preserve">Appendix C — Sources &amp; assumptions</w:t>
      </w:r>
    </w:p>
    <w:p>
      <w:pPr>
        <w:spacing w:after="70"/>
        <w:jc w:val="both"/>
      </w:pPr>
      <w:r>
        <w:rPr>
          <w:rFonts w:ascii="Calibri" w:cs="Calibri" w:eastAsia="Calibri" w:hAnsi="Calibri"/>
        </w:rPr>
        <w:t xml:space="preserve">Grounded in current NESA guidance (registration process; Sept-2023 Non-government Schools Manual Part B/C; mandatory curriculum &amp; hours; teacher-accreditation requirements; ACE Rules); the NSW Department of Education salary scale effective 9 October 2025 and IEU/AIS independent-sector loadings; the published Charles Sturt Engineering model; Big Picture Learning (Australia: 40+ campuses, incl. NSW; and internationally) and the Mastery Transcript Consortium; Templestowe College, High Tech High, XP and School 21; and established frameworks (Gold-Standard PBL, Stanford design thinking, Bloom’s and SOLO taxonomies, UDL). Names are proposals for review with the school’s scholars and community. Ratios, FTE counts, time allocations and enrolment sizing are planning assumptions. Verify all specific NESA and salary figures against the live sources before relying on them in writing.</w:t>
      </w:r>
    </w:p>
    <w:p>
      <w:pPr>
        <w:pBdr>
          <w:top w:val="single" w:color="9A7B4F" w:sz="8" w:space="6"/>
        </w:pBdr>
        <w:spacing w:before="40"/>
      </w:pPr>
      <w:r>
        <w:rPr>
          <w:rFonts w:ascii="Calibri" w:cs="Calibri" w:eastAsia="Calibri" w:hAnsi="Calibri"/>
          <w:i/>
          <w:iCs/>
          <w:color w:val="55615A"/>
          <w:sz w:val="16"/>
          <w:szCs w:val="16"/>
        </w:rPr>
        <w:t xml:space="preserve">Confidential preparation document · a candidate’s proposed architecture, not an official school plan.</w:t>
      </w:r>
    </w:p>
    <w:sectPr>
      <w:headerReference w:type="default" r:id="rId7"/>
      <w:footerReference w:type="default" r:id="rId8"/>
      <w:pgSz w:w="11906" w:h="16838" w:orient="portrait"/>
      <w:pgMar w:top="1224" w:right="1224" w:bottom="105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15A"/>
        <w:sz w:val="14"/>
        <w:szCs w:val="14"/>
      </w:rPr>
      <w:t xml:space="preserve">Confidential · Page </w:t>
    </w:r>
    <w:r>
      <w:rPr>
        <w:rFonts w:ascii="Calibri" w:cs="Calibri" w:eastAsia="Calibri" w:hAnsi="Calibri"/>
        <w:color w:val="5561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4"/>
      </w:pBdr>
      <w:jc w:val="right"/>
    </w:pPr>
    <w:r>
      <w:rPr>
        <w:rFonts w:ascii="Calibri" w:cs="Calibri" w:eastAsia="Calibri" w:hAnsi="Calibri"/>
        <w:color w:val="55615A"/>
        <w:sz w:val="14"/>
        <w:szCs w:val="14"/>
      </w:rPr>
      <w:t xml:space="preserve">The Itqan Way · From Vision to a Working School · Dr Khaled Altarawneh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9A7B4F"/>
      </w:rPr>
    </w:lvl>
  </w:abstractNum>
  <w:abstractNum w:abstractNumId="3" w15:restartNumberingAfterBreak="0">
    <w:multiLevelType w:val="hybridMultilevel"/>
    <w:lvl w:ilvl="0" w15:tentative="1">
      <w:start w:val="1"/>
      <w:numFmt w:val="decimal"/>
      <w:lvlText w:val="%1."/>
      <w:lvlJc w:val="left"/>
      <w:pPr>
        <w:ind w:left="420" w:hanging="300"/>
      </w:pPr>
      <w:rPr>
        <w:b/>
        <w:bCs/>
        <w:color w:val="2F4A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2F4A3C"/>
      <w:sz w:val="30"/>
      <w:szCs w:val="30"/>
    </w:rPr>
  </w:style>
  <w:style w:type="paragraph" w:styleId="Heading2">
    <w:name w:val="Heading 2"/>
    <w:basedOn w:val="Normal"/>
    <w:next w:val="Normal"/>
    <w:qFormat/>
    <w:pPr>
      <w:spacing w:after="70" w:before="200"/>
      <w:outlineLvl w:val="1"/>
    </w:pPr>
    <w:rPr>
      <w:rFonts w:ascii="Calibri" w:cs="Calibri" w:eastAsia="Calibri" w:hAnsi="Calibri"/>
      <w:b/>
      <w:bCs/>
      <w:color w:val="9A7B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15fec1090a6a62c0ac024008078ec9362d7ab3.png"/><Relationship Id="rId10" Type="http://schemas.openxmlformats.org/officeDocument/2006/relationships/image" Target="media/07b04c2e89a11a68fbe145d5a31a473afe9d454b.png"/><Relationship Id="rId11" Type="http://schemas.openxmlformats.org/officeDocument/2006/relationships/image" Target="media/9d0ee782abbe7ba3fe0fc78a14abfda88cc101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2026-05-29T03:50:46.497Z</dcterms:created>
  <dcterms:modified xsi:type="dcterms:W3CDTF">2026-05-29T03:50:46.511Z</dcterms:modified>
</cp:coreProperties>
</file>

<file path=docProps/custom.xml><?xml version="1.0" encoding="utf-8"?>
<Properties xmlns="http://schemas.openxmlformats.org/officeDocument/2006/custom-properties" xmlns:vt="http://schemas.openxmlformats.org/officeDocument/2006/docPropsVTypes"/>
</file>