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9A7B4F"/>
          <w:spacing w:val="40"/>
          <w:sz w:val="15"/>
          <w:szCs w:val="15"/>
        </w:rPr>
        <w:t xml:space="preserve">IDENTITY &amp; PEDAGOGY AT A GLANCE</w:t>
      </w:r>
    </w:p>
    <w:p>
      <w:pPr>
        <w:pBdr>
          <w:bottom w:val="single" w:color="2F4A3C" w:sz="12" w:space="4"/>
        </w:pBdr>
        <w:spacing w:after="30"/>
      </w:pPr>
      <w:r>
        <w:rPr>
          <w:rFonts w:ascii="Calibri" w:cs="Calibri" w:eastAsia="Calibri" w:hAnsi="Calibri"/>
          <w:b/>
          <w:bCs/>
          <w:color w:val="2F4A3C"/>
          <w:sz w:val="34"/>
          <w:szCs w:val="34"/>
        </w:rPr>
        <w:t xml:space="preserve">The Itqan Way</w:t>
      </w:r>
    </w:p>
    <w:p>
      <w:pPr>
        <w:spacing w:after="120" w:line="248"/>
        <w:jc w:val="both"/>
      </w:pPr>
      <w:r>
        <w:rPr>
          <w:rFonts w:ascii="Calibri" w:cs="Calibri" w:eastAsia="Calibri" w:hAnsi="Calibri"/>
        </w:rPr>
        <w:t xml:space="preserve">One principle holds everything together — </w:t>
      </w:r>
      <w:r>
        <w:rPr>
          <w:rFonts w:ascii="Calibri" w:cs="Calibri" w:eastAsia="Calibri" w:hAnsi="Calibri"/>
          <w:b/>
          <w:bCs/>
          <w:i/>
          <w:iCs/>
          <w:color w:val="2F4A3C"/>
        </w:rPr>
        <w:t xml:space="preserve">Itqan</w:t>
      </w:r>
      <w:r>
        <w:rPr>
          <w:rFonts w:ascii="Calibri" w:cs="Calibri" w:eastAsia="Calibri" w:hAnsi="Calibri"/>
        </w:rPr>
        <w:t xml:space="preserve">: excellence in whatever your hands turn to, performed as worship. From that centre, </w:t>
      </w:r>
      <w:r>
        <w:rPr>
          <w:rFonts w:ascii="Calibri" w:cs="Calibri" w:eastAsia="Calibri" w:hAnsi="Calibri"/>
          <w:b/>
          <w:bCs/>
        </w:rPr>
        <w:t xml:space="preserve">Mind</w:t>
      </w:r>
      <w:r>
        <w:rPr>
          <w:rFonts w:ascii="Calibri" w:cs="Calibri" w:eastAsia="Calibri" w:hAnsi="Calibri"/>
        </w:rPr>
        <w:t xml:space="preserve"> (</w:t>
      </w:r>
      <w:r>
        <w:rPr>
          <w:rFonts w:ascii="Calibri" w:cs="Calibri" w:eastAsia="Calibri" w:hAnsi="Calibri"/>
          <w:i/>
          <w:iCs/>
        </w:rPr>
        <w:t xml:space="preserve">‘ilm</w:t>
      </w:r>
      <w:r>
        <w:rPr>
          <w:rFonts w:ascii="Calibri" w:cs="Calibri" w:eastAsia="Calibri" w:hAnsi="Calibri"/>
        </w:rPr>
        <w:t xml:space="preserve">), </w:t>
      </w:r>
      <w:r>
        <w:rPr>
          <w:rFonts w:ascii="Calibri" w:cs="Calibri" w:eastAsia="Calibri" w:hAnsi="Calibri"/>
          <w:b/>
          <w:bCs/>
        </w:rPr>
        <w:t xml:space="preserve">Hands</w:t>
      </w:r>
      <w:r>
        <w:rPr>
          <w:rFonts w:ascii="Calibri" w:cs="Calibri" w:eastAsia="Calibri" w:hAnsi="Calibri"/>
        </w:rPr>
        <w:t xml:space="preserve"> (</w:t>
      </w:r>
      <w:r>
        <w:rPr>
          <w:rFonts w:ascii="Calibri" w:cs="Calibri" w:eastAsia="Calibri" w:hAnsi="Calibri"/>
          <w:i/>
          <w:iCs/>
        </w:rPr>
        <w:t xml:space="preserve">‘amal</w:t>
      </w:r>
      <w:r>
        <w:rPr>
          <w:rFonts w:ascii="Calibri" w:cs="Calibri" w:eastAsia="Calibri" w:hAnsi="Calibri"/>
        </w:rPr>
        <w:t xml:space="preserve">) and </w:t>
      </w:r>
      <w:r>
        <w:rPr>
          <w:rFonts w:ascii="Calibri" w:cs="Calibri" w:eastAsia="Calibri" w:hAnsi="Calibri"/>
          <w:b/>
          <w:bCs/>
        </w:rPr>
        <w:t xml:space="preserve">Heart</w:t>
      </w:r>
      <w:r>
        <w:rPr>
          <w:rFonts w:ascii="Calibri" w:cs="Calibri" w:eastAsia="Calibri" w:hAnsi="Calibri"/>
        </w:rPr>
        <w:t xml:space="preserve"> (</w:t>
      </w:r>
      <w:r>
        <w:rPr>
          <w:rFonts w:ascii="Calibri" w:cs="Calibri" w:eastAsia="Calibri" w:hAnsi="Calibri"/>
          <w:i/>
          <w:iCs/>
        </w:rPr>
        <w:t xml:space="preserve">iman</w:t>
      </w:r>
      <w:r>
        <w:rPr>
          <w:rFonts w:ascii="Calibri" w:cs="Calibri" w:eastAsia="Calibri" w:hAnsi="Calibri"/>
        </w:rPr>
        <w:t xml:space="preserve">) become one journey, not three subjects. Knowledge becomes action, action is done with excellence, and the purpose of reading the world (</w:t>
      </w:r>
      <w:r>
        <w:rPr>
          <w:rFonts w:ascii="Calibri" w:cs="Calibri" w:eastAsia="Calibri" w:hAnsi="Calibri"/>
          <w:i/>
          <w:iCs/>
        </w:rPr>
        <w:t xml:space="preserve">Iqra</w:t>
      </w:r>
      <w:r>
        <w:rPr>
          <w:rFonts w:ascii="Calibri" w:cs="Calibri" w:eastAsia="Calibri" w:hAnsi="Calibri"/>
        </w:rPr>
        <w:t xml:space="preserve">) is to flourish and serve — which is also the project-based-learning arc of learn → apply → reflect → contribute.</w:t>
      </w:r>
    </w:p>
    <w:tbl>
      <w:tblPr>
        <w:tblW w:type="dxa" w:w="10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E0E0E0" w:sz="1"/>
          <w:insideV w:val="single" w:color="E0E0E0" w:sz="1"/>
        </w:tblBorders>
      </w:tblPr>
      <w:tblGrid>
        <w:gridCol w:w="2005"/>
        <w:gridCol w:w="2707"/>
        <w:gridCol w:w="5314"/>
      </w:tblGrid>
      <w:tr>
        <w:trPr>
          <w:tblHeader/>
        </w:trPr>
        <w:tc>
          <w:tcPr>
            <w:tcW w:type="dxa" w:w="2005"/>
            <w:shd w:fill="2F4A3C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In the school / Name</w:t>
            </w:r>
          </w:p>
        </w:tc>
        <w:tc>
          <w:tcPr>
            <w:tcW w:type="dxa" w:w="2707"/>
            <w:shd w:fill="2F4A3C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Meaning</w:t>
            </w:r>
          </w:p>
        </w:tc>
        <w:tc>
          <w:tcPr>
            <w:tcW w:type="dxa" w:w="5314"/>
            <w:shd w:fill="2F4A3C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Its job  ·  comparator</w:t>
            </w:r>
          </w:p>
        </w:tc>
      </w:tr>
      <w:tr>
        <w:tc>
          <w:tcPr>
            <w:tcW w:type="dxa" w:w="2005"/>
            <w:shd w:fill="EEF1E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2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4A3C"/>
                <w:sz w:val="14"/>
                <w:szCs w:val="14"/>
              </w:rPr>
              <w:t xml:space="preserve">The model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F4A3C"/>
                <w:sz w:val="14"/>
                <w:szCs w:val="14"/>
              </w:rPr>
              <w:t xml:space="preserve">The Itqan Way</w:t>
            </w:r>
          </w:p>
        </w:tc>
        <w:tc>
          <w:tcPr>
            <w:tcW w:type="dxa" w:w="2707"/>
            <w:shd w:fill="EEF1E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26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421"/>
                <w:sz w:val="14"/>
                <w:szCs w:val="14"/>
              </w:rPr>
              <w:t xml:space="preserve">mastery/perfection of one’s work, as worship</w:t>
            </w:r>
          </w:p>
        </w:tc>
        <w:tc>
          <w:tcPr>
            <w:tcW w:type="dxa" w:w="5314"/>
            <w:shd w:fill="EEF1E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2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421"/>
                <w:sz w:val="14"/>
                <w:szCs w:val="14"/>
              </w:rPr>
              <w:t xml:space="preserve">The whole philosophy: do everything beautifully.</w:t>
            </w:r>
          </w:p>
        </w:tc>
      </w:tr>
      <w:tr>
        <w:tc>
          <w:tcPr>
            <w:tcW w:type="dxa" w:w="2005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2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4A3C"/>
                <w:sz w:val="14"/>
                <w:szCs w:val="14"/>
              </w:rPr>
              <w:t xml:space="preserve">Wellspring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F4A3C"/>
                <w:sz w:val="14"/>
                <w:szCs w:val="14"/>
              </w:rPr>
              <w:t xml:space="preserve">Manhal</w:t>
            </w:r>
          </w:p>
        </w:tc>
        <w:tc>
          <w:tcPr>
            <w:tcW w:type="dxa" w:w="2707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26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421"/>
                <w:sz w:val="14"/>
                <w:szCs w:val="14"/>
              </w:rPr>
              <w:t xml:space="preserve">‘the wellspring you draw from’</w:t>
            </w:r>
          </w:p>
        </w:tc>
        <w:tc>
          <w:tcPr>
            <w:tcW w:type="dxa" w:w="5314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2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421"/>
                <w:sz w:val="14"/>
                <w:szCs w:val="14"/>
              </w:rPr>
              <w:t xml:space="preserve">Self-paced, mastery-gated curriculum map  ·  mirrors the CSU topic tree.</w:t>
            </w:r>
          </w:p>
        </w:tc>
      </w:tr>
      <w:tr>
        <w:tc>
          <w:tcPr>
            <w:tcW w:type="dxa" w:w="2005"/>
            <w:shd w:fill="EEF1E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2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4A3C"/>
                <w:sz w:val="14"/>
                <w:szCs w:val="14"/>
              </w:rPr>
              <w:t xml:space="preserve">Platform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F4A3C"/>
                <w:sz w:val="14"/>
                <w:szCs w:val="14"/>
              </w:rPr>
              <w:t xml:space="preserve">Manara</w:t>
            </w:r>
          </w:p>
        </w:tc>
        <w:tc>
          <w:tcPr>
            <w:tcW w:type="dxa" w:w="2707"/>
            <w:shd w:fill="EEF1E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26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421"/>
                <w:sz w:val="14"/>
                <w:szCs w:val="14"/>
              </w:rPr>
              <w:t xml:space="preserve">‘lighthouse / minaret’ — the guiding light</w:t>
            </w:r>
          </w:p>
        </w:tc>
        <w:tc>
          <w:tcPr>
            <w:tcW w:type="dxa" w:w="5314"/>
            <w:shd w:fill="EEF1E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2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421"/>
                <w:sz w:val="14"/>
                <w:szCs w:val="14"/>
              </w:rPr>
              <w:t xml:space="preserve">Digital home of the tree, portfolio &amp; dashboards  ·  adaptive LMS + Learning Record Store.</w:t>
            </w:r>
          </w:p>
        </w:tc>
      </w:tr>
      <w:tr>
        <w:tc>
          <w:tcPr>
            <w:tcW w:type="dxa" w:w="2005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2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4A3C"/>
                <w:sz w:val="14"/>
                <w:szCs w:val="14"/>
              </w:rPr>
              <w:t xml:space="preserve">Projects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F4A3C"/>
                <w:sz w:val="14"/>
                <w:szCs w:val="14"/>
              </w:rPr>
              <w:t xml:space="preserve">’Amal Projects</w:t>
            </w:r>
          </w:p>
        </w:tc>
        <w:tc>
          <w:tcPr>
            <w:tcW w:type="dxa" w:w="2707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26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421"/>
                <w:sz w:val="14"/>
                <w:szCs w:val="14"/>
              </w:rPr>
              <w:t xml:space="preserve">‘righteous action’</w:t>
            </w:r>
          </w:p>
        </w:tc>
        <w:tc>
          <w:tcPr>
            <w:tcW w:type="dxa" w:w="5314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2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421"/>
                <w:sz w:val="14"/>
                <w:szCs w:val="14"/>
              </w:rPr>
              <w:t xml:space="preserve">Knowledge turned into deeds — one real interdisciplinary project a term  ·  Gold-Standard PBL.</w:t>
            </w:r>
          </w:p>
        </w:tc>
      </w:tr>
      <w:tr>
        <w:tc>
          <w:tcPr>
            <w:tcW w:type="dxa" w:w="2005"/>
            <w:shd w:fill="EEF1E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2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4A3C"/>
                <w:sz w:val="14"/>
                <w:szCs w:val="14"/>
              </w:rPr>
              <w:t xml:space="preserve">Real world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F4A3C"/>
                <w:sz w:val="14"/>
                <w:szCs w:val="14"/>
              </w:rPr>
              <w:t xml:space="preserve">Kitab Maftuh</w:t>
            </w:r>
          </w:p>
        </w:tc>
        <w:tc>
          <w:tcPr>
            <w:tcW w:type="dxa" w:w="2707"/>
            <w:shd w:fill="EEF1E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26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421"/>
                <w:sz w:val="14"/>
                <w:szCs w:val="14"/>
              </w:rPr>
              <w:t xml:space="preserve">‘the Open Book’ — the world &amp; city as signs</w:t>
            </w:r>
          </w:p>
        </w:tc>
        <w:tc>
          <w:tcPr>
            <w:tcW w:type="dxa" w:w="5314"/>
            <w:shd w:fill="EEF1E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2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421"/>
                <w:sz w:val="14"/>
                <w:szCs w:val="14"/>
              </w:rPr>
              <w:t xml:space="preserve">Studios, mosques, councils, workplaces as learning sites  ·  Big Picture ‘Leaving to Learn’.</w:t>
            </w:r>
          </w:p>
        </w:tc>
      </w:tr>
      <w:tr>
        <w:tc>
          <w:tcPr>
            <w:tcW w:type="dxa" w:w="2005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2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4A3C"/>
                <w:sz w:val="14"/>
                <w:szCs w:val="14"/>
              </w:rPr>
              <w:t xml:space="preserve">Portfolio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F4A3C"/>
                <w:sz w:val="14"/>
                <w:szCs w:val="14"/>
              </w:rPr>
              <w:t xml:space="preserve">Athar</w:t>
            </w:r>
          </w:p>
        </w:tc>
        <w:tc>
          <w:tcPr>
            <w:tcW w:type="dxa" w:w="2707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26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421"/>
                <w:sz w:val="14"/>
                <w:szCs w:val="14"/>
              </w:rPr>
              <w:t xml:space="preserve">‘the lasting trace one leaves’</w:t>
            </w:r>
          </w:p>
        </w:tc>
        <w:tc>
          <w:tcPr>
            <w:tcW w:type="dxa" w:w="5314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2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421"/>
                <w:sz w:val="14"/>
                <w:szCs w:val="14"/>
              </w:rPr>
              <w:t xml:space="preserve">Curated, defended body of evidence  ·  Mastery Transcript / Portfolio of Learning.</w:t>
            </w:r>
          </w:p>
        </w:tc>
      </w:tr>
      <w:tr>
        <w:tc>
          <w:tcPr>
            <w:tcW w:type="dxa" w:w="2005"/>
            <w:shd w:fill="EEF1E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2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4A3C"/>
                <w:sz w:val="14"/>
                <w:szCs w:val="14"/>
              </w:rPr>
              <w:t xml:space="preserve">Exhibitions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F4A3C"/>
                <w:sz w:val="14"/>
                <w:szCs w:val="14"/>
              </w:rPr>
              <w:t xml:space="preserve">Majlis</w:t>
            </w:r>
          </w:p>
        </w:tc>
        <w:tc>
          <w:tcPr>
            <w:tcW w:type="dxa" w:w="2707"/>
            <w:shd w:fill="EEF1E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26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421"/>
                <w:sz w:val="14"/>
                <w:szCs w:val="14"/>
              </w:rPr>
              <w:t xml:space="preserve">‘the gathering’</w:t>
            </w:r>
          </w:p>
        </w:tc>
        <w:tc>
          <w:tcPr>
            <w:tcW w:type="dxa" w:w="5314"/>
            <w:shd w:fill="EEF1E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2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421"/>
                <w:sz w:val="14"/>
                <w:szCs w:val="14"/>
              </w:rPr>
              <w:t xml:space="preserve">Termly public showcase to family, mentors, community  ·  Exhibitions of Learning.</w:t>
            </w:r>
          </w:p>
        </w:tc>
      </w:tr>
      <w:tr>
        <w:tc>
          <w:tcPr>
            <w:tcW w:type="dxa" w:w="2005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2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4A3C"/>
                <w:sz w:val="14"/>
                <w:szCs w:val="14"/>
              </w:rPr>
              <w:t xml:space="preserve">Home-group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F4A3C"/>
                <w:sz w:val="14"/>
                <w:szCs w:val="14"/>
              </w:rPr>
              <w:t xml:space="preserve">Usrah</w:t>
            </w:r>
          </w:p>
        </w:tc>
        <w:tc>
          <w:tcPr>
            <w:tcW w:type="dxa" w:w="2707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26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421"/>
                <w:sz w:val="14"/>
                <w:szCs w:val="14"/>
              </w:rPr>
              <w:t xml:space="preserve">‘the learning family’</w:t>
            </w:r>
          </w:p>
        </w:tc>
        <w:tc>
          <w:tcPr>
            <w:tcW w:type="dxa" w:w="5314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2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421"/>
                <w:sz w:val="14"/>
                <w:szCs w:val="14"/>
              </w:rPr>
              <w:t xml:space="preserve">Small belonging-group, 2+ years with one coach  ·  Big Picture Advisory.</w:t>
            </w:r>
          </w:p>
        </w:tc>
      </w:tr>
      <w:tr>
        <w:tc>
          <w:tcPr>
            <w:tcW w:type="dxa" w:w="2005"/>
            <w:shd w:fill="EEF1E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2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4A3C"/>
                <w:sz w:val="14"/>
                <w:szCs w:val="14"/>
              </w:rPr>
              <w:t xml:space="preserve">Coach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F4A3C"/>
                <w:sz w:val="14"/>
                <w:szCs w:val="14"/>
              </w:rPr>
              <w:t xml:space="preserve">Murabbi / Murabbiyah</w:t>
            </w:r>
          </w:p>
        </w:tc>
        <w:tc>
          <w:tcPr>
            <w:tcW w:type="dxa" w:w="2707"/>
            <w:shd w:fill="EEF1E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26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421"/>
                <w:sz w:val="14"/>
                <w:szCs w:val="14"/>
              </w:rPr>
              <w:t xml:space="preserve">‘one who nurtures the whole person’</w:t>
            </w:r>
          </w:p>
        </w:tc>
        <w:tc>
          <w:tcPr>
            <w:tcW w:type="dxa" w:w="5314"/>
            <w:shd w:fill="EEF1E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2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421"/>
                <w:sz w:val="14"/>
                <w:szCs w:val="14"/>
              </w:rPr>
              <w:t xml:space="preserve">Owns each student’s plan, portfolio and wellbeing  ·  learning coach / advisor.</w:t>
            </w:r>
          </w:p>
        </w:tc>
      </w:tr>
      <w:tr>
        <w:tc>
          <w:tcPr>
            <w:tcW w:type="dxa" w:w="2005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2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4A3C"/>
                <w:sz w:val="14"/>
                <w:szCs w:val="14"/>
              </w:rPr>
              <w:t xml:space="preserve">Subject experts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F4A3C"/>
                <w:sz w:val="14"/>
                <w:szCs w:val="14"/>
              </w:rPr>
              <w:t xml:space="preserve">Mu’allim / Mu’allimah</w:t>
            </w:r>
          </w:p>
        </w:tc>
        <w:tc>
          <w:tcPr>
            <w:tcW w:type="dxa" w:w="2707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26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421"/>
                <w:sz w:val="14"/>
                <w:szCs w:val="14"/>
              </w:rPr>
              <w:t xml:space="preserve">‘the teacher’</w:t>
            </w:r>
          </w:p>
        </w:tc>
        <w:tc>
          <w:tcPr>
            <w:tcW w:type="dxa" w:w="5314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2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421"/>
                <w:sz w:val="14"/>
                <w:szCs w:val="14"/>
              </w:rPr>
              <w:t xml:space="preserve">Author tree nodes, lead knowledge sprints  ·  the Domain Guides.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9A7B4F"/>
          <w:sz w:val="18"/>
          <w:szCs w:val="18"/>
        </w:rPr>
        <w:t xml:space="preserve">The journey — one arc across the years</w:t>
      </w:r>
    </w:p>
    <w:tbl>
      <w:tblPr>
        <w:tblW w:type="dxa" w:w="10026"/>
        <w:tblBorders>
          <w:top w:val="none"/>
          <w:left w:val="none"/>
          <w:bottom w:val="none"/>
          <w:right w:val="none"/>
          <w:insideH w:val="none"/>
          <w:insideV w:val="single" w:color="FFFFFF" w:sz="1"/>
        </w:tblBorders>
      </w:tblPr>
      <w:tblGrid>
        <w:gridCol w:w="3235"/>
        <w:gridCol w:w="3235"/>
        <w:gridCol w:w="3235"/>
        <w:gridCol w:w="321"/>
      </w:tblGrid>
      <w:tr>
        <w:tc>
          <w:tcPr>
            <w:tcW w:type="dxa" w:w="3235"/>
            <w:tcBorders>
              <w:top w:val="single" w:color="EEF1EC" w:sz="2"/>
              <w:left w:val="single" w:color="2F4A3C" w:sz="26"/>
              <w:bottom w:val="single" w:color="EEF1EC" w:sz="2"/>
              <w:right w:val="single" w:color="FFFFFF" w:sz="36"/>
            </w:tcBorders>
            <w:shd w:fill="EEF1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F4A3C"/>
                <w:sz w:val="22"/>
                <w:szCs w:val="22"/>
              </w:rPr>
              <w:t xml:space="preserve">Talab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55615A"/>
                <w:spacing w:val="20"/>
                <w:sz w:val="12"/>
                <w:szCs w:val="12"/>
              </w:rPr>
              <w:t xml:space="preserve">SEEK · Year 7–8</w:t>
            </w:r>
          </w:p>
          <w:p>
            <w:pPr>
              <w:spacing w:line="230"/>
            </w:pPr>
            <w:r>
              <w:rPr>
                <w:rFonts w:ascii="Calibri" w:cs="Calibri" w:eastAsia="Calibri" w:hAnsi="Calibri"/>
                <w:color w:val="1F2421"/>
                <w:sz w:val="13"/>
                <w:szCs w:val="13"/>
              </w:rPr>
              <w:t xml:space="preserve">The pursuit of knowledge (talab al-‘ilm) — curiosity, core knowledge, learning to learn.</w:t>
            </w:r>
          </w:p>
        </w:tc>
        <w:tc>
          <w:tcPr>
            <w:tcW w:type="dxa" w:w="3235"/>
            <w:tcBorders>
              <w:top w:val="single" w:color="EEF1EC" w:sz="2"/>
              <w:left w:val="single" w:color="6C7D3C" w:sz="26"/>
              <w:bottom w:val="single" w:color="EEF1EC" w:sz="2"/>
              <w:right w:val="single" w:color="FFFFFF" w:sz="36"/>
            </w:tcBorders>
            <w:shd w:fill="EEF1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C7D3C"/>
                <w:sz w:val="22"/>
                <w:szCs w:val="22"/>
              </w:rPr>
              <w:t xml:space="preserve">Tafaqquh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55615A"/>
                <w:spacing w:val="20"/>
                <w:sz w:val="12"/>
                <w:szCs w:val="12"/>
              </w:rPr>
              <w:t xml:space="preserve">DEEPEN · Year 9–10</w:t>
            </w:r>
          </w:p>
          <w:p>
            <w:pPr>
              <w:spacing w:line="230"/>
            </w:pPr>
            <w:r>
              <w:rPr>
                <w:rFonts w:ascii="Calibri" w:cs="Calibri" w:eastAsia="Calibri" w:hAnsi="Calibri"/>
                <w:color w:val="1F2421"/>
                <w:sz w:val="13"/>
                <w:szCs w:val="13"/>
              </w:rPr>
              <w:t xml:space="preserve">Deep understanding and real competence through authentic projects; RoSA evidence builds.</w:t>
            </w:r>
          </w:p>
        </w:tc>
        <w:tc>
          <w:tcPr>
            <w:tcW w:type="dxa" w:w="3235"/>
            <w:tcBorders>
              <w:top w:val="single" w:color="EEF1EC" w:sz="2"/>
              <w:left w:val="single" w:color="9A7B4F" w:sz="26"/>
              <w:bottom w:val="single" w:color="EEF1EC" w:sz="2"/>
              <w:right w:val="single" w:color="FFFFFF" w:sz="36"/>
            </w:tcBorders>
            <w:shd w:fill="EEF1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9A7B4F"/>
                <w:sz w:val="22"/>
                <w:szCs w:val="22"/>
              </w:rPr>
              <w:t xml:space="preserve">Riyadah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55615A"/>
                <w:spacing w:val="20"/>
                <w:sz w:val="12"/>
                <w:szCs w:val="12"/>
              </w:rPr>
              <w:t xml:space="preserve">LEAD · Year 11–12</w:t>
            </w:r>
          </w:p>
          <w:p>
            <w:pPr>
              <w:spacing w:line="230"/>
            </w:pPr>
            <w:r>
              <w:rPr>
                <w:rFonts w:ascii="Calibri" w:cs="Calibri" w:eastAsia="Calibri" w:hAnsi="Calibri"/>
                <w:color w:val="1F2421"/>
                <w:sz w:val="13"/>
                <w:szCs w:val="13"/>
              </w:rPr>
              <w:t xml:space="preserve">Pioneering leadership &amp; enterprise — capstone + HSC; the graduate who initiates and serves.</w:t>
            </w:r>
          </w:p>
        </w:tc>
      </w:tr>
    </w:tbl>
    <w:p>
      <w:pPr>
        <w:pBdr>
          <w:top w:val="single" w:color="9A7B4F" w:sz="8" w:space="6"/>
        </w:pBdr>
        <w:spacing w:before="160"/>
      </w:pPr>
      <w:r>
        <w:rPr>
          <w:rFonts w:ascii="Calibri" w:cs="Calibri" w:eastAsia="Calibri" w:hAnsi="Calibri"/>
          <w:i/>
          <w:iCs/>
          <w:color w:val="55615A"/>
          <w:sz w:val="14"/>
          <w:szCs w:val="14"/>
        </w:rPr>
        <w:t xml:space="preserve">These names are drawn from the Islamic tradition and should be reviewed with the school’s scholars and community before adoption — that care is itself adab.  ·  Prepared for Dr Khaled Altarawneh.</w:t>
      </w:r>
    </w:p>
    <w:sectPr>
      <w:pgSz w:w="11906" w:h="16838" w:orient="portrait"/>
      <w:pgMar w:top="940" w:right="940" w:bottom="940" w:left="9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421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2026-05-29T03:50:47.277Z</dcterms:created>
  <dcterms:modified xsi:type="dcterms:W3CDTF">2026-05-29T03:50:47.277Z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