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0"/>
        <w:tblInd w:w="-635" w:type="dxa"/>
        <w:tblW w:w="11092" w:type="dxa"/>
        <w:tblCellMar>
          <w:left w:w="108" w:type="dxa"/>
          <w:top w:w="0" w:type="dxa"/>
          <w:right w:w="108"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Look w:val="04A0" w:firstRow="1" w:lastRow="0" w:firstColumn="1" w:lastColumn="0" w:noHBand="0" w:noVBand="1"/>
      </w:tblPr>
      <w:tblGrid>
        <w:gridCol w:w="4685"/>
        <w:gridCol w:w="6407"/>
      </w:tblGrid>
      <w:tr>
        <w:trPr/>
        <w:tc>
          <w:tcPr>
            <w:tcBorders/>
            <w:tcW w:w="4685" w:type="dxa"/>
          </w:tcPr>
          <w:p w14:paraId="4A3667A1">
            <w:pPr>
              <w:pBdr/>
              <w:spacing w:after="0" w:line="240" w:lineRule="auto"/>
              <w:ind/>
              <w:jc w:val="center"/>
              <w:rPr>
                <w:rFonts w:hint="default"/>
                <w:b/>
                <w:bCs/>
                <w:color w:val="auto"/>
                <w:szCs w:val="26"/>
                <w:lang w:val="en-US"/>
              </w:rPr>
            </w:pPr>
            <w:r>
              <w:rPr>
                <w:rFonts w:hint="default"/>
                <w:b/>
                <w:bCs/>
                <w:color w:val="auto"/>
                <w:szCs w:val="26"/>
                <w:lang w:val="en-US"/>
              </w:rPr>
              <w:t xml:space="preserve">CÔNG TY CỔ PHẦN CÔNG NGHỆ</w:t>
            </w:r>
            <w:r>
              <w:rPr>
                <w:rFonts w:hint="default"/>
                <w:b/>
                <w:bCs/>
                <w:color w:val="auto"/>
                <w:szCs w:val="26"/>
                <w:lang w:val="en-US"/>
              </w:rPr>
            </w:r>
          </w:p>
          <w:p w14:paraId="52B28510">
            <w:pPr>
              <w:pBdr/>
              <w:spacing w:after="0" w:line="240" w:lineRule="auto"/>
              <w:ind/>
              <w:jc w:val="center"/>
              <w:rPr>
                <w:rFonts w:hint="default"/>
                <w:b/>
                <w:bCs/>
                <w:color w:val="auto"/>
                <w:szCs w:val="26"/>
                <w:lang w:val="en-US"/>
              </w:rPr>
            </w:pPr>
            <w:r>
              <w:rPr>
                <w:rFonts w:hint="default"/>
                <w:b/>
                <w:bCs/>
                <w:color w:val="auto"/>
                <w:szCs w:val="26"/>
                <w:lang w:val="en-US"/>
              </w:rPr>
              <w:t xml:space="preserve">VÀ TƯ VẤN CIC</w:t>
            </w:r>
            <w:r>
              <w:rPr>
                <w:rFonts w:hint="default"/>
                <w:b/>
                <w:bCs/>
                <w:color w:val="auto"/>
                <w:szCs w:val="26"/>
                <w:lang w:val="en-US"/>
              </w:rPr>
            </w:r>
          </w:p>
          <w:p w14:paraId="52CFFDA6">
            <w:pPr>
              <w:pBdr/>
              <w:spacing w:after="0" w:line="240" w:lineRule="auto"/>
              <w:ind/>
              <w:jc w:val="center"/>
              <w:rPr>
                <w:b/>
                <w:bCs/>
                <w:color w:val="auto"/>
                <w:szCs w:val="26"/>
              </w:rPr>
            </w:pPr>
            <w:r>
              <w:rPr>
                <w:b/>
                <w:bCs/>
                <w:color w:val="auto"/>
                <w:szCs w:val="26"/>
              </w:rPr>
              <w:t xml:space="preserve">----------------------</w:t>
            </w:r>
            <w:r>
              <w:rPr>
                <w:b/>
                <w:bCs/>
                <w:color w:val="auto"/>
                <w:szCs w:val="26"/>
              </w:rPr>
            </w:r>
          </w:p>
          <w:p w14:paraId="10429A88">
            <w:pPr>
              <w:pBdr/>
              <w:spacing w:after="0" w:line="240" w:lineRule="auto"/>
              <w:ind/>
              <w:jc w:val="center"/>
              <w:rPr>
                <w:color w:val="auto"/>
                <w:szCs w:val="26"/>
              </w:rPr>
            </w:pPr>
            <w:r>
              <w:rPr>
                <w:color w:val="auto"/>
                <w:szCs w:val="26"/>
              </w:rPr>
              <w:t xml:space="preserve">Số: …./……</w:t>
            </w:r>
            <w:r>
              <w:rPr>
                <w:color w:val="auto"/>
                <w:szCs w:val="26"/>
              </w:rPr>
            </w:r>
          </w:p>
          <w:p w14:paraId="662F02FC">
            <w:pPr>
              <w:pBdr/>
              <w:spacing w:after="0" w:line="240" w:lineRule="auto"/>
              <w:ind/>
              <w:jc w:val="center"/>
              <w:rPr>
                <w:i/>
                <w:iCs/>
                <w:color w:val="auto"/>
                <w:szCs w:val="26"/>
                <w:lang w:val="vi-VN"/>
              </w:rPr>
            </w:pPr>
            <w:r>
              <w:rPr>
                <w:i/>
                <w:iCs/>
                <w:color w:val="auto"/>
                <w:szCs w:val="26"/>
              </w:rPr>
              <w:t xml:space="preserve">Vv: Đánh giá và đề xuất lựa chọn phần mềm</w:t>
            </w:r>
            <w:r>
              <w:rPr>
                <w:rFonts w:hint="default"/>
                <w:i/>
                <w:iCs/>
                <w:color w:val="auto"/>
                <w:szCs w:val="26"/>
                <w:lang w:val="en-US"/>
              </w:rPr>
              <w:t xml:space="preserve">, máy tính</w:t>
            </w:r>
            <w:r>
              <w:rPr>
                <w:i/>
                <w:iCs/>
                <w:color w:val="auto"/>
                <w:szCs w:val="26"/>
              </w:rPr>
              <w:t xml:space="preserve"> phục vụ công tác triển khai BIM</w:t>
            </w:r>
            <w:r>
              <w:rPr>
                <w:i/>
                <w:iCs/>
                <w:color w:val="auto"/>
                <w:szCs w:val="26"/>
                <w:lang w:val="vi-VN"/>
              </w:rPr>
            </w:r>
          </w:p>
        </w:tc>
        <w:tc>
          <w:tcPr>
            <w:tcBorders/>
            <w:tcW w:w="6407" w:type="dxa"/>
          </w:tcPr>
          <w:p w14:paraId="34926480">
            <w:pPr>
              <w:pBdr/>
              <w:spacing w:after="0" w:line="240" w:lineRule="auto"/>
              <w:ind/>
              <w:jc w:val="center"/>
              <w:rPr>
                <w:b/>
                <w:bCs/>
                <w:color w:val="auto"/>
                <w:szCs w:val="26"/>
              </w:rPr>
            </w:pPr>
            <w:r>
              <w:rPr>
                <w:b/>
                <w:bCs/>
                <w:color w:val="auto"/>
                <w:szCs w:val="26"/>
              </w:rPr>
              <w:t xml:space="preserve">CỘNG HÒA XÃ HỘI CHỦ NGHĨA VIỆT NAM</w:t>
            </w:r>
            <w:r>
              <w:rPr>
                <w:b/>
                <w:bCs/>
                <w:color w:val="auto"/>
                <w:szCs w:val="26"/>
              </w:rPr>
            </w:r>
          </w:p>
          <w:p w14:paraId="6F264C01">
            <w:pPr>
              <w:pBdr/>
              <w:spacing w:after="0" w:line="240" w:lineRule="auto"/>
              <w:ind/>
              <w:jc w:val="center"/>
              <w:rPr>
                <w:b/>
                <w:bCs/>
                <w:color w:val="auto"/>
                <w:szCs w:val="26"/>
              </w:rPr>
            </w:pPr>
            <w:r>
              <w:rPr>
                <w:b/>
                <w:bCs/>
                <w:color w:val="auto"/>
                <w:szCs w:val="26"/>
              </w:rPr>
              <w:t xml:space="preserve">Độc lập – Tự do – Hạnh phúc</w:t>
            </w:r>
            <w:r>
              <w:rPr>
                <w:b/>
                <w:bCs/>
                <w:color w:val="auto"/>
                <w:szCs w:val="26"/>
              </w:rPr>
            </w:r>
          </w:p>
          <w:p w14:paraId="2B3EA379">
            <w:pPr>
              <w:pBdr/>
              <w:spacing w:after="0" w:line="240" w:lineRule="auto"/>
              <w:ind/>
              <w:jc w:val="center"/>
              <w:rPr>
                <w:b/>
                <w:bCs/>
                <w:color w:val="auto"/>
                <w:szCs w:val="26"/>
                <w:lang w:val="pt-BR"/>
              </w:rPr>
            </w:pPr>
            <w:r>
              <w:rPr>
                <w:b/>
                <w:bCs/>
                <w:color w:val="auto"/>
                <w:szCs w:val="26"/>
                <w:lang w:val="pt-BR"/>
              </w:rPr>
              <w:t xml:space="preserve">-----------o0o----------</w:t>
            </w:r>
            <w:r>
              <w:rPr>
                <w:b/>
                <w:bCs/>
                <w:color w:val="auto"/>
                <w:szCs w:val="26"/>
                <w:lang w:val="pt-BR"/>
              </w:rPr>
            </w:r>
          </w:p>
          <w:p w14:paraId="1D121C05">
            <w:pPr>
              <w:pBdr/>
              <w:spacing w:after="0" w:line="240" w:lineRule="auto"/>
              <w:ind/>
              <w:jc w:val="center"/>
              <w:rPr>
                <w:color w:val="auto"/>
                <w:szCs w:val="26"/>
                <w:lang w:val="pt-BR"/>
              </w:rPr>
            </w:pPr>
            <w:r>
              <w:rPr>
                <w:color w:val="auto"/>
                <w:szCs w:val="26"/>
                <w:lang w:val="pt-BR"/>
              </w:rPr>
            </w:r>
            <w:r>
              <w:rPr>
                <w:color w:val="auto"/>
                <w:szCs w:val="26"/>
                <w:lang w:val="pt-BR"/>
              </w:rPr>
            </w:r>
          </w:p>
          <w:p w14:paraId="5AC9B518">
            <w:pPr>
              <w:pBdr/>
              <w:spacing w:after="0" w:line="240" w:lineRule="auto"/>
              <w:ind/>
              <w:jc w:val="center"/>
              <w:rPr>
                <w:color w:val="auto"/>
                <w:szCs w:val="26"/>
                <w:lang w:val="pt-BR"/>
              </w:rPr>
            </w:pPr>
            <w:r>
              <w:rPr>
                <w:i/>
                <w:iCs/>
                <w:color w:val="auto"/>
                <w:szCs w:val="26"/>
                <w:lang w:val="pt-BR"/>
              </w:rPr>
              <w:t xml:space="preserve">               TP.HCM, ngày </w:t>
            </w:r>
            <w:r>
              <w:rPr>
                <w:i/>
                <w:iCs/>
                <w:color w:val="auto"/>
                <w:szCs w:val="26"/>
                <w:lang w:val="vi-VN"/>
              </w:rPr>
              <w:t xml:space="preserve">   </w:t>
            </w:r>
            <w:r>
              <w:rPr>
                <w:i/>
                <w:iCs/>
                <w:color w:val="auto"/>
                <w:szCs w:val="26"/>
                <w:lang w:val="pt-BR"/>
              </w:rPr>
              <w:t xml:space="preserve">  tháng </w:t>
            </w:r>
            <w:r>
              <w:rPr>
                <w:i/>
                <w:iCs/>
                <w:color w:val="auto"/>
                <w:szCs w:val="26"/>
                <w:lang w:val="vi-VN"/>
              </w:rPr>
              <w:t xml:space="preserve">    </w:t>
            </w:r>
            <w:r>
              <w:rPr>
                <w:i/>
                <w:iCs/>
                <w:color w:val="auto"/>
                <w:szCs w:val="26"/>
                <w:lang w:val="pt-BR"/>
              </w:rPr>
              <w:t xml:space="preserve"> năm 2026</w:t>
            </w:r>
            <w:r>
              <w:rPr>
                <w:color w:val="auto"/>
                <w:szCs w:val="26"/>
                <w:lang w:val="pt-BR"/>
              </w:rPr>
            </w:r>
          </w:p>
        </w:tc>
      </w:tr>
    </w:tbl>
    <w:p w14:paraId="5F0D014E">
      <w:pPr>
        <w:pBdr/>
        <w:spacing w:after="60" w:before="60" w:line="288" w:lineRule="auto"/>
        <w:ind/>
        <w:jc w:val="center"/>
        <w:rPr>
          <w:b/>
          <w:color w:val="1f4e78"/>
          <w:sz w:val="32"/>
        </w:rPr>
      </w:pPr>
      <w:r>
        <w:rPr>
          <w:b/>
          <w:color w:val="1f4e78"/>
          <w:sz w:val="32"/>
        </w:rPr>
      </w:r>
      <w:r>
        <w:rPr>
          <w:b/>
          <w:color w:val="1f4e78"/>
          <w:sz w:val="32"/>
        </w:rPr>
      </w:r>
    </w:p>
    <w:p w14:paraId="2B371A46">
      <w:pPr>
        <w:pBdr/>
        <w:spacing w:after="60" w:before="60" w:line="288" w:lineRule="auto"/>
        <w:ind/>
        <w:jc w:val="center"/>
        <w:rPr>
          <w:b/>
          <w:color w:val="auto"/>
          <w:sz w:val="28"/>
        </w:rPr>
      </w:pPr>
      <w:r>
        <w:rPr>
          <w:b/>
          <w:color w:val="auto"/>
          <w:sz w:val="28"/>
        </w:rPr>
        <w:t xml:space="preserve">BÁO CÁO ĐỀ XUẤT LỰA CHỌN PHẦN MỀM</w:t>
      </w:r>
      <w:r>
        <w:rPr>
          <w:rFonts w:hint="default"/>
          <w:b/>
          <w:color w:val="auto"/>
          <w:sz w:val="28"/>
          <w:lang w:val="en-US"/>
        </w:rPr>
        <w:t xml:space="preserve">, MÁY TÍNH</w:t>
      </w:r>
      <w:r>
        <w:rPr>
          <w:b/>
          <w:color w:val="auto"/>
          <w:sz w:val="28"/>
        </w:rPr>
        <w:t xml:space="preserve"> PHỤC VỤ CÔNG TÁC TRIỂN KHAI MÔ HÌNH THÔNG TIN CÔNG TRÌNH (BIM) </w:t>
      </w:r>
      <w:r>
        <w:rPr>
          <w:b/>
          <w:color w:val="auto"/>
          <w:sz w:val="28"/>
        </w:rPr>
      </w:r>
    </w:p>
    <w:p w14:paraId="19511C49">
      <w:pPr>
        <w:pBdr/>
        <w:spacing w:after="60" w:before="60" w:line="288" w:lineRule="auto"/>
        <w:ind/>
        <w:jc w:val="center"/>
        <w:rPr>
          <w:b/>
          <w:color w:val="auto"/>
          <w:sz w:val="28"/>
        </w:rPr>
      </w:pPr>
      <w:r>
        <w:rPr>
          <w:b/>
          <w:color w:val="auto"/>
          <w:sz w:val="28"/>
        </w:rPr>
        <w:t xml:space="preserve">TRONG HOẠT ĐỘNG XÂY DỰNG TẠI BAN QUẢN LÝ DỰ ÁN ĐẦU TƯ XÂY DỰNG CÁC CÔNG TRÌNH DÂN DỤNG VÀ CÔNG NGHIỆP</w:t>
      </w:r>
      <w:r>
        <w:rPr>
          <w:b/>
          <w:color w:val="auto"/>
          <w:sz w:val="28"/>
        </w:rPr>
      </w:r>
    </w:p>
    <w:p w14:paraId="5279C0A9">
      <w:pPr>
        <w:pBdr/>
        <w:spacing w:after="60" w:before="60" w:line="288" w:lineRule="auto"/>
        <w:ind/>
        <w:jc w:val="center"/>
        <w:rPr>
          <w:b/>
          <w:color w:val="1f4e78"/>
          <w:sz w:val="28"/>
        </w:rPr>
      </w:pPr>
      <w:r>
        <w:rPr>
          <w:b/>
          <w:color w:val="1f4e78"/>
          <w:sz w:val="28"/>
        </w:rPr>
      </w:r>
      <w:r>
        <w:rPr>
          <w:b/>
          <w:color w:val="1f4e78"/>
          <w:sz w:val="28"/>
        </w:rPr>
      </w:r>
    </w:p>
    <w:p w14:paraId="0C282B0C">
      <w:pPr>
        <w:pBdr/>
        <w:spacing w:after="60" w:before="60" w:line="288" w:lineRule="auto"/>
        <w:ind/>
        <w:jc w:val="center"/>
        <w:rPr>
          <w:b/>
          <w:bCs/>
          <w:color w:val="auto"/>
        </w:rPr>
      </w:pPr>
      <w:r>
        <w:rPr>
          <w:b/>
          <w:bCs/>
          <w:color w:val="auto"/>
        </w:rPr>
        <w:t xml:space="preserve">Kính gửi: Giám Đốc Ban Quản Lý Dự Án Đầu Tư Xây Dựng Các Công Trình Dân Dụng Và Công Nghiệp</w:t>
      </w:r>
      <w:r>
        <w:rPr>
          <w:b/>
          <w:bCs/>
          <w:color w:val="auto"/>
        </w:rPr>
      </w:r>
    </w:p>
    <w:p w14:paraId="28540F2B">
      <w:pPr>
        <w:pStyle w:val="726"/>
        <w:pBdr/>
        <w:spacing/>
        <w:ind/>
        <w:rPr/>
      </w:pPr>
      <w:r>
        <w:t xml:space="preserve">I. CƠ SỞ PHÁP LÝ</w:t>
      </w:r>
      <w:r/>
    </w:p>
    <w:p w14:paraId="0BB5E8E9">
      <w:pPr>
        <w:pStyle w:val="868"/>
        <w:numPr>
          <w:ilvl w:val="0"/>
          <w:numId w:val="7"/>
        </w:numPr>
        <w:pBdr/>
        <w:spacing w:after="60" w:before="60" w:line="288" w:lineRule="auto"/>
        <w:ind w:hanging="357" w:left="714"/>
        <w:jc w:val="both"/>
        <w:rPr>
          <w:color w:val="auto"/>
        </w:rPr>
      </w:pPr>
      <w:r>
        <w:rPr>
          <w:color w:val="auto"/>
        </w:rPr>
        <w:t xml:space="preserve">Căn cứ Quyết định số 348/QĐ-BXD ngày 02/04/2021 về việc “Công bố Hướng dẫn chung áp dụng Mô hình thông tin công trình (BIM)” để các cơ quan, tổ chức, cá nhân có liên quan sử dụng trong quá trình thực hiện;</w:t>
      </w:r>
      <w:r>
        <w:rPr>
          <w:color w:val="auto"/>
        </w:rPr>
      </w:r>
    </w:p>
    <w:p w14:paraId="5CB4EC0A">
      <w:pPr>
        <w:pStyle w:val="868"/>
        <w:numPr>
          <w:ilvl w:val="0"/>
          <w:numId w:val="7"/>
        </w:numPr>
        <w:pBdr/>
        <w:spacing w:after="60" w:before="60" w:line="288" w:lineRule="auto"/>
        <w:ind w:hanging="357" w:left="714"/>
        <w:jc w:val="both"/>
        <w:rPr>
          <w:color w:val="auto"/>
        </w:rPr>
      </w:pPr>
      <w:r>
        <w:rPr>
          <w:color w:val="auto"/>
        </w:rPr>
        <w:t xml:space="preserve">Căn cứ Quyết định số 347/QĐ-BXD ngày 02/04/2021 về việc Công bố Hướng dẫn chi tiết áp dụng Mô hình thông tin công trình (BIM) đối với công trình dân dụng và công trình hạ tầng kỹ thuật đô thị;</w:t>
      </w:r>
      <w:r>
        <w:rPr>
          <w:color w:val="auto"/>
        </w:rPr>
      </w:r>
    </w:p>
    <w:p w14:paraId="23D01AB8">
      <w:pPr>
        <w:pStyle w:val="868"/>
        <w:numPr>
          <w:ilvl w:val="0"/>
          <w:numId w:val="7"/>
        </w:numPr>
        <w:pBdr/>
        <w:spacing w:after="60" w:before="60" w:line="288" w:lineRule="auto"/>
        <w:ind w:hanging="357" w:left="714"/>
        <w:jc w:val="both"/>
        <w:rPr>
          <w:color w:val="auto"/>
        </w:rPr>
      </w:pPr>
      <w:r>
        <w:rPr>
          <w:color w:val="auto"/>
        </w:rPr>
        <w:t xml:space="preserve">Căn cứ Quyết định số 258/QĐ-TTg của Thủ tướng Chính phủ ngày 17/03/2023: Phê duyệt Lộ trình áp dụng Mô hình thông tin công trình (BIM) trong hoạt động xây dựng</w:t>
      </w:r>
      <w:r>
        <w:rPr>
          <w:rFonts w:hint="default"/>
          <w:color w:val="auto"/>
          <w:lang w:val="en-US"/>
        </w:rPr>
        <w:t xml:space="preserve">;</w:t>
      </w:r>
      <w:r>
        <w:rPr>
          <w:color w:val="auto"/>
        </w:rPr>
      </w:r>
    </w:p>
    <w:p w14:paraId="5E753A9C">
      <w:pPr>
        <w:pStyle w:val="868"/>
        <w:numPr>
          <w:ilvl w:val="0"/>
          <w:numId w:val="7"/>
        </w:numPr>
        <w:pBdr/>
        <w:spacing w:after="60" w:before="60" w:line="288" w:lineRule="auto"/>
        <w:ind w:hanging="357" w:left="714"/>
        <w:jc w:val="both"/>
        <w:rPr>
          <w:color w:val="auto"/>
        </w:rPr>
      </w:pPr>
      <w:r>
        <w:rPr>
          <w:color w:val="auto"/>
        </w:rPr>
        <w:t xml:space="preserve">Căn cứ Nghị định 175/NĐ-CP quy định một số điều và biện pháp thi hành luật xây dựng về quản lý hoạt động xây dựng;</w:t>
      </w:r>
      <w:r>
        <w:rPr>
          <w:color w:val="auto"/>
        </w:rPr>
      </w:r>
    </w:p>
    <w:p w14:paraId="593574F9">
      <w:pPr>
        <w:pStyle w:val="868"/>
        <w:numPr>
          <w:ilvl w:val="0"/>
          <w:numId w:val="7"/>
        </w:numPr>
        <w:pBdr/>
        <w:spacing w:after="60" w:before="60" w:line="288" w:lineRule="auto"/>
        <w:ind w:hanging="357" w:left="714"/>
        <w:jc w:val="both"/>
        <w:rPr>
          <w:color w:val="auto"/>
        </w:rPr>
      </w:pPr>
      <w:r>
        <w:rPr>
          <w:color w:val="auto"/>
        </w:rPr>
        <w:t xml:space="preserve">Căn cứ Thông tư số 09/2024/TT-BXD của Bộ Xây dựng: Sửa đổi, bổ sung một số định mức xây dựng ban hành tại Thông tư số 12/2021/TT-BXD ngày 31 tháng 8 năm 2021 của Bộ trưởng Bộ Xây dựng</w:t>
      </w:r>
      <w:r>
        <w:rPr>
          <w:rFonts w:hint="default"/>
          <w:color w:val="auto"/>
          <w:lang w:val="en-US"/>
        </w:rPr>
        <w:t xml:space="preserve">.</w:t>
      </w:r>
      <w:r>
        <w:rPr>
          <w:color w:val="auto"/>
        </w:rPr>
      </w:r>
    </w:p>
    <w:p w14:paraId="7C082D71">
      <w:pPr>
        <w:pStyle w:val="726"/>
        <w:pBdr/>
        <w:spacing/>
        <w:ind/>
        <w:rPr/>
      </w:pPr>
      <w:r>
        <w:t xml:space="preserve">II. CÁC HÃNG CÔNG NGHỆ CUNG CẤP PHẦN MỀM THEO TÀI LIỆU HƯỚNG DẪN CỦA BỘ XÂY DỰNG</w:t>
      </w:r>
      <w:r/>
    </w:p>
    <w:p w14:paraId="0455DCE7">
      <w:pPr>
        <w:pStyle w:val="868"/>
        <w:numPr>
          <w:ilvl w:val="0"/>
          <w:numId w:val="7"/>
        </w:numPr>
        <w:pBdr/>
        <w:spacing w:after="60" w:before="60" w:line="288" w:lineRule="auto"/>
        <w:ind w:hanging="357" w:left="714"/>
        <w:jc w:val="both"/>
        <w:rPr>
          <w:color w:val="auto"/>
        </w:rPr>
      </w:pPr>
      <w:r>
        <w:rPr>
          <w:color w:val="auto"/>
        </w:rPr>
        <w:t xml:space="preserve">Căn cứ theo Qu</w:t>
      </w:r>
      <w:r>
        <w:rPr>
          <w:color w:val="auto"/>
        </w:rPr>
        <w:t xml:space="preserve">yết định số 348/QĐ-BXD ngày 2/4/2021 của Bộ Xây dựng (Mục 3.2.6), các hãng công nghệ cung cấp phần mềm phục vụ công tác triển khai BIM trên thị trường hiện nay bao gồm: ORACLE, NEMETSCHEK, AUTODESK, BENTLEY, SIEMENS, GRAPHISOFT, REVIZTO, TRIMBLE, CATENDA,…</w:t>
      </w:r>
      <w:r>
        <w:rPr>
          <w:color w:val="auto"/>
        </w:rPr>
      </w:r>
    </w:p>
    <w:p w14:paraId="6752436A">
      <w:pPr>
        <w:pStyle w:val="868"/>
        <w:numPr>
          <w:ilvl w:val="0"/>
          <w:numId w:val="7"/>
        </w:numPr>
        <w:pBdr/>
        <w:spacing w:after="60" w:before="60" w:line="288" w:lineRule="auto"/>
        <w:ind w:hanging="357" w:left="714"/>
        <w:rPr>
          <w:color w:val="auto"/>
        </w:rPr>
      </w:pPr>
      <w:r>
        <w:rPr>
          <w:color w:val="auto"/>
        </w:rPr>
        <w:t xml:space="preserve">Căn cứ theo mức độ phổ thông của các phần mềm ở Việt Nam, các hãng công nghệ phổ thông với các đơn vị tư vấn, nhà thầu hiện nay bao gồm:</w:t>
      </w:r>
      <w:r>
        <w:rPr>
          <w:color w:val="auto"/>
        </w:rP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14ADDAD0">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6CB02737">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4990DE1E">
            <w:pPr>
              <w:pBdr/>
              <w:spacing w:after="60" w:before="60" w:line="288" w:lineRule="auto"/>
              <w:ind/>
              <w:jc w:val="center"/>
              <w:rPr>
                <w:b/>
                <w:bCs/>
                <w:color w:val="auto"/>
              </w:rPr>
            </w:pPr>
            <w:r>
              <w:rPr>
                <w:b/>
                <w:bCs/>
                <w:color w:val="auto"/>
              </w:rPr>
              <w:t xml:space="preserve">Phần mềm tạo lập mô hình BIM</w:t>
            </w:r>
            <w:r>
              <w:rPr>
                <w:b/>
                <w:bCs/>
                <w:color w:val="auto"/>
              </w:rPr>
            </w:r>
          </w:p>
        </w:tc>
        <w:tc>
          <w:tcPr>
            <w:tcBorders/>
            <w:tcW w:w="1143" w:type="pct"/>
          </w:tcPr>
          <w:p w14:paraId="57C7F5A6">
            <w:pPr>
              <w:pBdr/>
              <w:spacing w:after="60" w:before="60" w:line="288" w:lineRule="auto"/>
              <w:ind/>
              <w:jc w:val="center"/>
              <w:rPr>
                <w:b/>
                <w:bCs/>
                <w:color w:val="auto"/>
              </w:rPr>
            </w:pPr>
            <w:r>
              <w:rPr>
                <w:b/>
                <w:bCs/>
                <w:color w:val="auto"/>
              </w:rPr>
              <w:t xml:space="preserve">Phần mềm kiểm soát mô hình BIM</w:t>
            </w:r>
            <w:r>
              <w:rPr>
                <w:b/>
                <w:bCs/>
                <w:color w:val="auto"/>
              </w:rPr>
            </w:r>
          </w:p>
        </w:tc>
        <w:tc>
          <w:tcPr>
            <w:tcBorders/>
            <w:tcW w:w="1143" w:type="pct"/>
          </w:tcPr>
          <w:p w14:paraId="7CAD0758">
            <w:pPr>
              <w:pBdr/>
              <w:spacing w:after="60" w:before="60" w:line="288" w:lineRule="auto"/>
              <w:ind/>
              <w:jc w:val="center"/>
              <w:rPr>
                <w:b/>
                <w:bCs/>
                <w:color w:val="auto"/>
              </w:rPr>
            </w:pPr>
            <w:r>
              <w:rPr>
                <w:b/>
                <w:bCs/>
                <w:color w:val="auto"/>
              </w:rPr>
              <w:t xml:space="preserve">Nền tảng Môi trường dữ liệu chung (CDE)</w:t>
            </w:r>
            <w:r>
              <w:rPr>
                <w:b/>
                <w:bCs/>
                <w:color w:val="auto"/>
              </w:rPr>
            </w:r>
          </w:p>
        </w:tc>
      </w:tr>
      <w:tr>
        <w:trPr/>
        <w:tc>
          <w:tcPr>
            <w:tcBorders/>
            <w:tcW w:w="428" w:type="pct"/>
          </w:tcPr>
          <w:p w14:paraId="3145BED1">
            <w:pPr>
              <w:pBdr/>
              <w:spacing w:after="60" w:before="60" w:line="288" w:lineRule="auto"/>
              <w:ind/>
              <w:jc w:val="center"/>
              <w:rPr>
                <w:color w:val="auto"/>
              </w:rPr>
            </w:pPr>
            <w:r>
              <w:rPr>
                <w:color w:val="auto"/>
              </w:rPr>
              <w:t xml:space="preserve">1</w:t>
            </w:r>
            <w:r>
              <w:rPr>
                <w:color w:val="auto"/>
              </w:rPr>
            </w:r>
          </w:p>
        </w:tc>
        <w:tc>
          <w:tcPr>
            <w:tcBorders/>
            <w:tcW w:w="1143" w:type="pct"/>
          </w:tcPr>
          <w:p w14:paraId="5BB61A03">
            <w:pPr>
              <w:pBdr/>
              <w:spacing w:after="60" w:before="60" w:line="288" w:lineRule="auto"/>
              <w:ind/>
              <w:jc w:val="center"/>
              <w:rPr>
                <w:color w:val="auto"/>
              </w:rPr>
            </w:pPr>
            <w:r>
              <w:rPr>
                <w:color w:val="auto"/>
              </w:rPr>
              <w:t xml:space="preserve">AUTODESK </w:t>
            </w:r>
            <w:r>
              <w:rPr>
                <w:color w:val="auto"/>
              </w:rPr>
            </w:r>
          </w:p>
        </w:tc>
        <w:tc>
          <w:tcPr>
            <w:tcBorders/>
            <w:tcW w:w="1143" w:type="pct"/>
          </w:tcPr>
          <w:p w14:paraId="0A358DCA">
            <w:pPr>
              <w:pBdr/>
              <w:spacing w:after="60" w:before="60" w:line="288" w:lineRule="auto"/>
              <w:ind/>
              <w:jc w:val="center"/>
              <w:rPr>
                <w:color w:val="auto"/>
              </w:rPr>
            </w:pPr>
            <w:r>
              <w:rPr>
                <w:color w:val="auto"/>
              </w:rPr>
              <w:t xml:space="preserve">Revit</w:t>
            </w:r>
            <w:r>
              <w:rPr>
                <w:color w:val="auto"/>
              </w:rPr>
            </w:r>
          </w:p>
        </w:tc>
        <w:tc>
          <w:tcPr>
            <w:tcBorders/>
            <w:tcW w:w="1143" w:type="pct"/>
          </w:tcPr>
          <w:p w14:paraId="0972A135">
            <w:pPr>
              <w:pBdr/>
              <w:spacing w:after="60" w:before="60" w:line="288" w:lineRule="auto"/>
              <w:ind/>
              <w:jc w:val="center"/>
              <w:rPr>
                <w:color w:val="auto"/>
              </w:rPr>
            </w:pPr>
            <w:r>
              <w:rPr>
                <w:color w:val="auto"/>
              </w:rPr>
              <w:t xml:space="preserve">Navisworks Manage</w:t>
            </w:r>
            <w:r>
              <w:rPr>
                <w:color w:val="auto"/>
              </w:rPr>
            </w:r>
          </w:p>
        </w:tc>
        <w:tc>
          <w:tcPr>
            <w:tcBorders/>
            <w:tcW w:w="1143" w:type="pct"/>
          </w:tcPr>
          <w:p w14:paraId="28007204">
            <w:pPr>
              <w:pBdr/>
              <w:spacing w:after="60" w:before="60" w:line="288" w:lineRule="auto"/>
              <w:ind/>
              <w:jc w:val="center"/>
              <w:rPr>
                <w:color w:val="auto"/>
              </w:rPr>
            </w:pPr>
            <w:r>
              <w:rPr>
                <w:color w:val="auto"/>
              </w:rPr>
              <w:t xml:space="preserve">Fomra Data Management</w:t>
            </w:r>
            <w:r>
              <w:rPr>
                <w:color w:val="auto"/>
              </w:rPr>
            </w:r>
          </w:p>
        </w:tc>
      </w:tr>
      <w:tr>
        <w:trPr/>
        <w:tc>
          <w:tcPr>
            <w:tcBorders/>
            <w:tcW w:w="428" w:type="pct"/>
          </w:tcPr>
          <w:p w14:paraId="2D8FA147">
            <w:pPr>
              <w:pBdr/>
              <w:spacing w:after="60" w:before="60" w:line="288" w:lineRule="auto"/>
              <w:ind/>
              <w:jc w:val="center"/>
              <w:rPr>
                <w:color w:val="auto"/>
              </w:rPr>
            </w:pPr>
            <w:r>
              <w:rPr>
                <w:color w:val="auto"/>
              </w:rPr>
              <w:t xml:space="preserve">2</w:t>
            </w:r>
            <w:r>
              <w:rPr>
                <w:color w:val="auto"/>
              </w:rPr>
            </w:r>
          </w:p>
        </w:tc>
        <w:tc>
          <w:tcPr>
            <w:tcBorders/>
            <w:tcW w:w="1143" w:type="pct"/>
          </w:tcPr>
          <w:p w14:paraId="7A2AF0BD">
            <w:pPr>
              <w:pBdr/>
              <w:spacing w:after="60" w:before="60" w:line="288" w:lineRule="auto"/>
              <w:ind/>
              <w:jc w:val="center"/>
              <w:rPr>
                <w:color w:val="auto"/>
              </w:rPr>
            </w:pPr>
            <w:r>
              <w:rPr>
                <w:color w:val="auto"/>
              </w:rPr>
              <w:t xml:space="preserve">TRIMBLE </w:t>
            </w:r>
            <w:r>
              <w:rPr>
                <w:color w:val="auto"/>
              </w:rPr>
            </w:r>
          </w:p>
        </w:tc>
        <w:tc>
          <w:tcPr>
            <w:tcBorders/>
            <w:tcW w:w="1143" w:type="pct"/>
          </w:tcPr>
          <w:p w14:paraId="5C627B98">
            <w:pPr>
              <w:pBdr/>
              <w:spacing w:after="60" w:before="60" w:line="288" w:lineRule="auto"/>
              <w:ind/>
              <w:jc w:val="center"/>
              <w:rPr>
                <w:color w:val="auto"/>
              </w:rPr>
            </w:pPr>
            <w:r>
              <w:rPr>
                <w:color w:val="auto"/>
              </w:rPr>
              <w:t xml:space="preserve">Tekla Structure</w:t>
            </w:r>
            <w:r>
              <w:rPr>
                <w:color w:val="auto"/>
              </w:rPr>
            </w:r>
          </w:p>
        </w:tc>
        <w:tc>
          <w:tcPr>
            <w:tcBorders/>
            <w:tcW w:w="1143" w:type="pct"/>
          </w:tcPr>
          <w:p w14:paraId="492C56A7">
            <w:pPr>
              <w:pBdr/>
              <w:spacing w:after="60" w:before="60" w:line="288" w:lineRule="auto"/>
              <w:ind/>
              <w:jc w:val="center"/>
              <w:rPr>
                <w:color w:val="auto"/>
              </w:rPr>
            </w:pPr>
            <w:r>
              <w:rPr>
                <w:color w:val="auto"/>
              </w:rPr>
              <w:t xml:space="preserve">Không có</w:t>
            </w:r>
            <w:r>
              <w:rPr>
                <w:color w:val="auto"/>
              </w:rPr>
            </w:r>
          </w:p>
        </w:tc>
        <w:tc>
          <w:tcPr>
            <w:tcBorders/>
            <w:tcW w:w="1143" w:type="pct"/>
          </w:tcPr>
          <w:p w14:paraId="450515BE">
            <w:pPr>
              <w:pBdr/>
              <w:spacing w:after="60" w:before="60" w:line="288" w:lineRule="auto"/>
              <w:ind/>
              <w:jc w:val="center"/>
              <w:rPr>
                <w:color w:val="auto"/>
              </w:rPr>
            </w:pPr>
            <w:r>
              <w:rPr>
                <w:color w:val="auto"/>
              </w:rPr>
              <w:t xml:space="preserve">Trimble Connect</w:t>
            </w:r>
            <w:r>
              <w:rPr>
                <w:color w:val="auto"/>
              </w:rPr>
            </w:r>
          </w:p>
        </w:tc>
      </w:tr>
      <w:tr>
        <w:trPr/>
        <w:tc>
          <w:tcPr>
            <w:tcBorders/>
            <w:tcW w:w="428" w:type="pct"/>
          </w:tcPr>
          <w:p w14:paraId="43E9BD8B">
            <w:pPr>
              <w:pBdr/>
              <w:spacing w:after="60" w:before="60" w:line="288" w:lineRule="auto"/>
              <w:ind/>
              <w:jc w:val="center"/>
              <w:rPr>
                <w:color w:val="auto"/>
              </w:rPr>
            </w:pPr>
            <w:r>
              <w:rPr>
                <w:color w:val="auto"/>
              </w:rPr>
              <w:t xml:space="preserve">3</w:t>
            </w:r>
            <w:r>
              <w:rPr>
                <w:color w:val="auto"/>
              </w:rPr>
            </w:r>
          </w:p>
        </w:tc>
        <w:tc>
          <w:tcPr>
            <w:tcBorders/>
            <w:tcW w:w="1143" w:type="pct"/>
          </w:tcPr>
          <w:p w14:paraId="79195A67">
            <w:pPr>
              <w:pBdr/>
              <w:spacing w:after="60" w:before="60" w:line="288" w:lineRule="auto"/>
              <w:ind/>
              <w:jc w:val="center"/>
              <w:rPr>
                <w:color w:val="auto"/>
              </w:rPr>
            </w:pPr>
            <w:r>
              <w:rPr>
                <w:color w:val="auto"/>
              </w:rPr>
              <w:t xml:space="preserve">NEMETSCHEK</w:t>
            </w:r>
            <w:r>
              <w:rPr>
                <w:color w:val="auto"/>
              </w:rPr>
            </w:r>
          </w:p>
        </w:tc>
        <w:tc>
          <w:tcPr>
            <w:tcBorders/>
            <w:tcW w:w="1143" w:type="pct"/>
          </w:tcPr>
          <w:p w14:paraId="5CAE2A9C">
            <w:pPr>
              <w:pBdr/>
              <w:spacing w:after="60" w:before="60" w:line="288" w:lineRule="auto"/>
              <w:ind/>
              <w:jc w:val="center"/>
              <w:rPr>
                <w:color w:val="auto"/>
              </w:rPr>
            </w:pPr>
            <w:r>
              <w:rPr>
                <w:color w:val="auto"/>
              </w:rPr>
              <w:t xml:space="preserve">Allplan </w:t>
            </w:r>
            <w:r>
              <w:rPr>
                <w:color w:val="auto"/>
              </w:rPr>
            </w:r>
          </w:p>
        </w:tc>
        <w:tc>
          <w:tcPr>
            <w:tcBorders/>
            <w:tcW w:w="1143" w:type="pct"/>
          </w:tcPr>
          <w:p w14:paraId="20A592FE">
            <w:pPr>
              <w:pBdr/>
              <w:spacing w:after="60" w:before="60" w:line="288" w:lineRule="auto"/>
              <w:ind/>
              <w:jc w:val="center"/>
              <w:rPr>
                <w:color w:val="auto"/>
              </w:rPr>
            </w:pPr>
            <w:r>
              <w:rPr>
                <w:color w:val="auto"/>
              </w:rPr>
              <w:t xml:space="preserve">Solibri</w:t>
            </w:r>
            <w:r>
              <w:rPr>
                <w:color w:val="auto"/>
              </w:rPr>
            </w:r>
          </w:p>
        </w:tc>
        <w:tc>
          <w:tcPr>
            <w:tcBorders/>
            <w:tcW w:w="1143" w:type="pct"/>
          </w:tcPr>
          <w:p w14:paraId="0B04D878">
            <w:pPr>
              <w:pBdr/>
              <w:spacing w:after="60" w:before="60" w:line="288" w:lineRule="auto"/>
              <w:ind/>
              <w:jc w:val="center"/>
              <w:rPr>
                <w:color w:val="auto"/>
              </w:rPr>
            </w:pPr>
            <w:r>
              <w:rPr>
                <w:color w:val="auto"/>
              </w:rPr>
              <w:t xml:space="preserve">BIMPlus</w:t>
            </w:r>
            <w:r>
              <w:rPr>
                <w:color w:val="auto"/>
              </w:rPr>
            </w:r>
          </w:p>
        </w:tc>
      </w:tr>
      <w:tr>
        <w:trPr/>
        <w:tc>
          <w:tcPr>
            <w:tcBorders/>
            <w:tcW w:w="428" w:type="pct"/>
          </w:tcPr>
          <w:p w14:paraId="16AA0427">
            <w:pPr>
              <w:pBdr/>
              <w:spacing w:after="60" w:before="60" w:line="288" w:lineRule="auto"/>
              <w:ind/>
              <w:jc w:val="center"/>
              <w:rPr>
                <w:color w:val="auto"/>
              </w:rPr>
            </w:pPr>
            <w:r>
              <w:rPr>
                <w:color w:val="auto"/>
              </w:rPr>
              <w:t xml:space="preserve">4</w:t>
            </w:r>
            <w:r>
              <w:rPr>
                <w:color w:val="auto"/>
              </w:rPr>
            </w:r>
          </w:p>
        </w:tc>
        <w:tc>
          <w:tcPr>
            <w:tcBorders/>
            <w:tcW w:w="1143" w:type="pct"/>
          </w:tcPr>
          <w:p w14:paraId="136E1BBF">
            <w:pPr>
              <w:pBdr/>
              <w:spacing w:after="60" w:before="60" w:line="288" w:lineRule="auto"/>
              <w:ind/>
              <w:jc w:val="center"/>
              <w:rPr>
                <w:color w:val="auto"/>
              </w:rPr>
            </w:pPr>
            <w:r>
              <w:rPr>
                <w:color w:val="auto"/>
              </w:rPr>
              <w:t xml:space="preserve">BENTLEY</w:t>
            </w:r>
            <w:r>
              <w:rPr>
                <w:color w:val="auto"/>
              </w:rPr>
            </w:r>
          </w:p>
        </w:tc>
        <w:tc>
          <w:tcPr>
            <w:tcBorders/>
            <w:tcW w:w="1143" w:type="pct"/>
          </w:tcPr>
          <w:p w14:paraId="1C56C43B">
            <w:pPr>
              <w:pBdr/>
              <w:spacing w:after="60" w:before="60" w:line="288" w:lineRule="auto"/>
              <w:ind/>
              <w:jc w:val="center"/>
              <w:rPr>
                <w:color w:val="auto"/>
              </w:rPr>
            </w:pPr>
            <w:r>
              <w:rPr>
                <w:color w:val="auto"/>
              </w:rPr>
              <w:t xml:space="preserve">OpenBuilding Designer</w:t>
            </w:r>
            <w:r>
              <w:rPr>
                <w:color w:val="auto"/>
              </w:rPr>
            </w:r>
          </w:p>
        </w:tc>
        <w:tc>
          <w:tcPr>
            <w:tcBorders/>
            <w:tcW w:w="1143" w:type="pct"/>
          </w:tcPr>
          <w:p w14:paraId="2FC932FB">
            <w:pPr>
              <w:pBdr/>
              <w:spacing w:after="60" w:before="60" w:line="288" w:lineRule="auto"/>
              <w:ind/>
              <w:jc w:val="center"/>
              <w:rPr>
                <w:color w:val="auto"/>
              </w:rPr>
            </w:pPr>
            <w:r>
              <w:rPr>
                <w:color w:val="auto"/>
              </w:rPr>
              <w:t xml:space="preserve">Không có</w:t>
            </w:r>
            <w:r>
              <w:rPr>
                <w:color w:val="auto"/>
              </w:rPr>
            </w:r>
          </w:p>
        </w:tc>
        <w:tc>
          <w:tcPr>
            <w:tcBorders/>
            <w:tcW w:w="1143" w:type="pct"/>
          </w:tcPr>
          <w:p w14:paraId="3499BC93">
            <w:pPr>
              <w:pBdr/>
              <w:spacing w:after="60" w:before="60" w:line="288" w:lineRule="auto"/>
              <w:ind/>
              <w:jc w:val="center"/>
              <w:rPr>
                <w:color w:val="auto"/>
              </w:rPr>
            </w:pPr>
            <w:r>
              <w:rPr>
                <w:color w:val="auto"/>
              </w:rPr>
              <w:t xml:space="preserve">ProjectWise</w:t>
            </w:r>
            <w:r>
              <w:rPr>
                <w:color w:val="auto"/>
              </w:rPr>
            </w:r>
          </w:p>
        </w:tc>
      </w:tr>
      <w:tr>
        <w:trPr/>
        <w:tc>
          <w:tcPr>
            <w:tcBorders/>
            <w:tcW w:w="428" w:type="pct"/>
          </w:tcPr>
          <w:p w14:paraId="2D42B237">
            <w:pPr>
              <w:pBdr/>
              <w:spacing w:after="60" w:before="60" w:line="288" w:lineRule="auto"/>
              <w:ind/>
              <w:jc w:val="center"/>
              <w:rPr>
                <w:color w:val="auto"/>
              </w:rPr>
            </w:pPr>
            <w:r>
              <w:rPr>
                <w:color w:val="auto"/>
              </w:rPr>
              <w:t xml:space="preserve">5</w:t>
            </w:r>
            <w:r>
              <w:rPr>
                <w:color w:val="auto"/>
              </w:rPr>
            </w:r>
          </w:p>
        </w:tc>
        <w:tc>
          <w:tcPr>
            <w:tcBorders/>
            <w:tcW w:w="1143" w:type="pct"/>
          </w:tcPr>
          <w:p w14:paraId="72BBC1BE">
            <w:pPr>
              <w:pBdr/>
              <w:spacing w:after="60" w:before="60" w:line="288" w:lineRule="auto"/>
              <w:ind/>
              <w:jc w:val="center"/>
              <w:rPr>
                <w:color w:val="auto"/>
              </w:rPr>
            </w:pPr>
            <w:r>
              <w:rPr>
                <w:color w:val="auto"/>
              </w:rPr>
              <w:t xml:space="preserve">KUBUS</w:t>
            </w:r>
            <w:r>
              <w:rPr>
                <w:color w:val="auto"/>
              </w:rPr>
            </w:r>
          </w:p>
        </w:tc>
        <w:tc>
          <w:tcPr>
            <w:tcBorders/>
            <w:tcW w:w="1143" w:type="pct"/>
          </w:tcPr>
          <w:p w14:paraId="28048718">
            <w:pPr>
              <w:pBdr/>
              <w:spacing w:after="60" w:before="60" w:line="288" w:lineRule="auto"/>
              <w:ind/>
              <w:jc w:val="center"/>
              <w:rPr>
                <w:color w:val="auto"/>
              </w:rPr>
            </w:pPr>
            <w:r>
              <w:rPr>
                <w:color w:val="auto"/>
              </w:rPr>
              <w:t xml:space="preserve">Không có</w:t>
            </w:r>
            <w:r>
              <w:rPr>
                <w:color w:val="auto"/>
              </w:rPr>
            </w:r>
          </w:p>
        </w:tc>
        <w:tc>
          <w:tcPr>
            <w:tcBorders/>
            <w:tcW w:w="1143" w:type="pct"/>
          </w:tcPr>
          <w:p w14:paraId="50BF5AF1">
            <w:pPr>
              <w:pBdr/>
              <w:spacing w:after="60" w:before="60" w:line="288" w:lineRule="auto"/>
              <w:ind/>
              <w:jc w:val="center"/>
              <w:rPr>
                <w:color w:val="auto"/>
              </w:rPr>
            </w:pPr>
            <w:r>
              <w:rPr>
                <w:color w:val="auto"/>
              </w:rPr>
              <w:t xml:space="preserve">BIMCollab ZOOM</w:t>
            </w:r>
            <w:r>
              <w:rPr>
                <w:color w:val="auto"/>
              </w:rPr>
            </w:r>
          </w:p>
        </w:tc>
        <w:tc>
          <w:tcPr>
            <w:tcBorders/>
            <w:tcW w:w="1143" w:type="pct"/>
          </w:tcPr>
          <w:p w14:paraId="5810A45E">
            <w:pPr>
              <w:pBdr/>
              <w:spacing w:after="60" w:before="60" w:line="288" w:lineRule="auto"/>
              <w:ind/>
              <w:jc w:val="center"/>
              <w:rPr>
                <w:color w:val="auto"/>
              </w:rPr>
            </w:pPr>
            <w:r>
              <w:rPr>
                <w:color w:val="auto"/>
              </w:rPr>
              <w:t xml:space="preserve">BIMCollab Plans</w:t>
            </w:r>
            <w:r>
              <w:rPr>
                <w:color w:val="auto"/>
              </w:rPr>
            </w:r>
          </w:p>
        </w:tc>
      </w:tr>
    </w:tbl>
    <w:p w14:paraId="17D418F0">
      <w:pPr>
        <w:pBdr/>
        <w:spacing/>
        <w:ind/>
        <w:rPr/>
      </w:pPr>
      <w:r/>
      <w:r/>
    </w:p>
    <w:p w14:paraId="77E80C40">
      <w:pPr>
        <w:pStyle w:val="726"/>
        <w:pBdr/>
        <w:spacing/>
        <w:ind/>
        <w:rPr/>
      </w:pPr>
      <w:r>
        <w:t xml:space="preserve">III. PHÂN TÍCH ƯU ĐIỂM, NHƯỢC ĐIỂM CỦA GIẢI PHÁP PHẦN MỀM</w:t>
      </w:r>
      <w:r/>
    </w:p>
    <w:p w14:paraId="3059A124">
      <w:pPr>
        <w:pStyle w:val="727"/>
        <w:pBdr/>
        <w:spacing/>
        <w:ind/>
        <w:rPr/>
      </w:pPr>
      <w:r>
        <w:t xml:space="preserve">1. AUTODESK</w:t>
      </w: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6925E5C4">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6DEC877D">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2616A6D8">
            <w:pPr>
              <w:pBdr/>
              <w:spacing w:after="60" w:before="60" w:line="288" w:lineRule="auto"/>
              <w:ind/>
              <w:jc w:val="center"/>
              <w:rPr>
                <w:b/>
                <w:bCs/>
                <w:color w:val="auto"/>
              </w:rPr>
            </w:pPr>
            <w:r>
              <w:rPr>
                <w:b/>
                <w:bCs/>
                <w:color w:val="auto"/>
              </w:rPr>
              <w:t xml:space="preserve">Ưu điểm</w:t>
            </w:r>
            <w:r>
              <w:rPr>
                <w:b/>
                <w:bCs/>
                <w:color w:val="auto"/>
              </w:rPr>
            </w:r>
          </w:p>
        </w:tc>
        <w:tc>
          <w:tcPr>
            <w:tcBorders/>
            <w:tcW w:w="1143" w:type="pct"/>
          </w:tcPr>
          <w:p w14:paraId="4E0B7D9E">
            <w:pPr>
              <w:pBdr/>
              <w:spacing w:after="60" w:before="60" w:line="288" w:lineRule="auto"/>
              <w:ind/>
              <w:jc w:val="center"/>
              <w:rPr>
                <w:b/>
                <w:bCs/>
                <w:color w:val="auto"/>
              </w:rPr>
            </w:pPr>
            <w:r>
              <w:rPr>
                <w:b/>
                <w:bCs/>
                <w:color w:val="auto"/>
              </w:rPr>
              <w:t xml:space="preserve">Nhược điểm</w:t>
            </w:r>
            <w:r>
              <w:rPr>
                <w:b/>
                <w:bCs/>
                <w:color w:val="auto"/>
              </w:rPr>
            </w:r>
          </w:p>
        </w:tc>
        <w:tc>
          <w:tcPr>
            <w:tcBorders/>
            <w:tcW w:w="1143" w:type="pct"/>
          </w:tcPr>
          <w:p w14:paraId="29DEE560">
            <w:pPr>
              <w:pBdr/>
              <w:spacing w:after="60" w:before="60" w:line="288" w:lineRule="auto"/>
              <w:ind/>
              <w:jc w:val="center"/>
              <w:rPr>
                <w:b/>
                <w:bCs/>
                <w:color w:val="auto"/>
              </w:rPr>
            </w:pPr>
            <w:r>
              <w:rPr>
                <w:b/>
                <w:bCs/>
                <w:color w:val="auto"/>
              </w:rPr>
              <w:t xml:space="preserve">Chi phí</w:t>
            </w:r>
            <w:r>
              <w:rPr>
                <w:b/>
                <w:bCs/>
                <w:color w:val="auto"/>
              </w:rPr>
            </w:r>
          </w:p>
        </w:tc>
      </w:tr>
      <w:tr>
        <w:trPr/>
        <w:tc>
          <w:tcPr>
            <w:tcBorders/>
            <w:tcW w:w="428" w:type="pct"/>
          </w:tcPr>
          <w:p w14:paraId="45DD3B9F">
            <w:pPr>
              <w:pBdr/>
              <w:spacing w:after="60" w:before="60" w:line="288" w:lineRule="auto"/>
              <w:ind/>
              <w:jc w:val="center"/>
              <w:rPr>
                <w:color w:val="auto"/>
              </w:rPr>
            </w:pPr>
            <w:r>
              <w:rPr>
                <w:color w:val="auto"/>
              </w:rPr>
              <w:t xml:space="preserve">1</w:t>
            </w:r>
            <w:r>
              <w:rPr>
                <w:color w:val="auto"/>
              </w:rPr>
            </w:r>
          </w:p>
        </w:tc>
        <w:tc>
          <w:tcPr>
            <w:tcBorders/>
            <w:tcW w:w="1143" w:type="pct"/>
          </w:tcPr>
          <w:p w14:paraId="53452764">
            <w:pPr>
              <w:pBdr/>
              <w:spacing w:after="60" w:before="60" w:line="288" w:lineRule="auto"/>
              <w:ind/>
              <w:jc w:val="center"/>
              <w:rPr>
                <w:color w:val="auto"/>
              </w:rPr>
            </w:pPr>
            <w:r>
              <w:rPr>
                <w:color w:val="auto"/>
              </w:rPr>
              <w:t xml:space="preserve">Phần mềm tạo lập mô hình BIM: Revit</w:t>
            </w:r>
            <w:r>
              <w:rPr>
                <w:color w:val="auto"/>
              </w:rPr>
            </w:r>
          </w:p>
        </w:tc>
        <w:tc>
          <w:tcPr>
            <w:tcBorders/>
            <w:tcW w:w="1143" w:type="pct"/>
          </w:tcPr>
          <w:p w14:paraId="3324EB15">
            <w:pPr>
              <w:pBdr/>
              <w:spacing w:after="60" w:before="60" w:line="288" w:lineRule="auto"/>
              <w:ind/>
              <w:jc w:val="both"/>
              <w:rPr>
                <w:color w:val="auto"/>
              </w:rPr>
            </w:pPr>
            <w:r>
              <w:rPr>
                <w:color w:val="auto"/>
              </w:rPr>
              <w:t xml:space="preserve">- Có cộng đồng người sử dụng ở Việt Nam rất lớn.</w:t>
            </w:r>
            <w:r>
              <w:rPr>
                <w:color w:val="auto"/>
              </w:rPr>
            </w:r>
          </w:p>
          <w:p w14:paraId="1F04FEFF">
            <w:pPr>
              <w:pBdr/>
              <w:spacing w:after="60" w:before="60" w:line="288" w:lineRule="auto"/>
              <w:ind/>
              <w:jc w:val="both"/>
              <w:rPr>
                <w:color w:val="auto"/>
              </w:rPr>
            </w:pPr>
            <w:r>
              <w:rPr>
                <w:color w:val="auto"/>
              </w:rPr>
              <w:t xml:space="preserve">- Có thể áp dụng được với đa dạng các thể loại dự án: dân dụng, cầu đường, hạ tầng giao thông, …</w:t>
            </w:r>
            <w:r>
              <w:rPr>
                <w:color w:val="auto"/>
              </w:rPr>
            </w:r>
          </w:p>
        </w:tc>
        <w:tc>
          <w:tcPr>
            <w:tcBorders/>
            <w:tcW w:w="1143" w:type="pct"/>
          </w:tcPr>
          <w:p w14:paraId="17681555">
            <w:pPr>
              <w:pBdr/>
              <w:spacing w:after="60" w:before="60" w:line="288" w:lineRule="auto"/>
              <w:ind/>
              <w:jc w:val="both"/>
              <w:rPr>
                <w:color w:val="auto"/>
              </w:rPr>
            </w:pPr>
            <w:r>
              <w:rPr>
                <w:color w:val="auto"/>
              </w:rPr>
              <w:t xml:space="preserve">- Hạn chế đối với công trình tuyến và địa hình.</w:t>
            </w:r>
            <w:r>
              <w:rPr>
                <w:color w:val="auto"/>
              </w:rPr>
            </w:r>
          </w:p>
          <w:p w14:paraId="1DB7440C">
            <w:pPr>
              <w:pBdr/>
              <w:spacing w:after="60" w:before="60" w:line="288" w:lineRule="auto"/>
              <w:ind/>
              <w:jc w:val="both"/>
              <w:rPr>
                <w:color w:val="auto"/>
              </w:rPr>
            </w:pPr>
            <w:r>
              <w:rPr>
                <w:color w:val="auto"/>
              </w:rPr>
              <w:t xml:space="preserve">- Xử lý hệ tọa độ đường cong phức tạp, siêu cao ngả dốc và san nền địa hình trải dài không tốt (buộc phải sử dụng kết hợp với phần mềm Civil 3D).</w:t>
            </w:r>
            <w:r>
              <w:rPr>
                <w:color w:val="auto"/>
              </w:rPr>
            </w:r>
          </w:p>
        </w:tc>
        <w:tc>
          <w:tcPr>
            <w:tcBorders/>
            <w:tcW w:w="1143" w:type="pct"/>
          </w:tcPr>
          <w:p w14:paraId="60797197">
            <w:pPr>
              <w:pBdr/>
              <w:spacing w:after="60" w:before="60" w:line="288" w:lineRule="auto"/>
              <w:ind/>
              <w:jc w:val="both"/>
              <w:rPr>
                <w:color w:val="auto"/>
              </w:rPr>
            </w:pPr>
            <w:r>
              <w:rPr>
                <w:color w:val="auto"/>
              </w:rPr>
              <w:t xml:space="preserve">- Chi phí công bố trên website:</w:t>
            </w:r>
            <w:r>
              <w:rPr>
                <w:color w:val="auto"/>
              </w:rPr>
            </w:r>
          </w:p>
          <w:p w14:paraId="1ABA37CF">
            <w:pPr>
              <w:pBdr/>
              <w:spacing w:after="60" w:before="60" w:line="288" w:lineRule="auto"/>
              <w:ind/>
              <w:jc w:val="both"/>
              <w:rPr>
                <w:color w:val="auto"/>
              </w:rPr>
            </w:pPr>
            <w:r>
              <w:rPr>
                <w:color w:val="auto"/>
              </w:rPr>
              <w:t xml:space="preserve">60.000.000 VNĐ/ 1 user/ 1 năm</w:t>
            </w:r>
            <w:r>
              <w:rPr>
                <w:color w:val="auto"/>
              </w:rPr>
            </w:r>
          </w:p>
        </w:tc>
      </w:tr>
      <w:tr>
        <w:trPr/>
        <w:tc>
          <w:tcPr>
            <w:tcBorders/>
            <w:tcW w:w="428" w:type="pct"/>
          </w:tcPr>
          <w:p w14:paraId="4193A8EF">
            <w:pPr>
              <w:pBdr/>
              <w:spacing w:after="60" w:before="60" w:line="288" w:lineRule="auto"/>
              <w:ind/>
              <w:jc w:val="center"/>
              <w:rPr>
                <w:color w:val="auto"/>
              </w:rPr>
            </w:pPr>
            <w:r>
              <w:rPr>
                <w:color w:val="auto"/>
              </w:rPr>
              <w:t xml:space="preserve">2</w:t>
            </w:r>
            <w:r>
              <w:rPr>
                <w:color w:val="auto"/>
              </w:rPr>
            </w:r>
          </w:p>
        </w:tc>
        <w:tc>
          <w:tcPr>
            <w:tcBorders/>
            <w:tcW w:w="1143" w:type="pct"/>
          </w:tcPr>
          <w:p w14:paraId="58C4BBF4">
            <w:pPr>
              <w:pBdr/>
              <w:spacing w:after="60" w:before="60" w:line="288" w:lineRule="auto"/>
              <w:ind/>
              <w:jc w:val="center"/>
              <w:rPr>
                <w:color w:val="auto"/>
              </w:rPr>
            </w:pPr>
            <w:r>
              <w:rPr>
                <w:color w:val="auto"/>
              </w:rPr>
              <w:t xml:space="preserve">Phần mềm </w:t>
            </w:r>
            <w:r>
              <w:rPr>
                <w:rFonts w:hint="default"/>
                <w:color w:val="auto"/>
                <w:lang w:val="en-US"/>
              </w:rPr>
              <w:t xml:space="preserve">kiểm soát</w:t>
            </w:r>
            <w:r>
              <w:rPr>
                <w:color w:val="auto"/>
              </w:rPr>
              <w:t xml:space="preserve"> mô hình BIM: Navisworks Manage</w:t>
            </w:r>
            <w:r>
              <w:rPr>
                <w:color w:val="auto"/>
              </w:rPr>
            </w:r>
          </w:p>
        </w:tc>
        <w:tc>
          <w:tcPr>
            <w:tcBorders/>
            <w:tcW w:w="1143" w:type="pct"/>
          </w:tcPr>
          <w:p w14:paraId="42496740">
            <w:pPr>
              <w:pBdr/>
              <w:spacing w:after="60" w:before="60" w:line="288" w:lineRule="auto"/>
              <w:ind/>
              <w:jc w:val="both"/>
              <w:rPr>
                <w:color w:val="auto"/>
              </w:rPr>
            </w:pPr>
            <w:r>
              <w:rPr>
                <w:color w:val="auto"/>
              </w:rPr>
              <w:t xml:space="preserve">- Có cộng đồng người sử dụng ở Việt Nam rất lớn.</w:t>
            </w:r>
            <w:r>
              <w:rPr>
                <w:color w:val="auto"/>
              </w:rPr>
            </w:r>
          </w:p>
          <w:p w14:paraId="239E1F04">
            <w:pPr>
              <w:pBdr/>
              <w:spacing w:after="60" w:before="60" w:line="288" w:lineRule="auto"/>
              <w:ind/>
              <w:jc w:val="both"/>
              <w:rPr>
                <w:color w:val="auto"/>
              </w:rPr>
            </w:pPr>
            <w:r>
              <w:rPr>
                <w:color w:val="auto"/>
              </w:rPr>
              <w:t xml:space="preserve">- Có thể đọc được các định dạng trao đổi trong hệ sinh thái của Autodesk: .nwc, .nwd, .nwf</w:t>
            </w:r>
            <w:r>
              <w:rPr>
                <w:color w:val="auto"/>
              </w:rPr>
            </w:r>
          </w:p>
          <w:p w14:paraId="0E6B6566">
            <w:pPr>
              <w:pBdr/>
              <w:spacing w:after="60" w:before="60" w:line="288" w:lineRule="auto"/>
              <w:ind/>
              <w:jc w:val="both"/>
              <w:rPr>
                <w:color w:val="auto"/>
              </w:rPr>
            </w:pPr>
            <w:r>
              <w:rPr>
                <w:color w:val="auto"/>
              </w:rPr>
              <w:t xml:space="preserve">- Có thể mô phỏng được tiến độ thi công (BIM 4D).</w:t>
            </w:r>
            <w:r>
              <w:rPr>
                <w:color w:val="auto"/>
              </w:rPr>
            </w:r>
          </w:p>
        </w:tc>
        <w:tc>
          <w:tcPr>
            <w:tcBorders/>
            <w:tcW w:w="1143" w:type="pct"/>
          </w:tcPr>
          <w:p w14:paraId="35E003ED">
            <w:pPr>
              <w:pBdr/>
              <w:spacing w:after="60" w:before="60" w:line="288" w:lineRule="auto"/>
              <w:ind/>
              <w:jc w:val="both"/>
              <w:rPr>
                <w:color w:val="auto"/>
              </w:rPr>
            </w:pPr>
            <w:r>
              <w:rPr>
                <w:color w:val="auto"/>
              </w:rPr>
              <w:t xml:space="preserve">- Yêu cầu máy tính có cấu hình cao.</w:t>
            </w:r>
            <w:r>
              <w:rPr>
                <w:color w:val="auto"/>
              </w:rPr>
            </w:r>
          </w:p>
          <w:p w14:paraId="491DA0CB">
            <w:pPr>
              <w:pBdr/>
              <w:spacing w:after="60" w:before="60" w:line="288" w:lineRule="auto"/>
              <w:ind/>
              <w:jc w:val="both"/>
              <w:rPr>
                <w:color w:val="auto"/>
              </w:rPr>
            </w:pPr>
            <w:r>
              <w:rPr>
                <w:color w:val="auto"/>
              </w:rPr>
              <w:t xml:space="preserve">- Giao diện phức tạp, có nhiều thanh công cụ.</w:t>
            </w:r>
            <w:r>
              <w:rPr>
                <w:color w:val="auto"/>
              </w:rPr>
            </w:r>
          </w:p>
        </w:tc>
        <w:tc>
          <w:tcPr>
            <w:tcBorders/>
            <w:tcW w:w="1143" w:type="pct"/>
          </w:tcPr>
          <w:p w14:paraId="343559BC">
            <w:pPr>
              <w:pBdr/>
              <w:spacing w:after="60" w:before="60" w:line="288" w:lineRule="auto"/>
              <w:ind/>
              <w:jc w:val="both"/>
              <w:rPr>
                <w:color w:val="auto"/>
              </w:rPr>
            </w:pPr>
            <w:r>
              <w:rPr>
                <w:color w:val="auto"/>
              </w:rPr>
              <w:t xml:space="preserve">- Chi phí công bố trên website:</w:t>
            </w:r>
            <w:r>
              <w:rPr>
                <w:color w:val="auto"/>
              </w:rPr>
            </w:r>
          </w:p>
          <w:p w14:paraId="10AE6211">
            <w:pPr>
              <w:pBdr/>
              <w:spacing w:after="60" w:before="60" w:line="288" w:lineRule="auto"/>
              <w:ind/>
              <w:jc w:val="both"/>
              <w:rPr>
                <w:color w:val="auto"/>
              </w:rPr>
            </w:pPr>
            <w:r>
              <w:rPr>
                <w:color w:val="auto"/>
              </w:rPr>
              <w:t xml:space="preserve">75.300.000 VNĐ/ 1 user/ 1 năm</w:t>
            </w:r>
            <w:r>
              <w:rPr>
                <w:color w:val="auto"/>
              </w:rPr>
            </w:r>
          </w:p>
        </w:tc>
      </w:tr>
      <w:tr>
        <w:trPr/>
        <w:tc>
          <w:tcPr>
            <w:tcBorders/>
            <w:tcW w:w="428" w:type="pct"/>
          </w:tcPr>
          <w:p w14:paraId="12B70D54">
            <w:pPr>
              <w:pBdr/>
              <w:spacing w:after="60" w:before="60" w:line="288" w:lineRule="auto"/>
              <w:ind/>
              <w:jc w:val="center"/>
              <w:rPr>
                <w:color w:val="auto"/>
              </w:rPr>
            </w:pPr>
            <w:r>
              <w:rPr>
                <w:color w:val="auto"/>
              </w:rPr>
              <w:t xml:space="preserve">3</w:t>
            </w:r>
            <w:r>
              <w:rPr>
                <w:color w:val="auto"/>
              </w:rPr>
            </w:r>
          </w:p>
        </w:tc>
        <w:tc>
          <w:tcPr>
            <w:tcBorders/>
            <w:tcW w:w="1143" w:type="pct"/>
          </w:tcPr>
          <w:p w14:paraId="13870744">
            <w:pPr>
              <w:pBdr/>
              <w:spacing w:after="60" w:before="60" w:line="288" w:lineRule="auto"/>
              <w:ind/>
              <w:jc w:val="center"/>
              <w:rPr>
                <w:color w:val="auto"/>
              </w:rPr>
            </w:pPr>
            <w:r>
              <w:rPr>
                <w:color w:val="auto"/>
              </w:rPr>
              <w:t xml:space="preserve">Nền tảng môi trường dữ liệu chung (CDE): Fomra Data Management</w:t>
            </w:r>
            <w:r>
              <w:rPr>
                <w:color w:val="auto"/>
              </w:rPr>
            </w:r>
          </w:p>
        </w:tc>
        <w:tc>
          <w:tcPr>
            <w:tcBorders/>
            <w:tcW w:w="1143" w:type="pct"/>
          </w:tcPr>
          <w:p w14:paraId="356A2E2F">
            <w:pPr>
              <w:pBdr/>
              <w:spacing w:after="60" w:before="60" w:line="288" w:lineRule="auto"/>
              <w:ind/>
              <w:jc w:val="both"/>
              <w:rPr>
                <w:color w:val="auto"/>
              </w:rPr>
            </w:pPr>
            <w:r>
              <w:rPr>
                <w:color w:val="auto"/>
              </w:rPr>
              <w:t xml:space="preserve">- Có cộng đồng người sử dụng ở Việt Nam rất lớn.</w:t>
            </w:r>
            <w:r>
              <w:rPr>
                <w:color w:val="auto"/>
              </w:rPr>
            </w:r>
          </w:p>
          <w:p w14:paraId="3E2E7493">
            <w:pPr>
              <w:pBdr/>
              <w:spacing w:after="60" w:before="60" w:line="288" w:lineRule="auto"/>
              <w:ind/>
              <w:jc w:val="both"/>
              <w:rPr>
                <w:color w:val="auto"/>
              </w:rPr>
            </w:pPr>
            <w:r>
              <w:rPr>
                <w:color w:val="auto"/>
              </w:rPr>
              <w:t xml:space="preserve">- Chính sách bán hàng linh hoạt: có thể mua lẻ theo từng user.</w:t>
            </w:r>
            <w:r>
              <w:rPr>
                <w:color w:val="auto"/>
              </w:rPr>
            </w:r>
          </w:p>
        </w:tc>
        <w:tc>
          <w:tcPr>
            <w:tcBorders/>
            <w:tcW w:w="1143" w:type="pct"/>
          </w:tcPr>
          <w:p w14:paraId="06FB6132">
            <w:pPr>
              <w:pBdr/>
              <w:spacing w:after="60" w:before="60" w:line="288" w:lineRule="auto"/>
              <w:ind/>
              <w:jc w:val="both"/>
              <w:rPr>
                <w:color w:val="auto"/>
              </w:rPr>
            </w:pPr>
            <w:r>
              <w:rPr>
                <w:color w:val="auto"/>
              </w:rPr>
              <w:t xml:space="preserve">- Phụ thuộc vào kết nối Internet.</w:t>
            </w:r>
            <w:r>
              <w:rPr>
                <w:color w:val="auto"/>
              </w:rPr>
            </w:r>
          </w:p>
          <w:p w14:paraId="173B0013">
            <w:pPr>
              <w:pBdr/>
              <w:spacing w:after="60" w:before="60" w:line="288" w:lineRule="auto"/>
              <w:ind/>
              <w:jc w:val="both"/>
              <w:rPr>
                <w:color w:val="auto"/>
              </w:rPr>
            </w:pPr>
            <w:r>
              <w:rPr>
                <w:color w:val="auto"/>
              </w:rPr>
              <w:t xml:space="preserve">- Phải sử dụng định dạng trao đổi (.nwd) để phối hợp trên nền tảng cloud. </w:t>
            </w:r>
            <w:r>
              <w:rPr>
                <w:color w:val="auto"/>
              </w:rPr>
            </w:r>
          </w:p>
        </w:tc>
        <w:tc>
          <w:tcPr>
            <w:tcBorders/>
            <w:tcW w:w="1143" w:type="pct"/>
          </w:tcPr>
          <w:p w14:paraId="7B35F6FE">
            <w:pPr>
              <w:pBdr/>
              <w:spacing w:after="60" w:before="60" w:line="288" w:lineRule="auto"/>
              <w:ind/>
              <w:jc w:val="both"/>
              <w:rPr>
                <w:color w:val="auto"/>
              </w:rPr>
            </w:pPr>
            <w:r>
              <w:rPr>
                <w:color w:val="auto"/>
              </w:rPr>
              <w:t xml:space="preserve">- Chi phí công bố trên website:</w:t>
            </w:r>
            <w:r>
              <w:rPr>
                <w:color w:val="auto"/>
              </w:rPr>
            </w:r>
          </w:p>
          <w:p w14:paraId="4D7E961E">
            <w:pPr>
              <w:pBdr/>
              <w:spacing w:after="60" w:before="60" w:line="288" w:lineRule="auto"/>
              <w:ind/>
              <w:jc w:val="both"/>
              <w:rPr>
                <w:color w:val="auto"/>
              </w:rPr>
            </w:pPr>
            <w:r>
              <w:rPr>
                <w:color w:val="auto"/>
              </w:rPr>
              <w:t xml:space="preserve">10.800.000 VNĐ/ 1 user/ 1 năm</w:t>
            </w:r>
            <w:r>
              <w:rPr>
                <w:color w:val="auto"/>
              </w:rPr>
            </w:r>
          </w:p>
        </w:tc>
      </w:tr>
    </w:tbl>
    <w:p w14:paraId="3E3281E0">
      <w:pPr>
        <w:pBdr/>
        <w:spacing w:after="60" w:before="60" w:line="288" w:lineRule="auto"/>
        <w:ind/>
        <w:rPr/>
      </w:pPr>
      <w:r/>
      <w:r/>
    </w:p>
    <w:p w14:paraId="1F7E53A2">
      <w:pPr>
        <w:pStyle w:val="727"/>
        <w:pBdr/>
        <w:spacing/>
        <w:ind/>
        <w:rPr/>
      </w:pPr>
      <w:r>
        <w:t xml:space="preserve">2. TRIMBLE</w:t>
      </w: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0E21B969">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3ED2B661">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34AB7AC9">
            <w:pPr>
              <w:pBdr/>
              <w:spacing w:after="60" w:before="60" w:line="288" w:lineRule="auto"/>
              <w:ind/>
              <w:jc w:val="center"/>
              <w:rPr>
                <w:b/>
                <w:bCs/>
                <w:color w:val="auto"/>
              </w:rPr>
            </w:pPr>
            <w:r>
              <w:rPr>
                <w:b/>
                <w:bCs/>
                <w:color w:val="auto"/>
              </w:rPr>
              <w:t xml:space="preserve">Ưu điểm</w:t>
            </w:r>
            <w:r>
              <w:rPr>
                <w:b/>
                <w:bCs/>
                <w:color w:val="auto"/>
              </w:rPr>
            </w:r>
          </w:p>
        </w:tc>
        <w:tc>
          <w:tcPr>
            <w:tcBorders/>
            <w:tcW w:w="1143" w:type="pct"/>
          </w:tcPr>
          <w:p w14:paraId="319238CD">
            <w:pPr>
              <w:pBdr/>
              <w:spacing w:after="60" w:before="60" w:line="288" w:lineRule="auto"/>
              <w:ind/>
              <w:jc w:val="center"/>
              <w:rPr>
                <w:b/>
                <w:bCs/>
                <w:color w:val="auto"/>
              </w:rPr>
            </w:pPr>
            <w:r>
              <w:rPr>
                <w:b/>
                <w:bCs/>
                <w:color w:val="auto"/>
              </w:rPr>
              <w:t xml:space="preserve">Nhược điểm</w:t>
            </w:r>
            <w:r>
              <w:rPr>
                <w:b/>
                <w:bCs/>
                <w:color w:val="auto"/>
              </w:rPr>
            </w:r>
          </w:p>
        </w:tc>
        <w:tc>
          <w:tcPr>
            <w:tcBorders/>
            <w:tcW w:w="1143" w:type="pct"/>
          </w:tcPr>
          <w:p w14:paraId="5199EAC3">
            <w:pPr>
              <w:pBdr/>
              <w:spacing w:after="60" w:before="60" w:line="288" w:lineRule="auto"/>
              <w:ind/>
              <w:jc w:val="center"/>
              <w:rPr>
                <w:b/>
                <w:bCs/>
                <w:color w:val="auto"/>
              </w:rPr>
            </w:pPr>
            <w:r>
              <w:rPr>
                <w:b/>
                <w:bCs/>
                <w:color w:val="auto"/>
              </w:rPr>
              <w:t xml:space="preserve">Chi phí</w:t>
            </w:r>
            <w:r>
              <w:rPr>
                <w:b/>
                <w:bCs/>
                <w:color w:val="auto"/>
              </w:rPr>
            </w:r>
          </w:p>
        </w:tc>
      </w:tr>
      <w:tr>
        <w:trPr/>
        <w:tc>
          <w:tcPr>
            <w:tcBorders/>
            <w:tcW w:w="428" w:type="pct"/>
          </w:tcPr>
          <w:p w14:paraId="01011109">
            <w:pPr>
              <w:pBdr/>
              <w:spacing w:after="60" w:before="60" w:line="288" w:lineRule="auto"/>
              <w:ind/>
              <w:jc w:val="center"/>
              <w:rPr>
                <w:color w:val="auto"/>
              </w:rPr>
            </w:pPr>
            <w:r>
              <w:rPr>
                <w:color w:val="auto"/>
              </w:rPr>
              <w:t xml:space="preserve">1</w:t>
            </w:r>
            <w:r>
              <w:rPr>
                <w:color w:val="auto"/>
              </w:rPr>
            </w:r>
          </w:p>
        </w:tc>
        <w:tc>
          <w:tcPr>
            <w:tcBorders/>
            <w:tcW w:w="1143" w:type="pct"/>
          </w:tcPr>
          <w:p w14:paraId="20F73062">
            <w:pPr>
              <w:pBdr/>
              <w:spacing w:after="60" w:before="60" w:line="288" w:lineRule="auto"/>
              <w:ind/>
              <w:jc w:val="center"/>
              <w:rPr>
                <w:color w:val="auto"/>
              </w:rPr>
            </w:pPr>
            <w:r>
              <w:rPr>
                <w:color w:val="auto"/>
              </w:rPr>
              <w:t xml:space="preserve">Phần mềm tạo lập mô hình BIM: Tekla Structure</w:t>
            </w:r>
            <w:r>
              <w:rPr>
                <w:color w:val="auto"/>
              </w:rPr>
            </w:r>
          </w:p>
        </w:tc>
        <w:tc>
          <w:tcPr>
            <w:tcBorders/>
            <w:tcW w:w="1143" w:type="pct"/>
          </w:tcPr>
          <w:p w14:paraId="4607D63A">
            <w:pPr>
              <w:pBdr/>
              <w:spacing w:after="60" w:before="60" w:line="288" w:lineRule="auto"/>
              <w:ind/>
              <w:jc w:val="both"/>
              <w:rPr>
                <w:color w:val="auto"/>
              </w:rPr>
            </w:pPr>
            <w:r>
              <w:rPr>
                <w:color w:val="auto"/>
              </w:rPr>
              <w:t xml:space="preserve">- Áp dụng tốt đối với công trình kết cấu thép.</w:t>
            </w:r>
            <w:r>
              <w:rPr>
                <w:color w:val="auto"/>
              </w:rPr>
            </w:r>
          </w:p>
          <w:p w14:paraId="35B23E02">
            <w:pPr>
              <w:pBdr/>
              <w:spacing w:after="60" w:before="60" w:line="288" w:lineRule="auto"/>
              <w:ind/>
              <w:jc w:val="both"/>
              <w:rPr>
                <w:color w:val="auto"/>
              </w:rPr>
            </w:pPr>
            <w:r>
              <w:rPr>
                <w:color w:val="auto"/>
              </w:rPr>
            </w:r>
            <w:r>
              <w:rPr>
                <w:color w:val="auto"/>
              </w:rPr>
            </w:r>
          </w:p>
        </w:tc>
        <w:tc>
          <w:tcPr>
            <w:tcBorders/>
            <w:tcW w:w="1143" w:type="pct"/>
          </w:tcPr>
          <w:p w14:paraId="5D443EBB">
            <w:pPr>
              <w:pBdr/>
              <w:spacing w:after="60" w:before="60" w:line="288" w:lineRule="auto"/>
              <w:ind/>
              <w:jc w:val="both"/>
              <w:rPr>
                <w:color w:val="auto"/>
              </w:rPr>
            </w:pPr>
            <w:r>
              <w:rPr>
                <w:color w:val="auto"/>
              </w:rPr>
              <w:t xml:space="preserve">- Chi phí bản quyền phần mềm lớn.</w:t>
            </w:r>
            <w:r>
              <w:rPr>
                <w:color w:val="auto"/>
              </w:rPr>
            </w:r>
          </w:p>
          <w:p w14:paraId="6017336D">
            <w:pPr>
              <w:pBdr/>
              <w:spacing w:after="60" w:before="60" w:line="288" w:lineRule="auto"/>
              <w:ind/>
              <w:jc w:val="both"/>
              <w:rPr>
                <w:color w:val="auto"/>
              </w:rPr>
            </w:pPr>
            <w:r>
              <w:rPr>
                <w:color w:val="auto"/>
              </w:rPr>
            </w:r>
            <w:r>
              <w:rPr>
                <w:color w:val="auto"/>
              </w:rPr>
            </w:r>
          </w:p>
          <w:p w14:paraId="647431C9">
            <w:pPr>
              <w:pBdr/>
              <w:spacing w:after="60" w:before="60" w:line="288" w:lineRule="auto"/>
              <w:ind/>
              <w:jc w:val="both"/>
              <w:rPr>
                <w:color w:val="auto"/>
              </w:rPr>
            </w:pPr>
            <w:r>
              <w:rPr>
                <w:color w:val="auto"/>
              </w:rPr>
            </w:r>
            <w:r>
              <w:rPr>
                <w:color w:val="auto"/>
              </w:rPr>
            </w:r>
          </w:p>
        </w:tc>
        <w:tc>
          <w:tcPr>
            <w:tcBorders/>
            <w:tcW w:w="1143" w:type="pct"/>
          </w:tcPr>
          <w:p w14:paraId="58A6E5B4">
            <w:pPr>
              <w:pBdr/>
              <w:spacing w:after="60" w:before="60" w:line="288" w:lineRule="auto"/>
              <w:ind/>
              <w:jc w:val="both"/>
              <w:rPr>
                <w:color w:val="auto"/>
              </w:rPr>
            </w:pPr>
            <w:r>
              <w:rPr>
                <w:color w:val="auto"/>
              </w:rPr>
              <w:t xml:space="preserve">- Chi phí:</w:t>
            </w:r>
            <w:r>
              <w:rPr>
                <w:color w:val="auto"/>
              </w:rPr>
            </w:r>
          </w:p>
          <w:p w14:paraId="15C703A2">
            <w:pPr>
              <w:pBdr/>
              <w:spacing w:after="60" w:before="60" w:line="288" w:lineRule="auto"/>
              <w:ind/>
              <w:jc w:val="both"/>
              <w:rPr>
                <w:color w:val="auto"/>
              </w:rPr>
            </w:pPr>
            <w:r>
              <w:rPr>
                <w:color w:val="auto"/>
              </w:rPr>
              <w:t xml:space="preserve">250.000.000 VNĐ/ 1 user/ 1 năm</w:t>
            </w:r>
            <w:r>
              <w:rPr>
                <w:color w:val="auto"/>
              </w:rPr>
            </w:r>
          </w:p>
        </w:tc>
      </w:tr>
      <w:tr>
        <w:trPr/>
        <w:tc>
          <w:tcPr>
            <w:tcBorders/>
            <w:tcW w:w="428" w:type="pct"/>
          </w:tcPr>
          <w:p w14:paraId="5211E20D">
            <w:pPr>
              <w:pBdr/>
              <w:spacing w:after="60" w:before="60" w:line="288" w:lineRule="auto"/>
              <w:ind/>
              <w:jc w:val="center"/>
              <w:rPr>
                <w:color w:val="auto"/>
              </w:rPr>
            </w:pPr>
            <w:r>
              <w:rPr>
                <w:color w:val="auto"/>
              </w:rPr>
              <w:t xml:space="preserve">2</w:t>
            </w:r>
            <w:r>
              <w:rPr>
                <w:color w:val="auto"/>
              </w:rPr>
            </w:r>
          </w:p>
        </w:tc>
        <w:tc>
          <w:tcPr>
            <w:tcBorders/>
            <w:tcW w:w="1143" w:type="pct"/>
          </w:tcPr>
          <w:p w14:paraId="1319FD6B">
            <w:pPr>
              <w:pBdr/>
              <w:spacing w:after="60" w:before="60" w:line="288" w:lineRule="auto"/>
              <w:ind/>
              <w:jc w:val="center"/>
              <w:rPr>
                <w:color w:val="auto"/>
              </w:rPr>
            </w:pPr>
            <w:r>
              <w:rPr>
                <w:color w:val="auto"/>
              </w:rPr>
              <w:t xml:space="preserve">Nền tảng môi trường dữ liệu chung (CDE): Trimble Connect</w:t>
            </w:r>
            <w:r>
              <w:rPr>
                <w:color w:val="auto"/>
              </w:rPr>
            </w:r>
          </w:p>
        </w:tc>
        <w:tc>
          <w:tcPr>
            <w:tcBorders/>
            <w:tcW w:w="1143" w:type="pct"/>
          </w:tcPr>
          <w:p w14:paraId="3DC1F63B">
            <w:pPr>
              <w:pBdr/>
              <w:spacing w:after="60" w:before="60" w:line="288" w:lineRule="auto"/>
              <w:ind/>
              <w:jc w:val="both"/>
              <w:rPr>
                <w:color w:val="auto"/>
              </w:rPr>
            </w:pPr>
            <w:r>
              <w:rPr>
                <w:color w:val="auto"/>
              </w:rPr>
              <w:t xml:space="preserve">- Chính sách bán hàng linh hoạt: có thể mua lẻ theo từng user.</w:t>
            </w:r>
            <w:r>
              <w:rPr>
                <w:color w:val="auto"/>
              </w:rPr>
            </w:r>
          </w:p>
          <w:p w14:paraId="2BB70C97">
            <w:pPr>
              <w:pBdr/>
              <w:spacing w:after="60" w:before="60" w:line="288" w:lineRule="auto"/>
              <w:ind/>
              <w:jc w:val="both"/>
              <w:rPr>
                <w:color w:val="auto"/>
              </w:rPr>
            </w:pPr>
            <w:r>
              <w:rPr>
                <w:color w:val="auto"/>
              </w:rPr>
              <w:t xml:space="preserve">- Hỗ trợ tốt với các định dạng .IFC</w:t>
            </w:r>
            <w:r>
              <w:rPr>
                <w:color w:val="auto"/>
              </w:rPr>
            </w:r>
          </w:p>
        </w:tc>
        <w:tc>
          <w:tcPr>
            <w:tcBorders/>
            <w:tcW w:w="1143" w:type="pct"/>
          </w:tcPr>
          <w:p w14:paraId="1D04243A">
            <w:pPr>
              <w:pBdr/>
              <w:spacing w:after="60" w:before="60" w:line="288" w:lineRule="auto"/>
              <w:ind/>
              <w:jc w:val="both"/>
              <w:rPr>
                <w:color w:val="auto"/>
              </w:rPr>
            </w:pPr>
            <w:r>
              <w:rPr>
                <w:color w:val="auto"/>
              </w:rPr>
              <w:t xml:space="preserve">- Cộng đồng người dùng ở Việt Nam còn hạn chế.</w:t>
            </w:r>
            <w:r>
              <w:rPr>
                <w:color w:val="auto"/>
              </w:rPr>
            </w:r>
          </w:p>
          <w:p w14:paraId="286ACA42">
            <w:pPr>
              <w:pBdr/>
              <w:spacing w:after="60" w:before="60" w:line="288" w:lineRule="auto"/>
              <w:ind/>
              <w:jc w:val="both"/>
              <w:rPr>
                <w:color w:val="auto"/>
              </w:rPr>
            </w:pPr>
            <w:r>
              <w:rPr>
                <w:color w:val="auto"/>
              </w:rPr>
              <w:t xml:space="preserve">- Phụ thuộc vào kết nối Internet.</w:t>
            </w:r>
            <w:r>
              <w:rPr>
                <w:color w:val="auto"/>
              </w:rPr>
            </w:r>
          </w:p>
          <w:p w14:paraId="23DE11CE">
            <w:pPr>
              <w:pBdr/>
              <w:spacing w:after="60" w:before="60" w:line="288" w:lineRule="auto"/>
              <w:ind/>
              <w:jc w:val="both"/>
              <w:rPr>
                <w:color w:val="auto"/>
              </w:rPr>
            </w:pPr>
            <w:r>
              <w:rPr>
                <w:color w:val="auto"/>
              </w:rPr>
              <w:t xml:space="preserve">- Hạn chế đối với 1 số định dạng trong hệ sinh thái của Autodesk như .nwc, .nwd</w:t>
            </w:r>
            <w:r>
              <w:rPr>
                <w:color w:val="auto"/>
              </w:rPr>
            </w:r>
          </w:p>
        </w:tc>
        <w:tc>
          <w:tcPr>
            <w:tcBorders/>
            <w:tcW w:w="1143" w:type="pct"/>
          </w:tcPr>
          <w:p w14:paraId="195DDEC9">
            <w:pPr>
              <w:pBdr/>
              <w:spacing w:after="60" w:before="60" w:line="288" w:lineRule="auto"/>
              <w:ind/>
              <w:jc w:val="both"/>
              <w:rPr>
                <w:color w:val="auto"/>
              </w:rPr>
            </w:pPr>
            <w:r>
              <w:rPr>
                <w:color w:val="auto"/>
              </w:rPr>
              <w:t xml:space="preserve">- Chi phí công bố trên website:</w:t>
            </w:r>
            <w:r>
              <w:rPr>
                <w:color w:val="auto"/>
              </w:rPr>
            </w:r>
          </w:p>
          <w:p w14:paraId="41387B6B">
            <w:pPr>
              <w:pBdr/>
              <w:spacing w:after="60" w:before="60" w:line="288" w:lineRule="auto"/>
              <w:ind/>
              <w:jc w:val="both"/>
              <w:rPr>
                <w:color w:val="auto"/>
              </w:rPr>
            </w:pPr>
            <w:r>
              <w:rPr>
                <w:color w:val="auto"/>
              </w:rPr>
              <w:t xml:space="preserve">4.130.820 VNĐ/ 1 user/ 1 năm</w:t>
            </w:r>
            <w:r>
              <w:rPr>
                <w:color w:val="auto"/>
              </w:rPr>
            </w:r>
          </w:p>
        </w:tc>
      </w:tr>
    </w:tbl>
    <w:p w14:paraId="1C75A4CF">
      <w:pPr>
        <w:pBdr/>
        <w:spacing w:after="60" w:before="60" w:line="288" w:lineRule="auto"/>
        <w:ind/>
        <w:rPr/>
      </w:pPr>
      <w:r/>
      <w:r/>
    </w:p>
    <w:p w14:paraId="1A810840">
      <w:pPr>
        <w:pStyle w:val="727"/>
        <w:pBdr/>
        <w:spacing/>
        <w:ind/>
        <w:rPr/>
      </w:pPr>
      <w:r>
        <w:t xml:space="preserve">3. NEMETSCHEK</w:t>
      </w: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1D722A27">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3FC7E4B9">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729E5CC7">
            <w:pPr>
              <w:pBdr/>
              <w:spacing w:after="60" w:before="60" w:line="288" w:lineRule="auto"/>
              <w:ind/>
              <w:jc w:val="center"/>
              <w:rPr>
                <w:b/>
                <w:bCs/>
                <w:color w:val="auto"/>
              </w:rPr>
            </w:pPr>
            <w:r>
              <w:rPr>
                <w:b/>
                <w:bCs/>
                <w:color w:val="auto"/>
              </w:rPr>
              <w:t xml:space="preserve">Ưu điểm</w:t>
            </w:r>
            <w:r>
              <w:rPr>
                <w:b/>
                <w:bCs/>
                <w:color w:val="auto"/>
              </w:rPr>
            </w:r>
          </w:p>
        </w:tc>
        <w:tc>
          <w:tcPr>
            <w:tcBorders/>
            <w:tcW w:w="1143" w:type="pct"/>
          </w:tcPr>
          <w:p w14:paraId="405A3AC0">
            <w:pPr>
              <w:pBdr/>
              <w:spacing w:after="60" w:before="60" w:line="288" w:lineRule="auto"/>
              <w:ind/>
              <w:jc w:val="center"/>
              <w:rPr>
                <w:b/>
                <w:bCs/>
                <w:color w:val="auto"/>
              </w:rPr>
            </w:pPr>
            <w:r>
              <w:rPr>
                <w:b/>
                <w:bCs/>
                <w:color w:val="auto"/>
              </w:rPr>
              <w:t xml:space="preserve">Nhược điểm</w:t>
            </w:r>
            <w:r>
              <w:rPr>
                <w:b/>
                <w:bCs/>
                <w:color w:val="auto"/>
              </w:rPr>
            </w:r>
          </w:p>
        </w:tc>
        <w:tc>
          <w:tcPr>
            <w:tcBorders/>
            <w:tcW w:w="1143" w:type="pct"/>
          </w:tcPr>
          <w:p w14:paraId="608CA659">
            <w:pPr>
              <w:pBdr/>
              <w:spacing w:after="60" w:before="60" w:line="288" w:lineRule="auto"/>
              <w:ind/>
              <w:jc w:val="center"/>
              <w:rPr>
                <w:b/>
                <w:bCs/>
                <w:color w:val="auto"/>
              </w:rPr>
            </w:pPr>
            <w:r>
              <w:rPr>
                <w:b/>
                <w:bCs/>
                <w:color w:val="auto"/>
              </w:rPr>
              <w:t xml:space="preserve">Chi phí</w:t>
            </w:r>
            <w:r>
              <w:rPr>
                <w:b/>
                <w:bCs/>
                <w:color w:val="auto"/>
              </w:rPr>
            </w:r>
          </w:p>
        </w:tc>
      </w:tr>
      <w:tr>
        <w:trPr/>
        <w:tc>
          <w:tcPr>
            <w:tcBorders/>
            <w:tcW w:w="428" w:type="pct"/>
          </w:tcPr>
          <w:p w14:paraId="58CF6BD5">
            <w:pPr>
              <w:pBdr/>
              <w:spacing w:after="60" w:before="60" w:line="288" w:lineRule="auto"/>
              <w:ind/>
              <w:jc w:val="center"/>
              <w:rPr>
                <w:color w:val="auto"/>
              </w:rPr>
            </w:pPr>
            <w:r>
              <w:rPr>
                <w:color w:val="auto"/>
              </w:rPr>
              <w:t xml:space="preserve">1</w:t>
            </w:r>
            <w:r>
              <w:rPr>
                <w:color w:val="auto"/>
              </w:rPr>
            </w:r>
          </w:p>
        </w:tc>
        <w:tc>
          <w:tcPr>
            <w:tcBorders/>
            <w:tcW w:w="1143" w:type="pct"/>
          </w:tcPr>
          <w:p w14:paraId="2868AD23">
            <w:pPr>
              <w:pBdr/>
              <w:spacing w:after="60" w:before="60" w:line="288" w:lineRule="auto"/>
              <w:ind/>
              <w:jc w:val="center"/>
              <w:rPr>
                <w:color w:val="auto"/>
              </w:rPr>
            </w:pPr>
            <w:r>
              <w:rPr>
                <w:color w:val="auto"/>
              </w:rPr>
              <w:t xml:space="preserve">Phần mềm tạo lập mô hình BIM: Allplan</w:t>
            </w:r>
            <w:r>
              <w:rPr>
                <w:color w:val="auto"/>
              </w:rPr>
            </w:r>
          </w:p>
        </w:tc>
        <w:tc>
          <w:tcPr>
            <w:tcBorders/>
            <w:tcW w:w="1143" w:type="pct"/>
          </w:tcPr>
          <w:p w14:paraId="31BE0DD5">
            <w:pPr>
              <w:pBdr/>
              <w:spacing w:after="60" w:before="60" w:line="288" w:lineRule="auto"/>
              <w:ind/>
              <w:jc w:val="both"/>
              <w:rPr>
                <w:color w:val="auto"/>
              </w:rPr>
            </w:pPr>
            <w:r>
              <w:rPr>
                <w:color w:val="auto"/>
              </w:rPr>
              <w:t xml:space="preserve">- Có thể áp dụng được với đa dạng các thể loại dự án: dân dụng, cầu đường, hạ tầng giao thông, …</w:t>
            </w:r>
            <w:r>
              <w:rPr>
                <w:color w:val="auto"/>
              </w:rPr>
            </w:r>
          </w:p>
        </w:tc>
        <w:tc>
          <w:tcPr>
            <w:tcBorders/>
            <w:tcW w:w="1143" w:type="pct"/>
          </w:tcPr>
          <w:p w14:paraId="2F990554">
            <w:pPr>
              <w:pBdr/>
              <w:spacing w:after="60" w:before="60" w:line="288" w:lineRule="auto"/>
              <w:ind/>
              <w:jc w:val="both"/>
              <w:rPr>
                <w:rFonts w:hint="default"/>
                <w:color w:val="auto"/>
                <w:lang w:val="en-US"/>
              </w:rPr>
            </w:pPr>
            <w:r>
              <w:rPr>
                <w:rFonts w:hint="default"/>
                <w:color w:val="auto"/>
                <w:lang w:val="en-US"/>
              </w:rPr>
              <w:t xml:space="preserve">- Không có cộng đồng người sử dụng ở Việt Nam.</w:t>
            </w:r>
            <w:r>
              <w:rPr>
                <w:rFonts w:hint="default"/>
                <w:color w:val="auto"/>
                <w:lang w:val="en-US"/>
              </w:rPr>
            </w:r>
          </w:p>
          <w:p w14:paraId="1A8BCCBD">
            <w:pPr>
              <w:pBdr/>
              <w:spacing w:after="60" w:before="60" w:line="288" w:lineRule="auto"/>
              <w:ind/>
              <w:jc w:val="both"/>
              <w:rPr>
                <w:rFonts w:hint="default"/>
                <w:color w:val="auto"/>
                <w:lang w:val="en-US"/>
              </w:rPr>
            </w:pPr>
            <w:r>
              <w:rPr>
                <w:rFonts w:hint="default"/>
                <w:color w:val="auto"/>
                <w:lang w:val="en-US"/>
              </w:rPr>
              <w:t xml:space="preserve">- Khách hàng tập trung vào các công ty tư vấn làm dự án ở Châu Âu.</w:t>
            </w:r>
            <w:r>
              <w:rPr>
                <w:rFonts w:hint="default"/>
                <w:color w:val="auto"/>
                <w:lang w:val="en-US"/>
              </w:rPr>
            </w:r>
          </w:p>
        </w:tc>
        <w:tc>
          <w:tcPr>
            <w:tcBorders/>
            <w:tcW w:w="1143" w:type="pct"/>
          </w:tcPr>
          <w:p w14:paraId="1C6E36B8">
            <w:pPr>
              <w:pBdr/>
              <w:spacing w:after="60" w:before="60" w:line="288" w:lineRule="auto"/>
              <w:ind/>
              <w:jc w:val="both"/>
              <w:rPr>
                <w:color w:val="auto"/>
              </w:rPr>
            </w:pPr>
            <w:r>
              <w:rPr>
                <w:color w:val="auto"/>
              </w:rPr>
              <w:t xml:space="preserve">- Chi phí công bố trên website:</w:t>
            </w:r>
            <w:r>
              <w:rPr>
                <w:color w:val="auto"/>
              </w:rPr>
            </w:r>
          </w:p>
          <w:p w14:paraId="4B35E418">
            <w:pPr>
              <w:pBdr/>
              <w:spacing w:after="60" w:before="60" w:line="288" w:lineRule="auto"/>
              <w:ind/>
              <w:jc w:val="both"/>
              <w:rPr>
                <w:color w:val="auto"/>
              </w:rPr>
            </w:pPr>
            <w:r>
              <w:rPr>
                <w:rFonts w:hint="default"/>
                <w:color w:val="auto"/>
                <w:lang w:val="en-US"/>
              </w:rPr>
              <w:t xml:space="preserve">96</w:t>
            </w:r>
            <w:r>
              <w:rPr>
                <w:color w:val="auto"/>
              </w:rPr>
              <w:t xml:space="preserve">.000.000 VNĐ/ 1 user/ 1 năm</w:t>
            </w:r>
            <w:r>
              <w:rPr>
                <w:color w:val="auto"/>
              </w:rPr>
            </w:r>
          </w:p>
        </w:tc>
      </w:tr>
      <w:tr>
        <w:trPr/>
        <w:tc>
          <w:tcPr>
            <w:tcBorders/>
            <w:tcW w:w="428" w:type="pct"/>
          </w:tcPr>
          <w:p w14:paraId="55101D95">
            <w:pPr>
              <w:pBdr/>
              <w:spacing w:after="60" w:before="60" w:line="288" w:lineRule="auto"/>
              <w:ind/>
              <w:jc w:val="center"/>
              <w:rPr>
                <w:color w:val="auto"/>
              </w:rPr>
            </w:pPr>
            <w:r>
              <w:rPr>
                <w:color w:val="auto"/>
              </w:rPr>
              <w:t xml:space="preserve">2</w:t>
            </w:r>
            <w:r>
              <w:rPr>
                <w:color w:val="auto"/>
              </w:rPr>
            </w:r>
          </w:p>
        </w:tc>
        <w:tc>
          <w:tcPr>
            <w:tcBorders/>
            <w:tcW w:w="1143" w:type="pct"/>
          </w:tcPr>
          <w:p w14:paraId="664BD0BE">
            <w:pPr>
              <w:pBdr/>
              <w:spacing w:after="60" w:before="60" w:line="288" w:lineRule="auto"/>
              <w:ind/>
              <w:jc w:val="center"/>
              <w:rPr>
                <w:color w:val="auto"/>
              </w:rPr>
            </w:pPr>
            <w:r>
              <w:rPr>
                <w:color w:val="auto"/>
              </w:rPr>
              <w:t xml:space="preserve">Phần mềm </w:t>
            </w:r>
            <w:r>
              <w:rPr>
                <w:rFonts w:hint="default"/>
                <w:color w:val="auto"/>
                <w:lang w:val="en-US"/>
              </w:rPr>
              <w:t xml:space="preserve">kiểm soát</w:t>
            </w:r>
            <w:r>
              <w:rPr>
                <w:color w:val="auto"/>
              </w:rPr>
              <w:t xml:space="preserve"> mô hình BIM: Solibri</w:t>
            </w:r>
            <w:r>
              <w:rPr>
                <w:color w:val="auto"/>
              </w:rPr>
            </w:r>
          </w:p>
        </w:tc>
        <w:tc>
          <w:tcPr>
            <w:tcBorders/>
            <w:tcW w:w="1143" w:type="pct"/>
          </w:tcPr>
          <w:p w14:paraId="63152B51">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Theo hệ sinh thái OpenBIM</w:t>
            </w:r>
            <w:r>
              <w:rPr>
                <w:rFonts w:hint="default"/>
                <w:color w:val="auto"/>
                <w:lang w:val="en-US"/>
              </w:rPr>
            </w:r>
          </w:p>
          <w:p w14:paraId="11A2B530">
            <w:pPr>
              <w:pBdr/>
              <w:spacing w:after="60" w:before="60" w:line="288" w:lineRule="auto"/>
              <w:ind/>
              <w:jc w:val="both"/>
              <w:rPr>
                <w:rFonts w:hint="default"/>
                <w:color w:val="auto"/>
                <w:lang w:val="en-US"/>
              </w:rPr>
            </w:pPr>
            <w:r>
              <w:rPr>
                <w:rFonts w:hint="default"/>
                <w:color w:val="auto"/>
                <w:lang w:val="en-US"/>
              </w:rPr>
              <w:t xml:space="preserve">- Phù hợp với các định dạng trao đổi .IFC, .BCF</w:t>
            </w:r>
            <w:r>
              <w:rPr>
                <w:rFonts w:hint="default"/>
                <w:color w:val="auto"/>
                <w:lang w:val="en-US"/>
              </w:rPr>
            </w:r>
          </w:p>
          <w:p w14:paraId="598D5432">
            <w:pPr>
              <w:pBdr/>
              <w:spacing w:after="60" w:before="60" w:line="288" w:lineRule="auto"/>
              <w:ind/>
              <w:jc w:val="both"/>
              <w:rPr>
                <w:color w:val="auto"/>
              </w:rPr>
            </w:pPr>
            <w:r>
              <w:rPr>
                <w:color w:val="auto"/>
              </w:rPr>
            </w:r>
            <w:r>
              <w:rPr>
                <w:color w:val="auto"/>
              </w:rPr>
            </w:r>
          </w:p>
        </w:tc>
        <w:tc>
          <w:tcPr>
            <w:tcBorders/>
            <w:tcW w:w="1143" w:type="pct"/>
          </w:tcPr>
          <w:p w14:paraId="739C78FB">
            <w:pPr>
              <w:pBdr/>
              <w:spacing w:after="60" w:before="60" w:line="288" w:lineRule="auto"/>
              <w:ind/>
              <w:jc w:val="both"/>
              <w:rPr>
                <w:rFonts w:hint="default"/>
                <w:color w:val="auto"/>
                <w:lang w:val="en-US"/>
              </w:rPr>
            </w:pPr>
            <w:r>
              <w:rPr>
                <w:rFonts w:hint="default"/>
                <w:color w:val="auto"/>
                <w:lang w:val="en-US"/>
              </w:rPr>
              <w:t xml:space="preserve">- Không có cộng đồng người sử dụng ở Việt Nam.</w:t>
            </w:r>
            <w:r>
              <w:rPr>
                <w:rFonts w:hint="default"/>
                <w:color w:val="auto"/>
                <w:lang w:val="en-US"/>
              </w:rPr>
            </w:r>
          </w:p>
          <w:p w14:paraId="0CB94989">
            <w:pPr>
              <w:pBdr/>
              <w:spacing w:after="60" w:before="60" w:line="288" w:lineRule="auto"/>
              <w:ind/>
              <w:jc w:val="both"/>
              <w:rPr>
                <w:rFonts w:hint="default"/>
                <w:color w:val="auto"/>
                <w:lang w:val="en-US"/>
              </w:rPr>
            </w:pPr>
            <w:r>
              <w:rPr>
                <w:rFonts w:hint="default"/>
                <w:color w:val="auto"/>
                <w:lang w:val="en-US"/>
              </w:rPr>
              <w:t xml:space="preserve">- Khách hàng tập trung vào các công ty tư vấn làm dự án ở Châu Âu.</w:t>
            </w:r>
            <w:r>
              <w:rPr>
                <w:rFonts w:hint="default"/>
                <w:color w:val="auto"/>
                <w:lang w:val="en-US"/>
              </w:rPr>
            </w:r>
          </w:p>
          <w:p w14:paraId="22BA162C">
            <w:pPr>
              <w:pBdr/>
              <w:spacing w:after="60" w:before="60" w:line="288" w:lineRule="auto"/>
              <w:ind/>
              <w:jc w:val="both"/>
              <w:rPr>
                <w:color w:val="auto"/>
              </w:rPr>
            </w:pPr>
            <w:r>
              <w:rPr>
                <w:color w:val="auto"/>
              </w:rPr>
              <w:t xml:space="preserve">-</w:t>
            </w:r>
            <w:r>
              <w:rPr>
                <w:rFonts w:hint="default"/>
                <w:color w:val="auto"/>
                <w:lang w:val="en-US"/>
              </w:rPr>
              <w:t xml:space="preserve"> Không</w:t>
            </w:r>
            <w:r>
              <w:rPr>
                <w:color w:val="auto"/>
              </w:rPr>
              <w:t xml:space="preserve"> thể mô phỏng được tiến độ thi công (BIM 4D).</w:t>
            </w:r>
            <w:r>
              <w:rPr>
                <w:color w:val="auto"/>
              </w:rPr>
            </w:r>
          </w:p>
        </w:tc>
        <w:tc>
          <w:tcPr>
            <w:tcBorders/>
            <w:tcW w:w="1143" w:type="pct"/>
          </w:tcPr>
          <w:p w14:paraId="409B9B99">
            <w:pPr>
              <w:pBdr/>
              <w:spacing w:after="60" w:before="60" w:line="288" w:lineRule="auto"/>
              <w:ind/>
              <w:jc w:val="both"/>
              <w:rPr>
                <w:color w:val="auto"/>
              </w:rPr>
            </w:pPr>
            <w:r>
              <w:rPr>
                <w:color w:val="auto"/>
              </w:rPr>
              <w:t xml:space="preserve">- Chi phí công bố trên website:</w:t>
            </w:r>
            <w:r>
              <w:rPr>
                <w:color w:val="auto"/>
              </w:rPr>
            </w:r>
          </w:p>
          <w:p w14:paraId="2CAD154C">
            <w:pPr>
              <w:pBdr/>
              <w:spacing w:after="60" w:before="60" w:line="288" w:lineRule="auto"/>
              <w:ind/>
              <w:jc w:val="both"/>
              <w:rPr>
                <w:color w:val="auto"/>
              </w:rPr>
            </w:pPr>
            <w:r>
              <w:rPr>
                <w:rFonts w:hint="default"/>
                <w:color w:val="auto"/>
                <w:lang w:val="en-US"/>
              </w:rPr>
              <w:t xml:space="preserve">45</w:t>
            </w:r>
            <w:r>
              <w:rPr>
                <w:color w:val="auto"/>
              </w:rPr>
              <w:t xml:space="preserve">.</w:t>
            </w:r>
            <w:r>
              <w:rPr>
                <w:rFonts w:hint="default"/>
                <w:color w:val="auto"/>
                <w:lang w:val="en-US"/>
              </w:rPr>
              <w:t xml:space="preserve">0</w:t>
            </w:r>
            <w:r>
              <w:rPr>
                <w:color w:val="auto"/>
              </w:rPr>
              <w:t xml:space="preserve">00.000 VNĐ/ 1 user/ 1 năm</w:t>
            </w:r>
            <w:r>
              <w:rPr>
                <w:color w:val="auto"/>
              </w:rPr>
            </w:r>
          </w:p>
        </w:tc>
      </w:tr>
      <w:tr>
        <w:trPr/>
        <w:tc>
          <w:tcPr>
            <w:tcBorders/>
            <w:tcW w:w="428" w:type="pct"/>
          </w:tcPr>
          <w:p w14:paraId="13BCAF50">
            <w:pPr>
              <w:pBdr/>
              <w:spacing w:after="60" w:before="60" w:line="288" w:lineRule="auto"/>
              <w:ind/>
              <w:jc w:val="center"/>
              <w:rPr>
                <w:color w:val="auto"/>
              </w:rPr>
            </w:pPr>
            <w:r>
              <w:rPr>
                <w:color w:val="auto"/>
              </w:rPr>
              <w:t xml:space="preserve">3</w:t>
            </w:r>
            <w:r>
              <w:rPr>
                <w:color w:val="auto"/>
              </w:rPr>
            </w:r>
          </w:p>
        </w:tc>
        <w:tc>
          <w:tcPr>
            <w:tcBorders/>
            <w:tcW w:w="1143" w:type="pct"/>
          </w:tcPr>
          <w:p w14:paraId="489E58AB">
            <w:pPr>
              <w:pBdr/>
              <w:spacing w:after="60" w:before="60" w:line="288" w:lineRule="auto"/>
              <w:ind/>
              <w:jc w:val="center"/>
              <w:rPr>
                <w:color w:val="auto"/>
              </w:rPr>
            </w:pPr>
            <w:r>
              <w:rPr>
                <w:color w:val="auto"/>
              </w:rPr>
              <w:t xml:space="preserve">Nền tảng môi trường dữ liệu chung (CDE): BIMPlus</w:t>
            </w:r>
            <w:r>
              <w:rPr>
                <w:color w:val="auto"/>
              </w:rPr>
            </w:r>
          </w:p>
        </w:tc>
        <w:tc>
          <w:tcPr>
            <w:tcBorders/>
            <w:tcW w:w="1143" w:type="pct"/>
          </w:tcPr>
          <w:p w14:paraId="417B1B65">
            <w:pPr>
              <w:pBdr/>
              <w:spacing w:after="60" w:before="60" w:line="288" w:lineRule="auto"/>
              <w:ind/>
              <w:jc w:val="both"/>
              <w:rPr>
                <w:color w:val="auto"/>
              </w:rPr>
            </w:pPr>
            <w:r>
              <w:rPr>
                <w:color w:val="auto"/>
              </w:rPr>
              <w:t xml:space="preserve">- Chính sách bán hàng linh hoạt: có thể mua lẻ theo từng user.</w:t>
            </w:r>
            <w:r>
              <w:rPr>
                <w:color w:val="auto"/>
              </w:rPr>
            </w:r>
          </w:p>
        </w:tc>
        <w:tc>
          <w:tcPr>
            <w:tcBorders/>
            <w:tcW w:w="1143" w:type="pct"/>
          </w:tcPr>
          <w:p w14:paraId="2AD6B68D">
            <w:pPr>
              <w:pBdr/>
              <w:spacing w:after="60" w:before="60" w:line="288" w:lineRule="auto"/>
              <w:ind/>
              <w:jc w:val="both"/>
              <w:rPr>
                <w:color w:val="auto"/>
              </w:rPr>
            </w:pPr>
            <w:r>
              <w:rPr>
                <w:color w:val="auto"/>
              </w:rPr>
              <w:t xml:space="preserve">- Phụ thuộc vào kết nối Internet.</w:t>
            </w:r>
            <w:r>
              <w:rPr>
                <w:color w:val="auto"/>
              </w:rPr>
            </w:r>
          </w:p>
          <w:p w14:paraId="0A26164B">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Không có cộng đồng người sử dụng ở Việt Nam.</w:t>
            </w:r>
            <w:r>
              <w:rPr>
                <w:rFonts w:hint="default"/>
                <w:color w:val="auto"/>
                <w:lang w:val="en-US"/>
              </w:rPr>
            </w:r>
          </w:p>
          <w:p w14:paraId="133E06C4">
            <w:pPr>
              <w:pBdr/>
              <w:spacing w:after="60" w:before="60" w:line="288" w:lineRule="auto"/>
              <w:ind/>
              <w:jc w:val="both"/>
              <w:rPr>
                <w:rFonts w:hint="default"/>
                <w:color w:val="auto"/>
                <w:lang w:val="en-US"/>
              </w:rPr>
            </w:pPr>
            <w:r>
              <w:rPr>
                <w:color w:val="auto"/>
              </w:rPr>
              <w:t xml:space="preserve">- Hạn chế đối với 1 số định dạng trong hệ sinh thái của Autodesk như .nwc, .nwd</w:t>
            </w:r>
            <w:r>
              <w:rPr>
                <w:rFonts w:hint="default"/>
                <w:color w:val="auto"/>
                <w:lang w:val="en-US"/>
              </w:rPr>
              <w:t xml:space="preserve">.</w:t>
            </w:r>
            <w:r>
              <w:rPr>
                <w:rFonts w:hint="default"/>
                <w:color w:val="auto"/>
                <w:lang w:val="en-US"/>
              </w:rPr>
            </w:r>
          </w:p>
        </w:tc>
        <w:tc>
          <w:tcPr>
            <w:tcBorders/>
            <w:tcW w:w="1143" w:type="pct"/>
          </w:tcPr>
          <w:p w14:paraId="7231F144">
            <w:pPr>
              <w:pBdr/>
              <w:spacing w:after="60" w:before="60" w:line="288" w:lineRule="auto"/>
              <w:ind/>
              <w:jc w:val="both"/>
              <w:rPr>
                <w:color w:val="auto"/>
              </w:rPr>
            </w:pPr>
            <w:r>
              <w:rPr>
                <w:color w:val="auto"/>
              </w:rPr>
              <w:t xml:space="preserve">- Chi phí công bố trên website:</w:t>
            </w:r>
            <w:r>
              <w:rPr>
                <w:color w:val="auto"/>
              </w:rPr>
            </w:r>
          </w:p>
          <w:p w14:paraId="0101BC7C">
            <w:pPr>
              <w:pBdr/>
              <w:spacing w:after="60" w:before="60" w:line="288" w:lineRule="auto"/>
              <w:ind/>
              <w:jc w:val="both"/>
              <w:rPr>
                <w:color w:val="auto"/>
              </w:rPr>
            </w:pPr>
            <w:r>
              <w:rPr>
                <w:color w:val="auto"/>
              </w:rPr>
              <w:t xml:space="preserve">10.</w:t>
            </w:r>
            <w:r>
              <w:rPr>
                <w:rFonts w:hint="default"/>
                <w:color w:val="auto"/>
                <w:lang w:val="en-US"/>
              </w:rPr>
              <w:t xml:space="preserve">0</w:t>
            </w:r>
            <w:r>
              <w:rPr>
                <w:color w:val="auto"/>
              </w:rPr>
              <w:t xml:space="preserve">00.000 VNĐ/ 1 user/ 1 năm</w:t>
            </w:r>
            <w:r>
              <w:rPr>
                <w:color w:val="auto"/>
              </w:rPr>
            </w:r>
          </w:p>
        </w:tc>
      </w:tr>
    </w:tbl>
    <w:p w14:paraId="29A42DE2">
      <w:pPr>
        <w:pBdr/>
        <w:spacing w:after="60" w:before="60" w:line="288" w:lineRule="auto"/>
        <w:ind/>
        <w:rPr/>
      </w:pPr>
      <w:r/>
      <w:r/>
    </w:p>
    <w:p w14:paraId="0C5DE49E">
      <w:pPr>
        <w:pStyle w:val="727"/>
        <w:numPr>
          <w:ilvl w:val="0"/>
          <w:numId w:val="8"/>
        </w:numPr>
        <w:pBdr/>
        <w:spacing/>
        <w:ind/>
        <w:rPr>
          <w:rFonts w:hint="default"/>
          <w:lang w:val="en-US"/>
        </w:rPr>
      </w:pPr>
      <w:r>
        <w:rPr>
          <w:rFonts w:hint="default"/>
          <w:lang w:val="en-US"/>
        </w:rPr>
        <w:t xml:space="preserve">KUBUS</w:t>
      </w:r>
      <w:r>
        <w:rPr>
          <w:rFonts w:hint="default"/>
          <w:lang w:val="en-US"/>
        </w:rPr>
      </w:r>
    </w:p>
    <w:p w14:paraId="7F769EF1">
      <w:pPr>
        <w:numPr>
          <w:numId w:val="0"/>
        </w:numPr>
        <w:pBdr/>
        <w:spacing w:after="200" w:line="276" w:lineRule="auto"/>
        <w:ind/>
        <w:rPr>
          <w:rFonts w:hint="default"/>
          <w:lang w:val="en-US"/>
        </w:rPr>
      </w:pPr>
      <w:r>
        <w:rPr>
          <w:rFonts w:hint="default"/>
          <w:lang w:val="en-US"/>
        </w:rPr>
      </w:r>
      <w:r>
        <w:rPr>
          <w:rFonts w:hint="default"/>
          <w:lang w:val="en-US"/>
        </w:rPr>
      </w:r>
    </w:p>
    <w:p w14:paraId="0C015D4E">
      <w:pPr>
        <w:numPr>
          <w:numId w:val="0"/>
        </w:numPr>
        <w:pBdr/>
        <w:spacing w:after="200" w:line="276" w:lineRule="auto"/>
        <w:ind/>
        <w:rPr>
          <w:rFonts w:hint="default"/>
          <w:lang w:val="en-US"/>
        </w:rPr>
      </w:pPr>
      <w:r>
        <w:rPr>
          <w:rFonts w:hint="default"/>
          <w:lang w:val="en-US"/>
        </w:rPr>
      </w:r>
      <w:r>
        <w:rPr>
          <w:rFonts w:hint="default"/>
          <w:lang w:val="en-US"/>
        </w:rP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blHeader/>
        </w:trPr>
        <w:tc>
          <w:tcPr>
            <w:tcBorders/>
            <w:tcW w:w="428" w:type="pct"/>
            <w:vAlign w:val="top"/>
          </w:tcPr>
          <w:p w14:paraId="745BE935">
            <w:pPr>
              <w:pBdr/>
              <w:spacing w:after="60" w:before="60" w:line="288" w:lineRule="auto"/>
              <w:ind/>
              <w:jc w:val="center"/>
              <w:rPr>
                <w:b/>
                <w:bCs/>
                <w:color w:val="auto"/>
              </w:rPr>
            </w:pPr>
            <w:r>
              <w:rPr>
                <w:b/>
                <w:bCs/>
                <w:color w:val="auto"/>
              </w:rPr>
              <w:t xml:space="preserve">STT</w:t>
            </w:r>
            <w:r>
              <w:rPr>
                <w:b/>
                <w:bCs/>
                <w:color w:val="auto"/>
              </w:rPr>
            </w:r>
          </w:p>
        </w:tc>
        <w:tc>
          <w:tcPr>
            <w:tcBorders/>
            <w:tcW w:w="1142" w:type="pct"/>
            <w:vAlign w:val="top"/>
          </w:tcPr>
          <w:p w14:paraId="5A894743">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2" w:type="pct"/>
            <w:vAlign w:val="top"/>
          </w:tcPr>
          <w:p w14:paraId="17D41D92">
            <w:pPr>
              <w:pBdr/>
              <w:spacing w:after="60" w:before="60" w:line="288" w:lineRule="auto"/>
              <w:ind/>
              <w:jc w:val="center"/>
              <w:rPr>
                <w:b/>
                <w:bCs/>
                <w:color w:val="auto"/>
              </w:rPr>
            </w:pPr>
            <w:r>
              <w:rPr>
                <w:b/>
                <w:bCs/>
                <w:color w:val="auto"/>
              </w:rPr>
              <w:t xml:space="preserve">Ưu điểm</w:t>
            </w:r>
            <w:r>
              <w:rPr>
                <w:b/>
                <w:bCs/>
                <w:color w:val="auto"/>
              </w:rPr>
            </w:r>
          </w:p>
        </w:tc>
        <w:tc>
          <w:tcPr>
            <w:tcBorders/>
            <w:tcW w:w="1142" w:type="pct"/>
            <w:vAlign w:val="top"/>
          </w:tcPr>
          <w:p w14:paraId="144E3E1E">
            <w:pPr>
              <w:pBdr/>
              <w:spacing w:after="60" w:before="60" w:line="288" w:lineRule="auto"/>
              <w:ind/>
              <w:jc w:val="center"/>
              <w:rPr>
                <w:b/>
                <w:bCs/>
                <w:color w:val="auto"/>
              </w:rPr>
            </w:pPr>
            <w:r>
              <w:rPr>
                <w:b/>
                <w:bCs/>
                <w:color w:val="auto"/>
              </w:rPr>
              <w:t xml:space="preserve">Nhược điểm</w:t>
            </w:r>
            <w:r>
              <w:rPr>
                <w:b/>
                <w:bCs/>
                <w:color w:val="auto"/>
              </w:rPr>
            </w:r>
          </w:p>
        </w:tc>
        <w:tc>
          <w:tcPr>
            <w:tcBorders/>
            <w:tcW w:w="1142" w:type="pct"/>
            <w:vAlign w:val="top"/>
          </w:tcPr>
          <w:p w14:paraId="18AC322B">
            <w:pPr>
              <w:pBdr/>
              <w:spacing w:after="60" w:before="60" w:line="288" w:lineRule="auto"/>
              <w:ind/>
              <w:jc w:val="center"/>
              <w:rPr>
                <w:b/>
                <w:bCs/>
                <w:color w:val="auto"/>
              </w:rPr>
            </w:pPr>
            <w:r>
              <w:rPr>
                <w:b/>
                <w:bCs/>
                <w:color w:val="auto"/>
              </w:rPr>
              <w:t xml:space="preserve">Chi phí</w:t>
            </w:r>
            <w:r>
              <w:rPr>
                <w:b/>
                <w:bCs/>
                <w:color w:val="auto"/>
              </w:rPr>
            </w:r>
          </w:p>
        </w:tc>
      </w:tr>
      <w:tr>
        <w:trPr>
          <w:tblHeader/>
        </w:trPr>
        <w:tc>
          <w:tcPr>
            <w:tcBorders/>
            <w:tcW w:w="428" w:type="pct"/>
            <w:vAlign w:val="top"/>
          </w:tcPr>
          <w:p w14:paraId="39E08FE1">
            <w:pPr>
              <w:pBdr/>
              <w:spacing w:after="60" w:before="60" w:line="288" w:lineRule="auto"/>
              <w:ind/>
              <w:jc w:val="center"/>
              <w:rPr>
                <w:color w:val="auto"/>
              </w:rPr>
            </w:pPr>
            <w:r>
              <w:rPr>
                <w:rFonts w:hint="default"/>
                <w:color w:val="auto"/>
                <w:lang w:val="en-US"/>
              </w:rPr>
              <w:t xml:space="preserve">1</w:t>
            </w:r>
            <w:r>
              <w:rPr>
                <w:color w:val="auto"/>
              </w:rPr>
            </w:r>
          </w:p>
        </w:tc>
        <w:tc>
          <w:tcPr>
            <w:tcBorders/>
            <w:tcW w:w="1142" w:type="pct"/>
            <w:vAlign w:val="top"/>
          </w:tcPr>
          <w:p w14:paraId="4F143165">
            <w:pPr>
              <w:pBdr/>
              <w:spacing w:after="60" w:before="60" w:line="288" w:lineRule="auto"/>
              <w:ind/>
              <w:jc w:val="center"/>
              <w:rPr>
                <w:rFonts w:hint="default"/>
                <w:color w:val="auto"/>
                <w:lang w:val="en-US"/>
              </w:rPr>
            </w:pPr>
            <w:r>
              <w:rPr>
                <w:color w:val="auto"/>
              </w:rPr>
              <w:t xml:space="preserve">Phần mềm </w:t>
            </w:r>
            <w:r>
              <w:rPr>
                <w:rFonts w:hint="default"/>
                <w:color w:val="auto"/>
                <w:lang w:val="en-US"/>
              </w:rPr>
              <w:t xml:space="preserve">kiểm soát</w:t>
            </w:r>
            <w:r>
              <w:rPr>
                <w:color w:val="auto"/>
              </w:rPr>
              <w:t xml:space="preserve"> mô hình BIM: </w:t>
            </w:r>
            <w:r>
              <w:rPr>
                <w:rFonts w:hint="default"/>
                <w:color w:val="auto"/>
                <w:lang w:val="en-US"/>
              </w:rPr>
              <w:t xml:space="preserve">BIMCollab ZOOM</w:t>
            </w:r>
            <w:r>
              <w:rPr>
                <w:rFonts w:hint="default"/>
                <w:color w:val="auto"/>
                <w:lang w:val="en-US"/>
              </w:rPr>
            </w:r>
          </w:p>
        </w:tc>
        <w:tc>
          <w:tcPr>
            <w:tcBorders/>
            <w:tcW w:w="1142" w:type="pct"/>
            <w:vAlign w:val="top"/>
          </w:tcPr>
          <w:p w14:paraId="69A56D19">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Theo hệ sinh thái OpenBIM</w:t>
            </w:r>
            <w:r>
              <w:rPr>
                <w:rFonts w:hint="default"/>
                <w:color w:val="auto"/>
                <w:lang w:val="en-US"/>
              </w:rPr>
            </w:r>
          </w:p>
          <w:p w14:paraId="7D32BD62">
            <w:pPr>
              <w:pBdr/>
              <w:spacing w:after="60" w:before="60" w:line="288" w:lineRule="auto"/>
              <w:ind/>
              <w:jc w:val="both"/>
              <w:rPr>
                <w:rFonts w:hint="default"/>
                <w:color w:val="auto"/>
                <w:lang w:val="en-US"/>
              </w:rPr>
            </w:pPr>
            <w:r>
              <w:rPr>
                <w:rFonts w:hint="default"/>
                <w:color w:val="auto"/>
                <w:lang w:val="en-US"/>
              </w:rPr>
              <w:t xml:space="preserve">- Phù hợp với các định dạng trao đổi .IFC, .BCF</w:t>
            </w:r>
            <w:r>
              <w:rPr>
                <w:rFonts w:hint="default"/>
                <w:color w:val="auto"/>
                <w:lang w:val="en-US"/>
              </w:rPr>
            </w:r>
          </w:p>
          <w:p w14:paraId="0B27C9AD">
            <w:pPr>
              <w:pBdr/>
              <w:spacing w:after="60" w:before="60" w:line="288" w:lineRule="auto"/>
              <w:ind/>
              <w:jc w:val="both"/>
              <w:rPr>
                <w:rFonts w:hint="default"/>
                <w:color w:val="auto"/>
                <w:lang w:val="en-US"/>
              </w:rPr>
            </w:pPr>
            <w:r>
              <w:rPr>
                <w:rFonts w:hint="default"/>
                <w:color w:val="auto"/>
                <w:lang w:val="en-US"/>
              </w:rPr>
              <w:t xml:space="preserve">- Có cộng đồng người sử dụng ở Việt Nam.</w:t>
            </w:r>
            <w:r>
              <w:rPr>
                <w:rFonts w:hint="default"/>
                <w:color w:val="auto"/>
                <w:lang w:val="en-US"/>
              </w:rPr>
            </w:r>
          </w:p>
          <w:p w14:paraId="15D463B3">
            <w:pPr>
              <w:pBdr/>
              <w:spacing w:after="60" w:before="60" w:line="288" w:lineRule="auto"/>
              <w:ind/>
              <w:jc w:val="both"/>
              <w:rPr>
                <w:color w:val="auto"/>
              </w:rPr>
            </w:pPr>
            <w:r>
              <w:rPr>
                <w:color w:val="auto"/>
              </w:rPr>
            </w:r>
            <w:r>
              <w:rPr>
                <w:color w:val="auto"/>
              </w:rPr>
            </w:r>
          </w:p>
        </w:tc>
        <w:tc>
          <w:tcPr>
            <w:tcBorders/>
            <w:tcW w:w="1142" w:type="pct"/>
            <w:vAlign w:val="top"/>
          </w:tcPr>
          <w:p w14:paraId="62573E9C">
            <w:pPr>
              <w:pBdr/>
              <w:spacing w:after="60" w:before="60" w:line="288" w:lineRule="auto"/>
              <w:ind/>
              <w:jc w:val="both"/>
              <w:rPr>
                <w:color w:val="auto"/>
              </w:rPr>
            </w:pPr>
            <w:r>
              <w:rPr>
                <w:color w:val="auto"/>
              </w:rPr>
              <w:t xml:space="preserve">-</w:t>
            </w:r>
            <w:r>
              <w:rPr>
                <w:rFonts w:hint="default"/>
                <w:color w:val="auto"/>
                <w:lang w:val="en-US"/>
              </w:rPr>
              <w:t xml:space="preserve"> Không</w:t>
            </w:r>
            <w:r>
              <w:rPr>
                <w:color w:val="auto"/>
              </w:rPr>
              <w:t xml:space="preserve"> thể mô phỏng được tiến độ thi công (BIM 4D).</w:t>
            </w:r>
            <w:r>
              <w:rPr>
                <w:color w:val="auto"/>
              </w:rPr>
            </w:r>
          </w:p>
        </w:tc>
        <w:tc>
          <w:tcPr>
            <w:tcBorders/>
            <w:tcW w:w="1142" w:type="pct"/>
            <w:vAlign w:val="top"/>
          </w:tcPr>
          <w:p w14:paraId="6AF10DBE">
            <w:pPr>
              <w:pBdr/>
              <w:spacing w:after="60" w:before="60" w:line="288" w:lineRule="auto"/>
              <w:ind/>
              <w:jc w:val="both"/>
              <w:rPr>
                <w:color w:val="auto"/>
              </w:rPr>
            </w:pPr>
            <w:r>
              <w:rPr>
                <w:color w:val="auto"/>
              </w:rPr>
              <w:t xml:space="preserve">- Chi phí công bố trên website:</w:t>
            </w:r>
            <w:r>
              <w:rPr>
                <w:color w:val="auto"/>
              </w:rPr>
            </w:r>
          </w:p>
          <w:p w14:paraId="29E0A2EC">
            <w:pPr>
              <w:pBdr/>
              <w:spacing w:after="60" w:before="60" w:line="288" w:lineRule="auto"/>
              <w:ind/>
              <w:jc w:val="both"/>
              <w:rPr>
                <w:color w:val="auto"/>
              </w:rPr>
            </w:pPr>
            <w:r>
              <w:rPr>
                <w:rFonts w:hint="default"/>
                <w:color w:val="auto"/>
                <w:lang w:val="en-US"/>
              </w:rPr>
              <w:t xml:space="preserve">25</w:t>
            </w:r>
            <w:r>
              <w:rPr>
                <w:color w:val="auto"/>
              </w:rPr>
              <w:t xml:space="preserve">.</w:t>
            </w:r>
            <w:r>
              <w:rPr>
                <w:rFonts w:hint="default"/>
                <w:color w:val="auto"/>
                <w:lang w:val="en-US"/>
              </w:rPr>
              <w:t xml:space="preserve">0</w:t>
            </w:r>
            <w:r>
              <w:rPr>
                <w:color w:val="auto"/>
              </w:rPr>
              <w:t xml:space="preserve">00.000 VNĐ/ 1 user/ 1 năm</w:t>
            </w:r>
            <w:r>
              <w:rPr>
                <w:color w:val="auto"/>
              </w:rPr>
            </w:r>
          </w:p>
        </w:tc>
      </w:tr>
      <w:tr>
        <w:trPr>
          <w:tblHeader/>
        </w:trPr>
        <w:tc>
          <w:tcPr>
            <w:tcBorders/>
            <w:tcW w:w="428" w:type="pct"/>
            <w:vAlign w:val="top"/>
          </w:tcPr>
          <w:p w14:paraId="3A6BE04D">
            <w:pPr>
              <w:pBdr/>
              <w:spacing w:after="60" w:before="60" w:line="288" w:lineRule="auto"/>
              <w:ind/>
              <w:jc w:val="center"/>
              <w:rPr>
                <w:color w:val="auto"/>
              </w:rPr>
            </w:pPr>
            <w:r>
              <w:rPr>
                <w:rFonts w:hint="default"/>
                <w:color w:val="auto"/>
                <w:lang w:val="en-US"/>
              </w:rPr>
              <w:t xml:space="preserve">2</w:t>
            </w:r>
            <w:r>
              <w:rPr>
                <w:color w:val="auto"/>
              </w:rPr>
            </w:r>
          </w:p>
        </w:tc>
        <w:tc>
          <w:tcPr>
            <w:tcBorders/>
            <w:tcW w:w="1142" w:type="pct"/>
            <w:vAlign w:val="top"/>
          </w:tcPr>
          <w:p w14:paraId="7B86BB33">
            <w:pPr>
              <w:pBdr/>
              <w:spacing w:after="60" w:before="60" w:line="288" w:lineRule="auto"/>
              <w:ind/>
              <w:jc w:val="center"/>
              <w:rPr>
                <w:rFonts w:hint="default"/>
                <w:color w:val="auto"/>
                <w:lang w:val="en-US"/>
              </w:rPr>
            </w:pPr>
            <w:r>
              <w:rPr>
                <w:color w:val="auto"/>
              </w:rPr>
              <w:t xml:space="preserve">Nền tảng môi trường dữ liệu chung (CDE): BIM</w:t>
            </w:r>
            <w:r>
              <w:rPr>
                <w:rFonts w:hint="default"/>
                <w:color w:val="auto"/>
                <w:lang w:val="en-US"/>
              </w:rPr>
              <w:t xml:space="preserve">Collab</w:t>
            </w:r>
            <w:r>
              <w:rPr>
                <w:rFonts w:hint="default"/>
                <w:color w:val="auto"/>
                <w:lang w:val="en-US"/>
              </w:rPr>
            </w:r>
          </w:p>
        </w:tc>
        <w:tc>
          <w:tcPr>
            <w:tcBorders/>
            <w:tcW w:w="1142" w:type="pct"/>
            <w:vAlign w:val="top"/>
          </w:tcPr>
          <w:p w14:paraId="1F4BCCFF">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Theo hệ sinh thái OpenBIM</w:t>
            </w:r>
            <w:r>
              <w:rPr>
                <w:rFonts w:hint="default"/>
                <w:color w:val="auto"/>
                <w:lang w:val="en-US"/>
              </w:rPr>
            </w:r>
          </w:p>
          <w:p w14:paraId="2A2104E9">
            <w:pPr>
              <w:pBdr/>
              <w:spacing w:after="60" w:before="60" w:line="288" w:lineRule="auto"/>
              <w:ind/>
              <w:jc w:val="both"/>
              <w:rPr>
                <w:rFonts w:hint="default"/>
                <w:color w:val="auto"/>
                <w:lang w:val="en-US"/>
              </w:rPr>
            </w:pPr>
            <w:r>
              <w:rPr>
                <w:rFonts w:hint="default"/>
                <w:color w:val="auto"/>
                <w:lang w:val="en-US"/>
              </w:rPr>
              <w:t xml:space="preserve">- Phù hợp với các định dạng trao đổi .IFC, .BCF</w:t>
            </w:r>
            <w:r>
              <w:rPr>
                <w:rFonts w:hint="default"/>
                <w:color w:val="auto"/>
                <w:lang w:val="en-US"/>
              </w:rPr>
            </w:r>
          </w:p>
          <w:p w14:paraId="0DAFDDE8">
            <w:pPr>
              <w:pBdr/>
              <w:spacing w:after="60" w:before="60" w:line="288" w:lineRule="auto"/>
              <w:ind/>
              <w:jc w:val="both"/>
              <w:rPr>
                <w:rFonts w:hint="default"/>
                <w:color w:val="auto"/>
                <w:lang w:val="en-US"/>
              </w:rPr>
            </w:pPr>
            <w:r>
              <w:rPr>
                <w:rFonts w:hint="default"/>
                <w:color w:val="auto"/>
                <w:lang w:val="en-US"/>
              </w:rPr>
              <w:t xml:space="preserve">- Có cộng đồng người sử dụng ở Việt Nam.</w:t>
            </w:r>
            <w:r>
              <w:rPr>
                <w:rFonts w:hint="default"/>
                <w:color w:val="auto"/>
                <w:lang w:val="en-US"/>
              </w:rPr>
            </w:r>
          </w:p>
          <w:p w14:paraId="095D2A39">
            <w:pPr>
              <w:pBdr/>
              <w:spacing w:after="60" w:before="60" w:line="288" w:lineRule="auto"/>
              <w:ind/>
              <w:jc w:val="both"/>
              <w:rPr>
                <w:rFonts w:hint="default"/>
                <w:color w:val="auto"/>
                <w:lang w:val="en-US"/>
              </w:rPr>
            </w:pPr>
            <w:r>
              <w:rPr>
                <w:rFonts w:hint="default"/>
                <w:color w:val="auto"/>
                <w:lang w:val="en-US"/>
              </w:rPr>
              <w:t xml:space="preserve">- Quản lý vấn đề (issues) tốt</w:t>
            </w:r>
            <w:r>
              <w:rPr>
                <w:rFonts w:hint="default"/>
                <w:color w:val="auto"/>
                <w:lang w:val="en-US"/>
              </w:rPr>
            </w:r>
          </w:p>
        </w:tc>
        <w:tc>
          <w:tcPr>
            <w:tcBorders/>
            <w:tcW w:w="1142" w:type="pct"/>
            <w:vAlign w:val="top"/>
          </w:tcPr>
          <w:p w14:paraId="533E9259">
            <w:pPr>
              <w:pBdr/>
              <w:spacing w:after="60" w:before="60" w:line="288" w:lineRule="auto"/>
              <w:ind/>
              <w:jc w:val="both"/>
              <w:rPr>
                <w:color w:val="auto"/>
              </w:rPr>
            </w:pPr>
            <w:r>
              <w:rPr>
                <w:color w:val="auto"/>
              </w:rPr>
              <w:t xml:space="preserve">- Phụ thuộc vào kết nối Internet.</w:t>
            </w:r>
            <w:r>
              <w:rPr>
                <w:color w:val="auto"/>
              </w:rPr>
            </w:r>
          </w:p>
          <w:p w14:paraId="33794E90">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Không có cộng đồng người sử dụng ở Việt Nam.</w:t>
            </w:r>
            <w:r>
              <w:rPr>
                <w:rFonts w:hint="default"/>
                <w:color w:val="auto"/>
                <w:lang w:val="en-US"/>
              </w:rPr>
            </w:r>
          </w:p>
          <w:p w14:paraId="260B8940">
            <w:pPr>
              <w:pBdr/>
              <w:spacing w:after="60" w:before="60" w:line="288" w:lineRule="auto"/>
              <w:ind/>
              <w:jc w:val="both"/>
              <w:rPr>
                <w:rFonts w:hint="default"/>
                <w:color w:val="auto"/>
                <w:lang w:val="en-US"/>
              </w:rPr>
            </w:pPr>
            <w:r>
              <w:rPr>
                <w:color w:val="auto"/>
              </w:rPr>
              <w:t xml:space="preserve">- Hạn chế đối với 1 số định dạng trong hệ sinh thái của Autodesk như .nwc, .nwd</w:t>
            </w:r>
            <w:r>
              <w:rPr>
                <w:rFonts w:hint="default"/>
                <w:color w:val="auto"/>
                <w:lang w:val="en-US"/>
              </w:rPr>
              <w:t xml:space="preserve">.</w:t>
            </w:r>
            <w:r>
              <w:rPr>
                <w:rFonts w:hint="default"/>
                <w:color w:val="auto"/>
                <w:lang w:val="en-US"/>
              </w:rPr>
            </w:r>
          </w:p>
          <w:p w14:paraId="4183EACC">
            <w:pPr>
              <w:pBdr/>
              <w:spacing w:after="60" w:before="60" w:line="288" w:lineRule="auto"/>
              <w:ind/>
              <w:jc w:val="both"/>
              <w:rPr>
                <w:rFonts w:hint="default"/>
                <w:color w:val="auto"/>
                <w:lang w:val="en-US"/>
              </w:rPr>
            </w:pPr>
            <w:r>
              <w:rPr>
                <w:color w:val="auto"/>
              </w:rPr>
              <w:t xml:space="preserve">- Chính sách bán hàng </w:t>
            </w:r>
            <w:r>
              <w:rPr>
                <w:rFonts w:hint="default"/>
                <w:color w:val="auto"/>
                <w:lang w:val="en-US"/>
              </w:rPr>
              <w:t xml:space="preserve">không </w:t>
            </w:r>
            <w:r>
              <w:rPr>
                <w:color w:val="auto"/>
              </w:rPr>
              <w:t xml:space="preserve">linh hoạt: </w:t>
            </w:r>
            <w:r>
              <w:rPr>
                <w:rFonts w:hint="default"/>
                <w:color w:val="auto"/>
                <w:lang w:val="en-US"/>
              </w:rPr>
              <w:t xml:space="preserve">yêu cầu mua 1 gói gồm 10 user</w:t>
            </w:r>
            <w:r>
              <w:rPr>
                <w:rFonts w:hint="default"/>
                <w:color w:val="auto"/>
                <w:lang w:val="en-US"/>
              </w:rPr>
            </w:r>
          </w:p>
        </w:tc>
        <w:tc>
          <w:tcPr>
            <w:tcBorders/>
            <w:tcW w:w="1142" w:type="pct"/>
            <w:vAlign w:val="top"/>
          </w:tcPr>
          <w:p w14:paraId="51DAD41B">
            <w:pPr>
              <w:pBdr/>
              <w:spacing w:after="60" w:before="60" w:line="288" w:lineRule="auto"/>
              <w:ind/>
              <w:jc w:val="both"/>
              <w:rPr>
                <w:color w:val="auto"/>
              </w:rPr>
            </w:pPr>
            <w:r>
              <w:rPr>
                <w:color w:val="auto"/>
              </w:rPr>
              <w:t xml:space="preserve">- Chi phí công bố trên website:</w:t>
            </w:r>
            <w:r>
              <w:rPr>
                <w:color w:val="auto"/>
              </w:rPr>
            </w:r>
          </w:p>
          <w:p w14:paraId="716BA3A6">
            <w:pPr>
              <w:pBdr/>
              <w:spacing w:after="60" w:before="60" w:line="288" w:lineRule="auto"/>
              <w:ind/>
              <w:jc w:val="both"/>
              <w:rPr>
                <w:color w:val="auto"/>
              </w:rPr>
            </w:pPr>
            <w:r>
              <w:rPr>
                <w:rFonts w:hint="default"/>
                <w:color w:val="auto"/>
                <w:lang w:val="en-US"/>
              </w:rPr>
              <w:t xml:space="preserve">7</w:t>
            </w:r>
            <w:r>
              <w:rPr>
                <w:color w:val="auto"/>
              </w:rPr>
              <w:t xml:space="preserve">0.</w:t>
            </w:r>
            <w:r>
              <w:rPr>
                <w:rFonts w:hint="default"/>
                <w:color w:val="auto"/>
                <w:lang w:val="en-US"/>
              </w:rPr>
              <w:t xml:space="preserve">0</w:t>
            </w:r>
            <w:r>
              <w:rPr>
                <w:color w:val="auto"/>
              </w:rPr>
              <w:t xml:space="preserve">00.000 VNĐ/ 1</w:t>
            </w:r>
            <w:r>
              <w:rPr>
                <w:rFonts w:hint="default"/>
                <w:color w:val="auto"/>
                <w:lang w:val="en-US"/>
              </w:rPr>
              <w:t xml:space="preserve">0</w:t>
            </w:r>
            <w:r>
              <w:rPr>
                <w:color w:val="auto"/>
              </w:rPr>
              <w:t xml:space="preserve"> user/ 1 năm</w:t>
            </w:r>
            <w:r>
              <w:rPr>
                <w:color w:val="auto"/>
              </w:rPr>
            </w:r>
          </w:p>
        </w:tc>
      </w:tr>
    </w:tbl>
    <w:p w14:paraId="6381576F">
      <w:pPr>
        <w:pBdr/>
        <w:spacing w:after="60" w:before="60" w:line="288" w:lineRule="auto"/>
        <w:ind/>
        <w:rPr/>
      </w:pPr>
      <w:r/>
      <w:r/>
    </w:p>
    <w:p w14:paraId="32AD47D7">
      <w:pPr>
        <w:pStyle w:val="726"/>
        <w:pBdr/>
        <w:spacing/>
        <w:ind/>
        <w:rPr>
          <w:rFonts w:hint="default"/>
          <w:lang w:val="en-US"/>
        </w:rPr>
      </w:pPr>
      <w:r>
        <w:t xml:space="preserve">IV. ĐỀ XUẤT</w:t>
      </w:r>
      <w:r>
        <w:rPr>
          <w:rFonts w:hint="default"/>
          <w:lang w:val="en-US"/>
        </w:rPr>
        <w:t xml:space="preserve"> VỀ</w:t>
      </w:r>
      <w:r>
        <w:t xml:space="preserve"> </w:t>
      </w:r>
      <w:r>
        <w:rPr>
          <w:rFonts w:hint="default"/>
          <w:lang w:val="en-US"/>
        </w:rPr>
        <w:t xml:space="preserve">PHẦN CỨNG VÀ GIẢI PHÁP PHẦN MỀM</w:t>
      </w:r>
      <w:r>
        <w:rPr>
          <w:rFonts w:hint="default"/>
          <w:lang w:val="en-US"/>
        </w:rPr>
      </w:r>
    </w:p>
    <w:p w14:paraId="7637CC1F">
      <w:pPr>
        <w:pStyle w:val="727"/>
        <w:pBdr/>
        <w:spacing/>
        <w:ind/>
        <w:rPr>
          <w:rFonts w:hint="default"/>
          <w:lang w:val="en-US"/>
        </w:rPr>
      </w:pPr>
      <w:r>
        <w:t xml:space="preserve">1. </w:t>
      </w:r>
      <w:r>
        <w:rPr>
          <w:lang w:val="en-US"/>
        </w:rPr>
        <w:t xml:space="preserve">Đề</w:t>
      </w:r>
      <w:r>
        <w:rPr>
          <w:rFonts w:hint="default"/>
          <w:lang w:val="en-US"/>
        </w:rPr>
        <w:t xml:space="preserve"> xuất về phần cứng</w:t>
      </w:r>
      <w:r>
        <w:rPr>
          <w:rFonts w:hint="default"/>
          <w:lang w:val="en-US"/>
        </w:rPr>
      </w:r>
    </w:p>
    <w:p w14:paraId="460EA5E7">
      <w:pPr>
        <w:pStyle w:val="868"/>
        <w:numPr>
          <w:ilvl w:val="0"/>
          <w:numId w:val="7"/>
        </w:numPr>
        <w:pBdr/>
        <w:spacing w:after="60" w:before="60" w:line="288" w:lineRule="auto"/>
        <w:ind w:hanging="357" w:left="414"/>
        <w:jc w:val="both"/>
        <w:rPr>
          <w:color w:val="auto"/>
        </w:rPr>
      </w:pPr>
      <w:r>
        <w:rPr>
          <w:rFonts w:hint="default"/>
          <w:color w:val="auto"/>
        </w:rPr>
        <w:t xml:space="preserve">Nhằm tối ưu hóa chi phí và tạo điều kiện cho nhân sự làm quen với quy trình, công nghệ mới, kính trình Ban Giám đốc phê duyệt phương án mua </w:t>
      </w:r>
      <w:r>
        <w:rPr>
          <w:rFonts w:hint="default"/>
          <w:color w:val="auto"/>
          <w:lang w:val="en-US"/>
        </w:rPr>
        <w:t xml:space="preserve">mỗi Ban 1</w:t>
      </w:r>
      <w:r>
        <w:rPr>
          <w:rFonts w:hint="default"/>
          <w:color w:val="auto"/>
        </w:rPr>
        <w:t xml:space="preserve"> </w:t>
      </w:r>
      <w:r>
        <w:rPr>
          <w:rFonts w:hint="default"/>
          <w:color w:val="auto"/>
          <w:lang w:val="en-US"/>
        </w:rPr>
        <w:t xml:space="preserve">máy tính có cấu hình phù hợp theo khuyến nghị của các đơn vị sản xuất phần mềm.</w:t>
      </w:r>
      <w:r>
        <w:rPr>
          <w:color w:val="auto"/>
        </w:rPr>
      </w:r>
    </w:p>
    <w:p w14:paraId="5CCDA740">
      <w:pPr>
        <w:pStyle w:val="868"/>
        <w:numPr>
          <w:ilvl w:val="0"/>
          <w:numId w:val="7"/>
        </w:numPr>
        <w:pBdr/>
        <w:spacing w:after="60" w:before="60" w:line="288" w:lineRule="auto"/>
        <w:ind w:hanging="357" w:left="414"/>
        <w:jc w:val="both"/>
        <w:rPr>
          <w:color w:val="auto"/>
        </w:rPr>
      </w:pPr>
      <w:r>
        <w:rPr>
          <w:rFonts w:hint="default"/>
          <w:color w:val="auto"/>
          <w:lang w:val="en-US"/>
        </w:rPr>
        <w:t xml:space="preserve">Số lượng máy tính đề xuất dự kiến như sau:</w:t>
      </w:r>
      <w:r>
        <w:rPr>
          <w:color w:val="auto"/>
        </w:rPr>
      </w:r>
    </w:p>
    <w:p w14:paraId="5F117435">
      <w:pPr>
        <w:pStyle w:val="868"/>
        <w:numPr>
          <w:numId w:val="0"/>
        </w:numPr>
        <w:pBdr/>
        <w:spacing w:after="60" w:before="60" w:line="288" w:lineRule="auto"/>
        <w:ind/>
        <w:contextualSpacing w:val="true"/>
        <w:jc w:val="both"/>
        <w:rPr>
          <w:rFonts w:hint="default"/>
          <w:color w:val="auto"/>
          <w:lang w:val="en-US"/>
        </w:rPr>
      </w:pPr>
      <w:r>
        <w:rPr>
          <w:rFonts w:hint="default"/>
          <w:color w:val="auto"/>
          <w:lang w:val="en-US"/>
        </w:rPr>
      </w:r>
      <w:r>
        <w:rPr>
          <w:rFonts w:hint="default"/>
          <w:color w:val="auto"/>
          <w:lang w:val="en-US"/>
        </w:rPr>
      </w:r>
    </w:p>
    <w:p w14:paraId="651AE6C3">
      <w:pPr>
        <w:pStyle w:val="868"/>
        <w:numPr>
          <w:numId w:val="0"/>
        </w:numPr>
        <w:pBdr/>
        <w:spacing w:after="60" w:before="60" w:line="288" w:lineRule="auto"/>
        <w:ind/>
        <w:contextualSpacing w:val="true"/>
        <w:jc w:val="both"/>
        <w:rPr>
          <w:rFonts w:hint="default"/>
          <w:color w:val="auto"/>
          <w:lang w:val="en-US"/>
        </w:rPr>
      </w:pPr>
      <w:r>
        <w:rPr>
          <w:rFonts w:hint="default"/>
          <w:color w:val="auto"/>
          <w:lang w:val="en-US"/>
        </w:rPr>
      </w:r>
      <w:r>
        <w:rPr>
          <w:rFonts w:hint="default"/>
          <w:color w:val="auto"/>
          <w:lang w:val="en-US"/>
        </w:rPr>
      </w:r>
    </w:p>
    <w:p w14:paraId="484EC776">
      <w:pPr>
        <w:pStyle w:val="868"/>
        <w:numPr>
          <w:numId w:val="0"/>
        </w:numPr>
        <w:pBdr/>
        <w:spacing w:after="60" w:before="60" w:line="288" w:lineRule="auto"/>
        <w:ind/>
        <w:contextualSpacing w:val="true"/>
        <w:jc w:val="both"/>
        <w:rPr>
          <w:rFonts w:hint="default"/>
          <w:color w:val="auto"/>
          <w:lang w:val="en-US"/>
        </w:rPr>
      </w:pPr>
      <w:r>
        <w:rPr>
          <w:rFonts w:hint="default"/>
          <w:color w:val="auto"/>
          <w:lang w:val="en-US"/>
        </w:rPr>
      </w:r>
      <w:r>
        <w:rPr>
          <w:rFonts w:hint="default"/>
          <w:color w:val="auto"/>
          <w:lang w:val="en-US"/>
        </w:rPr>
      </w:r>
    </w:p>
    <w:tbl>
      <w:tblPr>
        <w:tblStyle w:val="760"/>
        <w:tblInd w:w="173" w:type="dxa"/>
        <w:tblW w:w="5062"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08"/>
        <w:gridCol w:w="6239"/>
        <w:gridCol w:w="1230"/>
        <w:gridCol w:w="1518"/>
      </w:tblGrid>
      <w:tr>
        <w:trPr>
          <w:trHeight w:val="773"/>
        </w:trPr>
        <w:tc>
          <w:tcPr>
            <w:tcBorders/>
            <w:tcW w:w="363" w:type="pct"/>
            <w:vAlign w:val="center"/>
          </w:tcPr>
          <w:p w14:paraId="2D43E0B0">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STT</w:t>
            </w:r>
            <w:r>
              <w:rPr>
                <w:rFonts w:ascii="Times New Roman" w:hAnsi="Times New Roman"/>
                <w:b/>
                <w:bCs w:val="0"/>
                <w:color w:val="auto"/>
                <w:sz w:val="26"/>
                <w:szCs w:val="24"/>
                <w:highlight w:val="none"/>
              </w:rPr>
            </w:r>
          </w:p>
        </w:tc>
        <w:tc>
          <w:tcPr>
            <w:tcBorders/>
            <w:tcW w:w="3218" w:type="pct"/>
            <w:vAlign w:val="center"/>
          </w:tcPr>
          <w:p w14:paraId="76128224">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Tên phòng Ban</w:t>
            </w:r>
            <w:r>
              <w:rPr>
                <w:rFonts w:ascii="Times New Roman" w:hAnsi="Times New Roman"/>
                <w:b/>
                <w:bCs w:val="0"/>
                <w:color w:val="auto"/>
                <w:sz w:val="26"/>
                <w:szCs w:val="24"/>
                <w:highlight w:val="none"/>
              </w:rPr>
            </w:r>
          </w:p>
        </w:tc>
        <w:tc>
          <w:tcPr>
            <w:tcBorders/>
            <w:tcW w:w="635" w:type="pct"/>
            <w:vAlign w:val="center"/>
          </w:tcPr>
          <w:p w14:paraId="05C27304">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Số lượng máy</w:t>
            </w:r>
            <w:r>
              <w:rPr>
                <w:rFonts w:ascii="Times New Roman" w:hAnsi="Times New Roman"/>
                <w:b/>
                <w:bCs w:val="0"/>
                <w:color w:val="auto"/>
                <w:sz w:val="26"/>
                <w:szCs w:val="24"/>
                <w:highlight w:val="none"/>
              </w:rPr>
            </w:r>
          </w:p>
        </w:tc>
        <w:tc>
          <w:tcPr>
            <w:tcBorders/>
            <w:tcW w:w="783" w:type="pct"/>
            <w:vAlign w:val="center"/>
          </w:tcPr>
          <w:p w14:paraId="1FA15A60">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Tổng hợp</w:t>
            </w:r>
            <w:r>
              <w:rPr>
                <w:rFonts w:ascii="Times New Roman" w:hAnsi="Times New Roman"/>
                <w:b/>
                <w:bCs w:val="0"/>
                <w:color w:val="auto"/>
                <w:sz w:val="26"/>
                <w:szCs w:val="24"/>
                <w:highlight w:val="none"/>
              </w:rPr>
            </w:r>
          </w:p>
        </w:tc>
      </w:tr>
      <w:tr>
        <w:trPr>
          <w:trHeight w:val="432"/>
        </w:trPr>
        <w:tc>
          <w:tcPr>
            <w:tcBorders/>
            <w:tcW w:w="363" w:type="pct"/>
            <w:vAlign w:val="center"/>
            <w:vMerge w:val="restart"/>
          </w:tcPr>
          <w:p w14:paraId="641B626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1</w:t>
            </w:r>
            <w:r>
              <w:rPr>
                <w:rFonts w:ascii="Times New Roman" w:hAnsi="Times New Roman"/>
                <w:b w:val="0"/>
                <w:color w:val="auto"/>
                <w:sz w:val="26"/>
                <w:szCs w:val="24"/>
                <w:highlight w:val="none"/>
              </w:rPr>
            </w:r>
          </w:p>
        </w:tc>
        <w:tc>
          <w:tcPr>
            <w:tcBorders/>
            <w:tcW w:w="3218" w:type="pct"/>
            <w:vAlign w:val="center"/>
          </w:tcPr>
          <w:p w14:paraId="38FC48DF">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1</w:t>
            </w:r>
            <w:r>
              <w:rPr>
                <w:rFonts w:ascii="Times New Roman" w:hAnsi="Times New Roman"/>
                <w:b w:val="0"/>
                <w:color w:val="auto"/>
                <w:sz w:val="26"/>
                <w:szCs w:val="24"/>
                <w:highlight w:val="none"/>
              </w:rPr>
            </w:r>
          </w:p>
        </w:tc>
        <w:tc>
          <w:tcPr>
            <w:tcBorders/>
            <w:tcW w:w="635" w:type="pct"/>
            <w:vAlign w:val="center"/>
          </w:tcPr>
          <w:p w14:paraId="5BD6793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restart"/>
          </w:tcPr>
          <w:p w14:paraId="665567D0">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1</w:t>
            </w:r>
            <w:r>
              <w:rPr>
                <w:rFonts w:hint="default" w:ascii="Times New Roman" w:hAnsi="Times New Roman"/>
                <w:b w:val="0"/>
                <w:color w:val="auto"/>
                <w:sz w:val="26"/>
                <w:szCs w:val="24"/>
                <w:highlight w:val="none"/>
                <w:lang w:val="en-US"/>
              </w:rPr>
              <w:t xml:space="preserve">0 </w:t>
            </w:r>
            <w:r>
              <w:rPr>
                <w:rFonts w:ascii="Times New Roman" w:hAnsi="Times New Roman"/>
                <w:b w:val="0"/>
                <w:color w:val="auto"/>
                <w:sz w:val="26"/>
                <w:szCs w:val="24"/>
                <w:highlight w:val="none"/>
              </w:rPr>
              <w:t xml:space="preserve">máy</w:t>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6FBF390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43FEB531">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2</w:t>
            </w:r>
            <w:r>
              <w:rPr>
                <w:rFonts w:ascii="Times New Roman" w:hAnsi="Times New Roman"/>
                <w:b w:val="0"/>
                <w:color w:val="auto"/>
                <w:sz w:val="26"/>
                <w:szCs w:val="24"/>
                <w:highlight w:val="none"/>
              </w:rPr>
            </w:r>
          </w:p>
        </w:tc>
        <w:tc>
          <w:tcPr>
            <w:tcBorders/>
            <w:tcW w:w="635" w:type="pct"/>
            <w:vAlign w:val="center"/>
          </w:tcPr>
          <w:p w14:paraId="2F0B4CA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A8E0D3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053AC7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5805AA67">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3</w:t>
            </w:r>
            <w:r>
              <w:rPr>
                <w:rFonts w:ascii="Times New Roman" w:hAnsi="Times New Roman"/>
                <w:b w:val="0"/>
                <w:color w:val="auto"/>
                <w:sz w:val="26"/>
                <w:szCs w:val="24"/>
                <w:highlight w:val="none"/>
              </w:rPr>
            </w:r>
          </w:p>
        </w:tc>
        <w:tc>
          <w:tcPr>
            <w:tcBorders/>
            <w:tcW w:w="635" w:type="pct"/>
            <w:vAlign w:val="center"/>
          </w:tcPr>
          <w:p w14:paraId="1CCCCD9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2D878976">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1EEDF5D9">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5A6694B">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4</w:t>
            </w:r>
            <w:r>
              <w:rPr>
                <w:rFonts w:ascii="Times New Roman" w:hAnsi="Times New Roman"/>
                <w:b w:val="0"/>
                <w:color w:val="auto"/>
                <w:sz w:val="26"/>
                <w:szCs w:val="24"/>
                <w:highlight w:val="none"/>
              </w:rPr>
            </w:r>
          </w:p>
        </w:tc>
        <w:tc>
          <w:tcPr>
            <w:tcBorders/>
            <w:tcW w:w="635" w:type="pct"/>
            <w:vAlign w:val="center"/>
          </w:tcPr>
          <w:p w14:paraId="24D7E7D4">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214A8C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1E8A787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07262331">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5</w:t>
            </w:r>
            <w:r>
              <w:rPr>
                <w:rFonts w:ascii="Times New Roman" w:hAnsi="Times New Roman"/>
                <w:b w:val="0"/>
                <w:color w:val="auto"/>
                <w:sz w:val="26"/>
                <w:szCs w:val="24"/>
                <w:highlight w:val="none"/>
              </w:rPr>
            </w:r>
          </w:p>
        </w:tc>
        <w:tc>
          <w:tcPr>
            <w:tcBorders/>
            <w:tcW w:w="635" w:type="pct"/>
            <w:vAlign w:val="center"/>
          </w:tcPr>
          <w:p w14:paraId="7DD91E2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1E84E90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69930C3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0CC57C49">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6</w:t>
            </w:r>
            <w:r>
              <w:rPr>
                <w:rFonts w:ascii="Times New Roman" w:hAnsi="Times New Roman"/>
                <w:b w:val="0"/>
                <w:color w:val="auto"/>
                <w:sz w:val="26"/>
                <w:szCs w:val="24"/>
                <w:highlight w:val="none"/>
              </w:rPr>
            </w:r>
          </w:p>
        </w:tc>
        <w:tc>
          <w:tcPr>
            <w:tcBorders/>
            <w:tcW w:w="635" w:type="pct"/>
            <w:vAlign w:val="center"/>
          </w:tcPr>
          <w:p w14:paraId="6A08FD64">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2B2D9B87">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1D09DF9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F039759">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7</w:t>
            </w:r>
            <w:r>
              <w:rPr>
                <w:rFonts w:ascii="Times New Roman" w:hAnsi="Times New Roman"/>
                <w:b w:val="0"/>
                <w:color w:val="auto"/>
                <w:sz w:val="26"/>
                <w:szCs w:val="24"/>
                <w:highlight w:val="none"/>
              </w:rPr>
            </w:r>
          </w:p>
        </w:tc>
        <w:tc>
          <w:tcPr>
            <w:tcBorders/>
            <w:tcW w:w="635" w:type="pct"/>
            <w:vAlign w:val="center"/>
          </w:tcPr>
          <w:p w14:paraId="4A49B3FF">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3E93EFB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03F1074">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2C98AAA7">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8</w:t>
            </w:r>
            <w:r>
              <w:rPr>
                <w:rFonts w:ascii="Times New Roman" w:hAnsi="Times New Roman"/>
                <w:b w:val="0"/>
                <w:color w:val="auto"/>
                <w:sz w:val="26"/>
                <w:szCs w:val="24"/>
                <w:highlight w:val="none"/>
              </w:rPr>
            </w:r>
          </w:p>
        </w:tc>
        <w:tc>
          <w:tcPr>
            <w:tcBorders/>
            <w:tcW w:w="635" w:type="pct"/>
            <w:vAlign w:val="center"/>
          </w:tcPr>
          <w:p w14:paraId="7B6FD365">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22F118E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restart"/>
          </w:tcPr>
          <w:p w14:paraId="7AEA6FEE">
            <w:pPr>
              <w:pBdr/>
              <w:spacing w:after="0" w:line="240" w:lineRule="auto"/>
              <w:ind/>
              <w:jc w:val="center"/>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2</w:t>
            </w:r>
            <w:r>
              <w:rPr>
                <w:rFonts w:hint="default" w:ascii="Times New Roman" w:hAnsi="Times New Roman"/>
                <w:b w:val="0"/>
                <w:color w:val="auto"/>
                <w:sz w:val="26"/>
                <w:szCs w:val="24"/>
                <w:highlight w:val="none"/>
                <w:lang w:val="en-US"/>
              </w:rPr>
            </w:r>
          </w:p>
        </w:tc>
        <w:tc>
          <w:tcPr>
            <w:tcBorders/>
            <w:tcW w:w="3218" w:type="pct"/>
            <w:vAlign w:val="center"/>
          </w:tcPr>
          <w:p w14:paraId="1378B32B">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Kỹ Thuật Chất Lượng</w:t>
            </w:r>
            <w:r>
              <w:rPr>
                <w:rFonts w:hint="default" w:ascii="Times New Roman" w:hAnsi="Times New Roman"/>
                <w:b w:val="0"/>
                <w:color w:val="auto"/>
                <w:sz w:val="26"/>
                <w:szCs w:val="24"/>
                <w:highlight w:val="none"/>
                <w:lang w:val="en-US"/>
              </w:rPr>
            </w:r>
          </w:p>
        </w:tc>
        <w:tc>
          <w:tcPr>
            <w:tcBorders/>
            <w:tcW w:w="635" w:type="pct"/>
            <w:vAlign w:val="center"/>
          </w:tcPr>
          <w:p w14:paraId="1007FD5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1CE03108">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20"/>
        </w:trPr>
        <w:tc>
          <w:tcPr>
            <w:tcBorders/>
            <w:tcW w:w="363" w:type="pct"/>
            <w:vAlign w:val="center"/>
            <w:vMerge w:val="continue"/>
          </w:tcPr>
          <w:p w14:paraId="25F1D47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29B2B4F6">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Kế Hoạch Đầu Tư</w:t>
            </w:r>
            <w:r>
              <w:rPr>
                <w:rFonts w:hint="default" w:ascii="Times New Roman" w:hAnsi="Times New Roman"/>
                <w:b w:val="0"/>
                <w:color w:val="auto"/>
                <w:sz w:val="26"/>
                <w:szCs w:val="24"/>
                <w:highlight w:val="none"/>
                <w:lang w:val="en-US"/>
              </w:rPr>
            </w:r>
          </w:p>
        </w:tc>
        <w:tc>
          <w:tcPr>
            <w:tcBorders/>
            <w:tcW w:w="635" w:type="pct"/>
            <w:vAlign w:val="center"/>
          </w:tcPr>
          <w:p w14:paraId="5AF5504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C5886FF">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bl>
    <w:p w14:paraId="770911BD">
      <w:pPr>
        <w:pStyle w:val="868"/>
        <w:numPr>
          <w:numId w:val="0"/>
        </w:numPr>
        <w:pBdr/>
        <w:spacing w:after="60" w:before="60" w:line="288" w:lineRule="auto"/>
        <w:ind/>
        <w:contextualSpacing w:val="true"/>
        <w:jc w:val="both"/>
        <w:rPr>
          <w:color w:val="ee0000"/>
        </w:rPr>
      </w:pPr>
      <w:r>
        <w:rPr>
          <w:color w:val="ee0000"/>
        </w:rPr>
      </w:r>
      <w:r>
        <w:rPr>
          <w:color w:val="ee0000"/>
        </w:rPr>
      </w:r>
    </w:p>
    <w:p w14:paraId="609D669D">
      <w:pPr>
        <w:pStyle w:val="868"/>
        <w:numPr>
          <w:ilvl w:val="0"/>
          <w:numId w:val="7"/>
        </w:numPr>
        <w:pBdr/>
        <w:spacing w:after="60" w:before="60" w:line="288" w:lineRule="auto"/>
        <w:ind w:hanging="357" w:left="414"/>
        <w:jc w:val="both"/>
        <w:rPr>
          <w:rFonts w:hint="default"/>
          <w:color w:val="auto"/>
          <w:lang w:val="en-US"/>
        </w:rPr>
      </w:pPr>
      <w:r>
        <w:rPr>
          <w:rFonts w:hint="default"/>
          <w:color w:val="auto"/>
          <w:lang w:val="en-US"/>
        </w:rPr>
        <w:t xml:space="preserve">Dựa trên khuyến cáo của các hãng công nghệ chuyên cung cấp các phần mềm về BIM như: Autodesk, Trimble, NEMETSCHEK, KUBUS,… cấu hình máy tính dự kiến như sau:</w:t>
      </w:r>
      <w:r>
        <w:rPr>
          <w:rFonts w:hint="default"/>
          <w:color w:val="auto"/>
          <w:lang w:val="en-US"/>
        </w:rPr>
      </w:r>
    </w:p>
    <w:tbl>
      <w:tblPr>
        <w:tblInd w:w="0" w:type="dxa"/>
        <w:tblW w:w="5000" w:type="pct"/>
        <w:tblCellMar>
          <w:left w:w="0" w:type="dxa"/>
          <w:top w:w="0" w:type="dxa"/>
          <w:right w:w="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tblLayout w:type="autofit"/>
        <w:tblLook w:val="04A0" w:firstRow="1" w:lastRow="0" w:firstColumn="1" w:lastColumn="0" w:noHBand="0" w:noVBand="1"/>
      </w:tblPr>
      <w:tblGrid>
        <w:gridCol w:w="1738"/>
        <w:gridCol w:w="7694"/>
      </w:tblGrid>
      <w:tr>
        <w:trPr>
          <w:trHeight w:val="259"/>
        </w:trPr>
        <w:tc>
          <w:tcPr>
            <w:shd w:val="clear" w:color="auto"/>
            <w:tcBorders/>
            <w:tcMar>
              <w:left w:w="36" w:type="dxa"/>
              <w:top w:w="24" w:type="dxa"/>
              <w:right w:w="36" w:type="dxa"/>
              <w:bottom w:w="24" w:type="dxa"/>
            </w:tcMar>
            <w:tcW w:w="921" w:type="pct"/>
            <w:vAlign w:val="center"/>
          </w:tcPr>
          <w:p w14:paraId="51AEF552">
            <w:pPr>
              <w:keepNext w:val="false"/>
              <w:keepLines w:val="false"/>
              <w:pageBreakBefore w:val="false"/>
              <w:widowControl w:val="true"/>
              <w:suppressLineNumbers w:val="false"/>
              <w:pBdr/>
              <w:bidi w:val="false"/>
              <w:spacing w:after="60" w:afterLines="0" w:before="60" w:beforeLines="0" w:line="288" w:lineRule="auto"/>
              <w:ind/>
              <w:jc w:val="center"/>
              <w:rPr>
                <w:rFonts w:ascii="Times New Roman" w:hAnsi="Times New Roman" w:cs="Arial"/>
                <w:b/>
                <w:bCs/>
                <w:color w:val="auto"/>
                <w:sz w:val="26"/>
                <w:szCs w:val="20"/>
              </w:rPr>
            </w:pPr>
            <w:r>
              <w:rPr>
                <w:rFonts w:hint="default" w:ascii="Times New Roman" w:hAnsi="Times New Roman" w:eastAsia="SimSun" w:cs="Arial"/>
                <w:b/>
                <w:bCs/>
                <w:color w:val="auto"/>
                <w:sz w:val="26"/>
                <w:szCs w:val="20"/>
                <w:lang w:val="en-US" w:eastAsia="zh-CN" w:bidi="ar"/>
              </w:rPr>
              <w:t xml:space="preserve">Thành phần</w:t>
            </w:r>
            <w:r>
              <w:rPr>
                <w:rFonts w:ascii="Times New Roman" w:hAnsi="Times New Roman" w:cs="Arial"/>
                <w:b/>
                <w:bCs/>
                <w:color w:val="auto"/>
                <w:sz w:val="26"/>
                <w:szCs w:val="20"/>
              </w:rPr>
            </w:r>
          </w:p>
        </w:tc>
        <w:tc>
          <w:tcPr>
            <w:shd w:val="clear" w:color="auto"/>
            <w:tcBorders/>
            <w:tcMar>
              <w:left w:w="36" w:type="dxa"/>
              <w:top w:w="24" w:type="dxa"/>
              <w:right w:w="36" w:type="dxa"/>
              <w:bottom w:w="24" w:type="dxa"/>
            </w:tcMar>
            <w:tcW w:w="4078" w:type="pct"/>
            <w:vAlign w:val="center"/>
          </w:tcPr>
          <w:p w14:paraId="7C110487">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b/>
                <w:bCs/>
                <w:color w:val="auto"/>
                <w:sz w:val="26"/>
                <w:szCs w:val="20"/>
              </w:rPr>
            </w:pPr>
            <w:r>
              <w:rPr>
                <w:rFonts w:hint="default" w:ascii="Times New Roman" w:hAnsi="Times New Roman" w:eastAsia="SimSun" w:cs="Arial"/>
                <w:b/>
                <w:bCs/>
                <w:color w:val="auto"/>
                <w:sz w:val="26"/>
                <w:szCs w:val="20"/>
                <w:lang w:val="en-US" w:eastAsia="zh-CN" w:bidi="ar"/>
              </w:rPr>
              <w:t xml:space="preserve">Yêu cầu chi tiết</w:t>
            </w:r>
            <w:r>
              <w:rPr>
                <w:rFonts w:hint="default" w:ascii="Times New Roman" w:hAnsi="Times New Roman" w:cs="Arial"/>
                <w:b/>
                <w:bCs/>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706957C4">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Hệ điều hành</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017BBB87">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Microsoft® Windows 11 64-bit.</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0F8FF94D">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Bộ xử lý (CPU)</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2C83AB67">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Bộ xử lý Intel® hoặc AMD® có tốc độ xung nhịp cơ bản từ 2 GHz trở lên.</w:t>
            </w:r>
            <w:r>
              <w:rPr>
                <w:rFonts w:hint="default" w:ascii="Times New Roman" w:hAnsi="Times New Roman" w:eastAsia="SimSun" w:cs="Arial"/>
                <w:color w:val="auto"/>
                <w:sz w:val="26"/>
                <w:szCs w:val="20"/>
                <w:lang w:val="en-US" w:eastAsia="zh-CN" w:bidi="ar"/>
              </w:rPr>
            </w:r>
          </w:p>
          <w:p w14:paraId="376946B7">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Khuyến nghị sử dụng cấu hình có tốc độ xung nhịp đơn nhân (single-core base clock) cao nhất.</w:t>
            </w:r>
            <w:r>
              <w:rPr>
                <w:rFonts w:hint="default" w:ascii="Times New Roman" w:hAnsi="Times New Roman" w:eastAsia="SimSun" w:cs="Arial"/>
                <w:color w:val="auto"/>
                <w:sz w:val="26"/>
                <w:szCs w:val="20"/>
                <w:lang w:val="en-US" w:eastAsia="zh-CN" w:bidi="ar"/>
              </w:rPr>
            </w:r>
          </w:p>
          <w:p w14:paraId="68AE3F89">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Lưu ý: Phần mềm Revit sẽ sử dụng đa nhân (multi-core) cho nhiều tác vụ khác nhau.</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288E000F">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Bộ nhớ (RAM)</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4F0C9966">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- 32 GB RAM hoặc cao hơn.</w:t>
            </w:r>
            <w:r>
              <w:rPr>
                <w:rFonts w:hint="default" w:ascii="Times New Roman" w:hAnsi="Times New Roman" w:eastAsia="SimSun" w:cs="Arial"/>
                <w:color w:val="auto"/>
                <w:sz w:val="26"/>
                <w:szCs w:val="20"/>
                <w:lang w:val="en-US" w:eastAsia="zh-CN" w:bidi="ar"/>
              </w:rPr>
            </w:r>
          </w:p>
          <w:p w14:paraId="29481128">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Thường đủ cho một phiên chỉnh sửa thông thường đối với một mô hình đơn lẻ có dung lượng tệp trên ổ đĩa lên đến khoảng 600 MB.</w:t>
            </w:r>
            <w:r>
              <w:rPr>
                <w:rFonts w:hint="default" w:ascii="Times New Roman" w:hAnsi="Times New Roman" w:eastAsia="SimSun" w:cs="Arial"/>
                <w:color w:val="auto"/>
                <w:sz w:val="26"/>
                <w:szCs w:val="20"/>
                <w:lang w:val="en-US" w:eastAsia="zh-CN" w:bidi="ar"/>
              </w:rPr>
            </w:r>
          </w:p>
          <w:p w14:paraId="16D6F401">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Các mô hình được tạo từ các phiên bản Revit cũ hơn có thể yêu cầu nhiều bộ nhớ trống hơn cho quá trình nâng cấp phiên bản (chỉ diễn ra một lần).</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12BD4466">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Độ phân giải màn hình</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5283F7F8">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Tối thiểu: 1680 x 1050 với màu trung thực (true color).• Tối đa: Màn hình độ phân giải siêu cao (4K) Ultra-High Definition.</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2F98F309">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Card đồ họa (Video Adapter)</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6A449023">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Card đồ họa hỗ trợ hiển thị màu 24-bit, tương thích với DirectX® 11 và Shader Model 5.</w:t>
            </w:r>
            <w:r>
              <w:rPr>
                <w:rFonts w:hint="default" w:ascii="Times New Roman" w:hAnsi="Times New Roman" w:eastAsia="SimSun" w:cs="Arial"/>
                <w:color w:val="auto"/>
                <w:sz w:val="26"/>
                <w:szCs w:val="20"/>
                <w:lang w:val="en-US" w:eastAsia="zh-CN" w:bidi="ar"/>
              </w:rPr>
            </w:r>
          </w:p>
          <w:p w14:paraId="01619E52">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Bộ nhớ đồ họa (VRAM) tối thiểu 6 GB.• Đồ họa tăng tốc (Accelerated Graphics): Khuyến nghị card đồ họa có 8 GB VRAM trở lên và bắt buộc phải hỗ trợ OpenGL 4.5 trở lên.</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4CE2F9A5">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Dung lượng ổ cứng</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7EB08094">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- 30 GB dung lượng ổ đĩa trống để cài đặt phần mềm.</w:t>
            </w:r>
            <w:r>
              <w:rPr>
                <w:rFonts w:hint="default" w:ascii="Times New Roman" w:hAnsi="Times New Roman" w:eastAsia="SimSun" w:cs="Arial"/>
                <w:color w:val="auto"/>
                <w:sz w:val="26"/>
                <w:szCs w:val="20"/>
                <w:lang w:val="en-US" w:eastAsia="zh-CN" w:bidi="ar"/>
              </w:rPr>
            </w:r>
          </w:p>
          <w:p w14:paraId="2BB1266A">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Khuyến nghị có thêm 100 GB ổ cứng trống dành cho các tệp tin tạm thời (temp files).</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66DDDFE3">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Thiết bị điều khiển</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33C78371">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Chuột máy tính tương thích với MS-Mouse.</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7CA18027">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Nền tảng .NET</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4112A8BE">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.NET 10</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5FD02729">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Trình duyệt</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41F8059F">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Chrome, Edge, hoặc Firefox.</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122C38B2">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Phiên bản Desktop Connector</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14FE2221">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Khi sử dụng Desktop Connector cho các quy trình làm việc cộng tác (Collaboration workflows), Revit 2027 yêu cầu Desktop Connector phiên bản 16.x trở lên. Phiên bản 15.8 hoặc cũ hơn sẽ không được hỗ trợ.</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3865C814">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Kết nối</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52A54F60">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Kết nối Internet để đăng ký giấy phép bản quyền và tải xuống các thành phần tiên quyết cấu thành phần mềm.</w:t>
            </w:r>
            <w:r>
              <w:rPr>
                <w:rFonts w:hint="default" w:ascii="Times New Roman" w:hAnsi="Times New Roman" w:cs="Arial"/>
                <w:color w:val="auto"/>
                <w:sz w:val="26"/>
                <w:szCs w:val="20"/>
              </w:rPr>
            </w:r>
          </w:p>
        </w:tc>
      </w:tr>
    </w:tbl>
    <w:p w14:paraId="0B9BABC2">
      <w:pPr>
        <w:pStyle w:val="868"/>
        <w:keepNext w:val="false"/>
        <w:keepLines w:val="false"/>
        <w:pageBreakBefore w:val="false"/>
        <w:widowControl w:val="true"/>
        <w:numPr>
          <w:numId w:val="0"/>
        </w:numPr>
        <w:pBdr/>
        <w:tabs>
          <w:tab w:val="left" w:leader="none" w:pos="420"/>
        </w:tabs>
        <w:bidi w:val="false"/>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p w14:paraId="5F668774">
      <w:pPr>
        <w:pStyle w:val="727"/>
        <w:numPr>
          <w:ilvl w:val="0"/>
          <w:numId w:val="9"/>
        </w:numPr>
        <w:pBdr/>
        <w:spacing/>
        <w:ind/>
        <w:rPr>
          <w:rFonts w:hint="default"/>
          <w:lang w:val="en-US"/>
        </w:rPr>
      </w:pPr>
      <w:r>
        <w:rPr>
          <w:rFonts w:hint="default"/>
          <w:lang w:val="en-US"/>
        </w:rPr>
        <w:t xml:space="preserve">Đề xuất về phần mềm</w:t>
      </w:r>
      <w:r>
        <w:rPr>
          <w:rFonts w:hint="default"/>
          <w:lang w:val="en-US"/>
        </w:rPr>
      </w:r>
    </w:p>
    <w:p w14:paraId="722F93D1">
      <w:pPr>
        <w:pStyle w:val="868"/>
        <w:numPr>
          <w:ilvl w:val="0"/>
          <w:numId w:val="7"/>
        </w:numPr>
        <w:pBdr/>
        <w:spacing w:after="60" w:before="60" w:line="288" w:lineRule="auto"/>
        <w:ind w:hanging="357" w:left="414"/>
        <w:jc w:val="both"/>
        <w:rPr>
          <w:color w:val="auto"/>
        </w:rPr>
      </w:pPr>
      <w:r>
        <w:rPr>
          <w:rFonts w:hint="default"/>
          <w:color w:val="auto"/>
        </w:rPr>
        <w:t xml:space="preserve">Nhằm tối ưu hóa chi phí và tạo điều kiện cho nhân sự làm quen với quy trình, công nghệ mới, kính trình Ban Giám đốc phê duyệt phương án mua thử nghiệm 01 license thuê bao thời hạn 1 năm cho mỗi ban.</w:t>
      </w:r>
      <w:r>
        <w:rPr>
          <w:color w:val="auto"/>
        </w:rPr>
      </w:r>
    </w:p>
    <w:p w14:paraId="0E43CC83">
      <w:pPr>
        <w:pStyle w:val="868"/>
        <w:numPr>
          <w:ilvl w:val="0"/>
          <w:numId w:val="7"/>
        </w:numPr>
        <w:pBdr/>
        <w:spacing w:after="60" w:before="60" w:line="288" w:lineRule="auto"/>
        <w:ind w:hanging="357" w:left="414"/>
        <w:jc w:val="both"/>
        <w:rPr>
          <w:color w:val="auto"/>
        </w:rPr>
      </w:pPr>
      <w:r>
        <w:rPr>
          <w:rFonts w:hint="default"/>
          <w:color w:val="auto"/>
          <w:lang w:val="en-US"/>
        </w:rPr>
        <w:t xml:space="preserve">Số lượng đề xuất dự kiến như sau:</w:t>
      </w:r>
      <w:r>
        <w:rPr>
          <w:color w:val="auto"/>
        </w:rPr>
      </w:r>
    </w:p>
    <w:tbl>
      <w:tblPr>
        <w:tblStyle w:val="760"/>
        <w:tblInd w:w="173" w:type="dxa"/>
        <w:tblW w:w="5062"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08"/>
        <w:gridCol w:w="6239"/>
        <w:gridCol w:w="1230"/>
        <w:gridCol w:w="1518"/>
      </w:tblGrid>
      <w:tr>
        <w:trPr>
          <w:trHeight w:val="773"/>
        </w:trPr>
        <w:tc>
          <w:tcPr>
            <w:tcBorders/>
            <w:tcW w:w="363" w:type="pct"/>
            <w:vAlign w:val="center"/>
          </w:tcPr>
          <w:p w14:paraId="2742A2D2">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STT</w:t>
            </w:r>
            <w:r>
              <w:rPr>
                <w:rFonts w:ascii="Times New Roman" w:hAnsi="Times New Roman"/>
                <w:b/>
                <w:bCs w:val="0"/>
                <w:color w:val="auto"/>
                <w:sz w:val="26"/>
                <w:szCs w:val="24"/>
                <w:highlight w:val="none"/>
              </w:rPr>
            </w:r>
          </w:p>
        </w:tc>
        <w:tc>
          <w:tcPr>
            <w:tcBorders/>
            <w:tcW w:w="3218" w:type="pct"/>
            <w:vAlign w:val="center"/>
          </w:tcPr>
          <w:p w14:paraId="36BC52C3">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Tên phòng Ban</w:t>
            </w:r>
            <w:r>
              <w:rPr>
                <w:rFonts w:ascii="Times New Roman" w:hAnsi="Times New Roman"/>
                <w:b/>
                <w:bCs w:val="0"/>
                <w:color w:val="auto"/>
                <w:sz w:val="26"/>
                <w:szCs w:val="24"/>
                <w:highlight w:val="none"/>
              </w:rPr>
            </w:r>
          </w:p>
        </w:tc>
        <w:tc>
          <w:tcPr>
            <w:tcBorders/>
            <w:tcW w:w="635" w:type="pct"/>
            <w:vAlign w:val="center"/>
          </w:tcPr>
          <w:p w14:paraId="56A2C6E1">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Số lượng</w:t>
            </w:r>
            <w:r>
              <w:rPr>
                <w:rFonts w:hint="default"/>
                <w:b/>
                <w:bCs w:val="0"/>
                <w:color w:val="auto"/>
                <w:sz w:val="26"/>
                <w:szCs w:val="24"/>
                <w:highlight w:val="none"/>
                <w:lang w:val="en-US"/>
              </w:rPr>
              <w:t xml:space="preserve"> license</w:t>
            </w:r>
            <w:r>
              <w:rPr>
                <w:rFonts w:ascii="Times New Roman" w:hAnsi="Times New Roman"/>
                <w:b/>
                <w:bCs w:val="0"/>
                <w:color w:val="auto"/>
                <w:sz w:val="26"/>
                <w:szCs w:val="24"/>
                <w:highlight w:val="none"/>
              </w:rPr>
              <w:t xml:space="preserve"> </w:t>
            </w:r>
            <w:r>
              <w:rPr>
                <w:rFonts w:ascii="Times New Roman" w:hAnsi="Times New Roman"/>
                <w:b/>
                <w:bCs w:val="0"/>
                <w:color w:val="auto"/>
                <w:sz w:val="26"/>
                <w:szCs w:val="24"/>
                <w:highlight w:val="none"/>
              </w:rPr>
            </w:r>
          </w:p>
        </w:tc>
        <w:tc>
          <w:tcPr>
            <w:tcBorders/>
            <w:tcW w:w="783" w:type="pct"/>
            <w:vAlign w:val="center"/>
          </w:tcPr>
          <w:p w14:paraId="5C2F4F39">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Tổng hợp</w:t>
            </w:r>
            <w:r>
              <w:rPr>
                <w:rFonts w:ascii="Times New Roman" w:hAnsi="Times New Roman"/>
                <w:b/>
                <w:bCs w:val="0"/>
                <w:color w:val="auto"/>
                <w:sz w:val="26"/>
                <w:szCs w:val="24"/>
                <w:highlight w:val="none"/>
              </w:rPr>
            </w:r>
          </w:p>
        </w:tc>
      </w:tr>
      <w:tr>
        <w:trPr>
          <w:trHeight w:val="432"/>
        </w:trPr>
        <w:tc>
          <w:tcPr>
            <w:tcBorders/>
            <w:tcW w:w="363" w:type="pct"/>
            <w:vAlign w:val="center"/>
            <w:vMerge w:val="restart"/>
          </w:tcPr>
          <w:p w14:paraId="1F7E7FB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1</w:t>
            </w:r>
            <w:r>
              <w:rPr>
                <w:rFonts w:ascii="Times New Roman" w:hAnsi="Times New Roman"/>
                <w:b w:val="0"/>
                <w:color w:val="auto"/>
                <w:sz w:val="26"/>
                <w:szCs w:val="24"/>
                <w:highlight w:val="none"/>
              </w:rPr>
            </w:r>
          </w:p>
        </w:tc>
        <w:tc>
          <w:tcPr>
            <w:tcBorders/>
            <w:tcW w:w="3218" w:type="pct"/>
            <w:vAlign w:val="center"/>
          </w:tcPr>
          <w:p w14:paraId="2FCE15DD">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1</w:t>
            </w:r>
            <w:r>
              <w:rPr>
                <w:rFonts w:ascii="Times New Roman" w:hAnsi="Times New Roman"/>
                <w:b w:val="0"/>
                <w:color w:val="auto"/>
                <w:sz w:val="26"/>
                <w:szCs w:val="24"/>
                <w:highlight w:val="none"/>
              </w:rPr>
            </w:r>
          </w:p>
        </w:tc>
        <w:tc>
          <w:tcPr>
            <w:tcBorders/>
            <w:tcW w:w="635" w:type="pct"/>
            <w:vAlign w:val="center"/>
          </w:tcPr>
          <w:p w14:paraId="522799BC">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restart"/>
          </w:tcPr>
          <w:p w14:paraId="5CE65AE4">
            <w:pPr>
              <w:pBdr/>
              <w:spacing w:after="0" w:line="240" w:lineRule="auto"/>
              <w:ind/>
              <w:jc w:val="center"/>
              <w:rPr>
                <w:rFonts w:hint="default" w:ascii="Times New Roman" w:hAnsi="Times New Roman"/>
                <w:b w:val="0"/>
                <w:color w:val="auto"/>
                <w:sz w:val="26"/>
                <w:szCs w:val="24"/>
                <w:highlight w:val="none"/>
                <w:lang w:val="en-US"/>
              </w:rPr>
            </w:pPr>
            <w:r>
              <w:rPr>
                <w:rFonts w:ascii="Times New Roman" w:hAnsi="Times New Roman"/>
                <w:b w:val="0"/>
                <w:color w:val="auto"/>
                <w:sz w:val="26"/>
                <w:szCs w:val="24"/>
                <w:highlight w:val="none"/>
              </w:rPr>
              <w:t xml:space="preserve">1</w:t>
            </w:r>
            <w:r>
              <w:rPr>
                <w:rFonts w:hint="default" w:ascii="Times New Roman" w:hAnsi="Times New Roman"/>
                <w:b w:val="0"/>
                <w:color w:val="auto"/>
                <w:sz w:val="26"/>
                <w:szCs w:val="24"/>
                <w:highlight w:val="none"/>
                <w:lang w:val="en-US"/>
              </w:rPr>
              <w:t xml:space="preserve">0 </w:t>
            </w:r>
            <w:r>
              <w:rPr>
                <w:rFonts w:hint="default"/>
                <w:b w:val="0"/>
                <w:color w:val="auto"/>
                <w:sz w:val="26"/>
                <w:szCs w:val="24"/>
                <w:highlight w:val="none"/>
                <w:lang w:val="en-US"/>
              </w:rPr>
              <w:t xml:space="preserve">license</w:t>
            </w:r>
            <w:r>
              <w:rPr>
                <w:rFonts w:hint="default" w:ascii="Times New Roman" w:hAnsi="Times New Roman"/>
                <w:b w:val="0"/>
                <w:color w:val="auto"/>
                <w:sz w:val="26"/>
                <w:szCs w:val="24"/>
                <w:highlight w:val="none"/>
                <w:lang w:val="en-US"/>
              </w:rPr>
            </w:r>
          </w:p>
        </w:tc>
      </w:tr>
      <w:tr>
        <w:trPr>
          <w:trHeight w:val="432"/>
        </w:trPr>
        <w:tc>
          <w:tcPr>
            <w:tcBorders/>
            <w:tcW w:w="363" w:type="pct"/>
            <w:vAlign w:val="center"/>
            <w:vMerge w:val="continue"/>
          </w:tcPr>
          <w:p w14:paraId="48379275">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D0541AE">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2</w:t>
            </w:r>
            <w:r>
              <w:rPr>
                <w:rFonts w:ascii="Times New Roman" w:hAnsi="Times New Roman"/>
                <w:b w:val="0"/>
                <w:color w:val="auto"/>
                <w:sz w:val="26"/>
                <w:szCs w:val="24"/>
                <w:highlight w:val="none"/>
              </w:rPr>
            </w:r>
          </w:p>
        </w:tc>
        <w:tc>
          <w:tcPr>
            <w:tcBorders/>
            <w:tcW w:w="635" w:type="pct"/>
            <w:vAlign w:val="center"/>
          </w:tcPr>
          <w:p w14:paraId="60F92240">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2F394CD">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A4A2CE7">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3CECD154">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3</w:t>
            </w:r>
            <w:r>
              <w:rPr>
                <w:rFonts w:ascii="Times New Roman" w:hAnsi="Times New Roman"/>
                <w:b w:val="0"/>
                <w:color w:val="auto"/>
                <w:sz w:val="26"/>
                <w:szCs w:val="24"/>
                <w:highlight w:val="none"/>
              </w:rPr>
            </w:r>
          </w:p>
        </w:tc>
        <w:tc>
          <w:tcPr>
            <w:tcBorders/>
            <w:tcW w:w="635" w:type="pct"/>
            <w:vAlign w:val="center"/>
          </w:tcPr>
          <w:p w14:paraId="669412DD">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796E7A5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6CE0055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6154645A">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4</w:t>
            </w:r>
            <w:r>
              <w:rPr>
                <w:rFonts w:ascii="Times New Roman" w:hAnsi="Times New Roman"/>
                <w:b w:val="0"/>
                <w:color w:val="auto"/>
                <w:sz w:val="26"/>
                <w:szCs w:val="24"/>
                <w:highlight w:val="none"/>
              </w:rPr>
            </w:r>
          </w:p>
        </w:tc>
        <w:tc>
          <w:tcPr>
            <w:tcBorders/>
            <w:tcW w:w="635" w:type="pct"/>
            <w:vAlign w:val="center"/>
          </w:tcPr>
          <w:p w14:paraId="36ED0DA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781F876">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4F5A4198">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0094562D">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5</w:t>
            </w:r>
            <w:r>
              <w:rPr>
                <w:rFonts w:ascii="Times New Roman" w:hAnsi="Times New Roman"/>
                <w:b w:val="0"/>
                <w:color w:val="auto"/>
                <w:sz w:val="26"/>
                <w:szCs w:val="24"/>
                <w:highlight w:val="none"/>
              </w:rPr>
            </w:r>
          </w:p>
        </w:tc>
        <w:tc>
          <w:tcPr>
            <w:tcBorders/>
            <w:tcW w:w="635" w:type="pct"/>
            <w:vAlign w:val="center"/>
          </w:tcPr>
          <w:p w14:paraId="0317421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4A407D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10"/>
        </w:trPr>
        <w:tc>
          <w:tcPr>
            <w:tcBorders/>
            <w:tcW w:w="363" w:type="pct"/>
            <w:vAlign w:val="center"/>
            <w:vMerge w:val="continue"/>
          </w:tcPr>
          <w:p w14:paraId="0BB2EDBF">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2B98D769">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6</w:t>
            </w:r>
            <w:r>
              <w:rPr>
                <w:rFonts w:ascii="Times New Roman" w:hAnsi="Times New Roman"/>
                <w:b w:val="0"/>
                <w:color w:val="auto"/>
                <w:sz w:val="26"/>
                <w:szCs w:val="24"/>
                <w:highlight w:val="none"/>
              </w:rPr>
            </w:r>
          </w:p>
        </w:tc>
        <w:tc>
          <w:tcPr>
            <w:tcBorders/>
            <w:tcW w:w="635" w:type="pct"/>
            <w:vAlign w:val="center"/>
          </w:tcPr>
          <w:p w14:paraId="7667F42C">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1989CA6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3BDBD2E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695FD7D7">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7</w:t>
            </w:r>
            <w:r>
              <w:rPr>
                <w:rFonts w:ascii="Times New Roman" w:hAnsi="Times New Roman"/>
                <w:b w:val="0"/>
                <w:color w:val="auto"/>
                <w:sz w:val="26"/>
                <w:szCs w:val="24"/>
                <w:highlight w:val="none"/>
              </w:rPr>
            </w:r>
          </w:p>
        </w:tc>
        <w:tc>
          <w:tcPr>
            <w:tcBorders/>
            <w:tcW w:w="635" w:type="pct"/>
            <w:vAlign w:val="center"/>
          </w:tcPr>
          <w:p w14:paraId="5AEB531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9679EF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BBC1776">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136B59E">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8</w:t>
            </w:r>
            <w:r>
              <w:rPr>
                <w:rFonts w:ascii="Times New Roman" w:hAnsi="Times New Roman"/>
                <w:b w:val="0"/>
                <w:color w:val="auto"/>
                <w:sz w:val="26"/>
                <w:szCs w:val="24"/>
                <w:highlight w:val="none"/>
              </w:rPr>
            </w:r>
          </w:p>
        </w:tc>
        <w:tc>
          <w:tcPr>
            <w:tcBorders/>
            <w:tcW w:w="635" w:type="pct"/>
            <w:vAlign w:val="center"/>
          </w:tcPr>
          <w:p w14:paraId="6114081D">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E2C458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restart"/>
          </w:tcPr>
          <w:p w14:paraId="6F06BD04">
            <w:pPr>
              <w:pBdr/>
              <w:spacing w:after="0" w:line="240" w:lineRule="auto"/>
              <w:ind/>
              <w:jc w:val="center"/>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2</w:t>
            </w:r>
            <w:r>
              <w:rPr>
                <w:rFonts w:hint="default" w:ascii="Times New Roman" w:hAnsi="Times New Roman"/>
                <w:b w:val="0"/>
                <w:color w:val="auto"/>
                <w:sz w:val="26"/>
                <w:szCs w:val="24"/>
                <w:highlight w:val="none"/>
                <w:lang w:val="en-US"/>
              </w:rPr>
            </w:r>
          </w:p>
        </w:tc>
        <w:tc>
          <w:tcPr>
            <w:tcBorders/>
            <w:tcW w:w="3218" w:type="pct"/>
            <w:vAlign w:val="center"/>
          </w:tcPr>
          <w:p w14:paraId="0E62A908">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Kỹ Thuật Chất Lượng</w:t>
            </w:r>
            <w:r>
              <w:rPr>
                <w:rFonts w:hint="default" w:ascii="Times New Roman" w:hAnsi="Times New Roman"/>
                <w:b w:val="0"/>
                <w:color w:val="auto"/>
                <w:sz w:val="26"/>
                <w:szCs w:val="24"/>
                <w:highlight w:val="none"/>
                <w:lang w:val="en-US"/>
              </w:rPr>
            </w:r>
          </w:p>
        </w:tc>
        <w:tc>
          <w:tcPr>
            <w:tcBorders/>
            <w:tcW w:w="635" w:type="pct"/>
            <w:vAlign w:val="center"/>
          </w:tcPr>
          <w:p w14:paraId="454E32C9">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082FBA9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20"/>
        </w:trPr>
        <w:tc>
          <w:tcPr>
            <w:tcBorders/>
            <w:tcW w:w="363" w:type="pct"/>
            <w:vAlign w:val="center"/>
            <w:vMerge w:val="continue"/>
          </w:tcPr>
          <w:p w14:paraId="214DD03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36DDB7CD">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Kế Hoạch Đầu Tư</w:t>
            </w:r>
            <w:r>
              <w:rPr>
                <w:rFonts w:hint="default" w:ascii="Times New Roman" w:hAnsi="Times New Roman"/>
                <w:b w:val="0"/>
                <w:color w:val="auto"/>
                <w:sz w:val="26"/>
                <w:szCs w:val="24"/>
                <w:highlight w:val="none"/>
                <w:lang w:val="en-US"/>
              </w:rPr>
            </w:r>
          </w:p>
        </w:tc>
        <w:tc>
          <w:tcPr>
            <w:tcBorders/>
            <w:tcW w:w="635" w:type="pct"/>
            <w:vAlign w:val="center"/>
          </w:tcPr>
          <w:p w14:paraId="335549A5">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7AF90E0">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bl>
    <w:p w14:paraId="59A15454">
      <w:pPr>
        <w:pStyle w:val="868"/>
        <w:numPr>
          <w:numId w:val="0"/>
        </w:numPr>
        <w:pBdr/>
        <w:spacing w:after="60" w:before="60" w:line="288" w:lineRule="auto"/>
        <w:ind/>
        <w:contextualSpacing w:val="true"/>
        <w:jc w:val="both"/>
        <w:rPr>
          <w:color w:val="ee0000"/>
        </w:rPr>
      </w:pPr>
      <w:r>
        <w:rPr>
          <w:color w:val="ee0000"/>
        </w:rPr>
      </w:r>
      <w:r>
        <w:rPr>
          <w:color w:val="ee0000"/>
        </w:rPr>
      </w:r>
    </w:p>
    <w:p w14:paraId="792EFEB9">
      <w:pPr>
        <w:pStyle w:val="868"/>
        <w:numPr>
          <w:ilvl w:val="0"/>
          <w:numId w:val="7"/>
        </w:numPr>
        <w:pBdr/>
        <w:spacing w:after="60" w:before="60" w:line="288" w:lineRule="auto"/>
        <w:ind w:hanging="357" w:left="414"/>
        <w:jc w:val="both"/>
        <w:rPr>
          <w:color w:val="ee0000"/>
        </w:rPr>
      </w:pPr>
      <w:r>
        <w:rPr>
          <w:rFonts w:hint="default"/>
          <w:color w:val="ee0000"/>
          <w:lang w:val="en-US"/>
        </w:rPr>
        <w:t xml:space="preserve">So sánh về phương án giá của các hãng công nghệ:</w:t>
      </w:r>
      <w:r>
        <w:rPr>
          <w:color w:val="ee0000"/>
        </w:rPr>
      </w:r>
    </w:p>
    <w:p w14:paraId="2710C913">
      <w:pPr>
        <w:pStyle w:val="868"/>
        <w:numPr>
          <w:numId w:val="0"/>
        </w:numPr>
        <w:pBdr/>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p w14:paraId="05E947C8">
      <w:pPr>
        <w:pStyle w:val="868"/>
        <w:numPr>
          <w:numId w:val="0"/>
        </w:numPr>
        <w:pBdr/>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p w14:paraId="2E67041D">
      <w:pPr>
        <w:pStyle w:val="868"/>
        <w:numPr>
          <w:numId w:val="0"/>
        </w:numPr>
        <w:pBdr/>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tbl>
      <w:tblPr>
        <w:tblStyle w:val="760"/>
        <w:tblInd w:w="0" w:type="dxa"/>
        <w:tblW w:w="4998"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58"/>
        <w:gridCol w:w="2838"/>
        <w:gridCol w:w="2838"/>
        <w:gridCol w:w="2838"/>
      </w:tblGrid>
      <w:tr>
        <w:trPr/>
        <w:tc>
          <w:tcPr>
            <w:tcBorders/>
            <w:tcW w:w="553" w:type="pct"/>
          </w:tcPr>
          <w:p w14:paraId="540F7F43">
            <w:pPr>
              <w:pBdr/>
              <w:spacing w:after="60" w:before="60" w:line="288" w:lineRule="auto"/>
              <w:ind/>
              <w:jc w:val="center"/>
              <w:rPr>
                <w:b/>
                <w:bCs/>
                <w:color w:val="auto"/>
                <w:highlight w:val="none"/>
              </w:rPr>
            </w:pPr>
            <w:r>
              <w:rPr>
                <w:b/>
                <w:bCs/>
                <w:color w:val="auto"/>
                <w:highlight w:val="none"/>
              </w:rPr>
              <w:t xml:space="preserve">STT</w:t>
            </w:r>
            <w:r>
              <w:rPr>
                <w:b/>
                <w:bCs/>
                <w:color w:val="auto"/>
                <w:highlight w:val="none"/>
              </w:rPr>
            </w:r>
          </w:p>
        </w:tc>
        <w:tc>
          <w:tcPr>
            <w:tcBorders/>
            <w:tcW w:w="1482" w:type="pct"/>
          </w:tcPr>
          <w:p w14:paraId="4139A51C">
            <w:pPr>
              <w:pBdr/>
              <w:spacing w:after="60" w:before="60" w:line="288" w:lineRule="auto"/>
              <w:ind/>
              <w:jc w:val="center"/>
              <w:rPr>
                <w:rFonts w:hint="default"/>
                <w:b/>
                <w:bCs/>
                <w:color w:val="auto"/>
                <w:highlight w:val="none"/>
                <w:lang w:val="en-US"/>
              </w:rPr>
            </w:pPr>
            <w:r>
              <w:rPr>
                <w:b/>
                <w:bCs/>
                <w:color w:val="auto"/>
                <w:highlight w:val="none"/>
              </w:rPr>
              <w:t xml:space="preserve">Hãng công nghệ</w:t>
            </w:r>
            <w:r>
              <w:rPr>
                <w:rFonts w:hint="default"/>
                <w:b/>
                <w:bCs/>
                <w:color w:val="auto"/>
                <w:highlight w:val="none"/>
                <w:lang w:val="en-US"/>
              </w:rPr>
              <w:t xml:space="preserve"> AUTODESK</w:t>
            </w:r>
            <w:r>
              <w:rPr>
                <w:rFonts w:hint="default"/>
                <w:b/>
                <w:bCs/>
                <w:color w:val="auto"/>
                <w:highlight w:val="none"/>
                <w:lang w:val="en-US"/>
              </w:rPr>
            </w:r>
          </w:p>
        </w:tc>
        <w:tc>
          <w:tcPr>
            <w:tcBorders/>
            <w:tcW w:w="1482" w:type="pct"/>
          </w:tcPr>
          <w:p w14:paraId="4B82608D">
            <w:pPr>
              <w:pBdr/>
              <w:spacing w:after="60" w:before="60" w:line="288" w:lineRule="auto"/>
              <w:ind/>
              <w:jc w:val="center"/>
              <w:rPr>
                <w:b/>
                <w:bCs/>
                <w:color w:val="auto"/>
                <w:highlight w:val="none"/>
              </w:rPr>
            </w:pPr>
            <w:r>
              <w:rPr>
                <w:b/>
                <w:bCs/>
                <w:color w:val="auto"/>
                <w:highlight w:val="none"/>
              </w:rPr>
              <w:t xml:space="preserve">Chi phí</w:t>
            </w:r>
            <w:r>
              <w:rPr>
                <w:b/>
                <w:bCs/>
                <w:color w:val="auto"/>
                <w:highlight w:val="none"/>
              </w:rPr>
            </w:r>
          </w:p>
        </w:tc>
        <w:tc>
          <w:tcPr>
            <w:tcBorders/>
            <w:tcW w:w="1482" w:type="pct"/>
          </w:tcPr>
          <w:p w14:paraId="2D57E801">
            <w:pPr>
              <w:pBdr/>
              <w:spacing w:after="60" w:before="60" w:line="288" w:lineRule="auto"/>
              <w:ind/>
              <w:jc w:val="center"/>
              <w:rPr>
                <w:rFonts w:hint="default"/>
                <w:b/>
                <w:bCs/>
                <w:color w:val="auto"/>
                <w:highlight w:val="none"/>
                <w:lang w:val="en-US"/>
              </w:rPr>
            </w:pPr>
            <w:r>
              <w:rPr>
                <w:rFonts w:hint="default"/>
                <w:b/>
                <w:bCs/>
                <w:color w:val="auto"/>
                <w:highlight w:val="none"/>
                <w:lang w:val="en-US"/>
              </w:rPr>
              <w:t xml:space="preserve">Tổng hợp</w:t>
            </w:r>
            <w:r>
              <w:rPr>
                <w:rFonts w:hint="default"/>
                <w:b/>
                <w:bCs/>
                <w:color w:val="auto"/>
                <w:highlight w:val="none"/>
                <w:lang w:val="en-US"/>
              </w:rPr>
            </w:r>
          </w:p>
        </w:tc>
      </w:tr>
      <w:tr>
        <w:trPr/>
        <w:tc>
          <w:tcPr>
            <w:tcBorders/>
            <w:tcW w:w="553" w:type="pct"/>
          </w:tcPr>
          <w:p w14:paraId="7E880F30">
            <w:pPr>
              <w:pBdr/>
              <w:spacing w:after="60" w:before="60" w:line="288" w:lineRule="auto"/>
              <w:ind/>
              <w:jc w:val="center"/>
              <w:rPr>
                <w:color w:val="auto"/>
                <w:highlight w:val="none"/>
              </w:rPr>
            </w:pPr>
            <w:r>
              <w:rPr>
                <w:color w:val="auto"/>
                <w:highlight w:val="none"/>
              </w:rPr>
              <w:t xml:space="preserve">1</w:t>
            </w:r>
            <w:r>
              <w:rPr>
                <w:color w:val="auto"/>
                <w:highlight w:val="none"/>
              </w:rPr>
            </w:r>
          </w:p>
        </w:tc>
        <w:tc>
          <w:tcPr>
            <w:tcBorders/>
            <w:tcW w:w="1482" w:type="pct"/>
          </w:tcPr>
          <w:p w14:paraId="4F43E3D1">
            <w:pPr>
              <w:pBdr/>
              <w:spacing w:after="60" w:before="60" w:line="288" w:lineRule="auto"/>
              <w:ind/>
              <w:jc w:val="center"/>
              <w:rPr>
                <w:color w:val="auto"/>
                <w:highlight w:val="none"/>
              </w:rPr>
            </w:pPr>
            <w:r>
              <w:rPr>
                <w:color w:val="auto"/>
                <w:highlight w:val="none"/>
              </w:rPr>
              <w:t xml:space="preserve">Phần mềm tạo lập mô hình BIM: Revit</w:t>
            </w:r>
            <w:r>
              <w:rPr>
                <w:color w:val="auto"/>
                <w:highlight w:val="none"/>
              </w:rPr>
            </w:r>
          </w:p>
        </w:tc>
        <w:tc>
          <w:tcPr>
            <w:tcBorders/>
            <w:tcW w:w="1482" w:type="pct"/>
          </w:tcPr>
          <w:p w14:paraId="0D771F47">
            <w:pPr>
              <w:pBdr/>
              <w:spacing w:after="60" w:before="60" w:line="288" w:lineRule="auto"/>
              <w:ind/>
              <w:jc w:val="both"/>
              <w:rPr>
                <w:color w:val="auto"/>
                <w:highlight w:val="none"/>
              </w:rPr>
            </w:pPr>
            <w:r>
              <w:rPr>
                <w:color w:val="auto"/>
                <w:highlight w:val="none"/>
              </w:rPr>
              <w:t xml:space="preserve">- Chi phí công bố trên website:</w:t>
            </w:r>
            <w:r>
              <w:rPr>
                <w:color w:val="auto"/>
                <w:highlight w:val="none"/>
              </w:rPr>
            </w:r>
          </w:p>
          <w:p w14:paraId="3254F066">
            <w:pPr>
              <w:pBdr/>
              <w:spacing w:after="60" w:before="60" w:line="288" w:lineRule="auto"/>
              <w:ind/>
              <w:jc w:val="both"/>
              <w:rPr>
                <w:color w:val="auto"/>
                <w:highlight w:val="none"/>
              </w:rPr>
            </w:pPr>
            <w:r>
              <w:rPr>
                <w:color w:val="auto"/>
                <w:highlight w:val="none"/>
              </w:rPr>
              <w:t xml:space="preserve">60.000.000 VNĐ/ 1 user/ 1 năm</w:t>
            </w:r>
            <w:r>
              <w:rPr>
                <w:color w:val="auto"/>
                <w:highlight w:val="none"/>
              </w:rPr>
            </w:r>
          </w:p>
        </w:tc>
        <w:tc>
          <w:tcPr>
            <w:tcBorders/>
            <w:tcW w:w="1482" w:type="pct"/>
            <w:vMerge w:val="restart"/>
          </w:tcPr>
          <w:p w14:paraId="271BB347">
            <w:pPr>
              <w:pBdr/>
              <w:spacing w:after="60" w:before="60" w:line="288" w:lineRule="auto"/>
              <w:ind/>
              <w:jc w:val="both"/>
              <w:rPr>
                <w:rFonts w:hint="default"/>
                <w:color w:val="auto"/>
                <w:highlight w:val="none"/>
                <w:lang w:val="en-US"/>
              </w:rPr>
            </w:pPr>
            <w:r>
              <w:rPr>
                <w:rFonts w:hint="default"/>
                <w:color w:val="auto"/>
                <w:highlight w:val="none"/>
                <w:lang w:val="en-US"/>
              </w:rPr>
              <w:t xml:space="preserve">Chi phí: 146.100.000 VNĐ/ 1 user/ 1 năm</w:t>
            </w:r>
            <w:r>
              <w:rPr>
                <w:rFonts w:hint="default"/>
                <w:color w:val="auto"/>
                <w:highlight w:val="none"/>
                <w:lang w:val="en-US"/>
              </w:rPr>
            </w:r>
          </w:p>
          <w:p w14:paraId="7EFCC722">
            <w:pPr>
              <w:pBdr/>
              <w:spacing w:after="60" w:before="60" w:line="288" w:lineRule="auto"/>
              <w:ind/>
              <w:jc w:val="both"/>
              <w:rPr>
                <w:rFonts w:hint="default"/>
                <w:color w:val="auto"/>
                <w:highlight w:val="none"/>
                <w:lang w:val="en-US"/>
              </w:rPr>
            </w:pPr>
            <w:r>
              <w:rPr>
                <w:rFonts w:hint="default"/>
                <w:color w:val="auto"/>
                <w:highlight w:val="none"/>
                <w:lang w:val="en-US"/>
              </w:rPr>
              <w:t xml:space="preserve">*Ghi chú: AUTODESK có chính sách bán combo các phần mềm bao gồm Revit, </w:t>
            </w:r>
            <w:r>
              <w:rPr>
                <w:color w:val="auto"/>
                <w:highlight w:val="none"/>
              </w:rPr>
              <w:t xml:space="preserve">Navisworks Manage</w:t>
            </w:r>
            <w:r>
              <w:rPr>
                <w:rFonts w:hint="default"/>
                <w:color w:val="auto"/>
                <w:highlight w:val="none"/>
                <w:lang w:val="en-US"/>
              </w:rPr>
              <w:t xml:space="preserve">, </w:t>
            </w:r>
            <w:r>
              <w:rPr>
                <w:color w:val="auto"/>
                <w:highlight w:val="none"/>
              </w:rPr>
              <w:t xml:space="preserve">Fomra Data Management</w:t>
            </w:r>
            <w:r>
              <w:rPr>
                <w:rFonts w:hint="default"/>
                <w:color w:val="auto"/>
                <w:highlight w:val="none"/>
                <w:lang w:val="en-US"/>
              </w:rPr>
              <w:t xml:space="preserve">: Autodesk AEC Collection với chi phí công bố trên website: 73.500.000 VNĐ/ 1 user/ 1 năm</w:t>
            </w:r>
            <w:r>
              <w:rPr>
                <w:rFonts w:hint="default"/>
                <w:color w:val="auto"/>
                <w:highlight w:val="none"/>
                <w:lang w:val="en-US"/>
              </w:rPr>
            </w:r>
          </w:p>
        </w:tc>
      </w:tr>
      <w:tr>
        <w:trPr/>
        <w:tc>
          <w:tcPr>
            <w:tcBorders/>
            <w:tcW w:w="553" w:type="pct"/>
          </w:tcPr>
          <w:p w14:paraId="1E14BDBB">
            <w:pPr>
              <w:pBdr/>
              <w:spacing w:after="60" w:before="60" w:line="288" w:lineRule="auto"/>
              <w:ind/>
              <w:jc w:val="center"/>
              <w:rPr>
                <w:color w:val="auto"/>
                <w:highlight w:val="none"/>
              </w:rPr>
            </w:pPr>
            <w:r>
              <w:rPr>
                <w:color w:val="auto"/>
                <w:highlight w:val="none"/>
              </w:rPr>
              <w:t xml:space="preserve">2</w:t>
            </w:r>
            <w:r>
              <w:rPr>
                <w:color w:val="auto"/>
                <w:highlight w:val="none"/>
              </w:rPr>
            </w:r>
          </w:p>
        </w:tc>
        <w:tc>
          <w:tcPr>
            <w:tcBorders/>
            <w:tcW w:w="1482" w:type="pct"/>
          </w:tcPr>
          <w:p w14:paraId="56193BAA">
            <w:pPr>
              <w:pBdr/>
              <w:spacing w:after="60" w:before="60" w:line="288" w:lineRule="auto"/>
              <w:ind/>
              <w:jc w:val="center"/>
              <w:rPr>
                <w:color w:val="auto"/>
                <w:highlight w:val="none"/>
              </w:rPr>
            </w:pPr>
            <w:r>
              <w:rPr>
                <w:color w:val="auto"/>
                <w:highlight w:val="none"/>
              </w:rPr>
              <w:t xml:space="preserve">Phần mềm </w:t>
            </w:r>
            <w:r>
              <w:rPr>
                <w:rFonts w:hint="default"/>
                <w:color w:val="auto"/>
                <w:highlight w:val="none"/>
                <w:lang w:val="en-US"/>
              </w:rPr>
              <w:t xml:space="preserve">kiểm soát</w:t>
            </w:r>
            <w:r>
              <w:rPr>
                <w:color w:val="auto"/>
                <w:highlight w:val="none"/>
              </w:rPr>
              <w:t xml:space="preserve"> mô hình BIM: Navisworks Manage</w:t>
            </w:r>
            <w:r>
              <w:rPr>
                <w:color w:val="auto"/>
                <w:highlight w:val="none"/>
              </w:rPr>
            </w:r>
          </w:p>
        </w:tc>
        <w:tc>
          <w:tcPr>
            <w:tcBorders/>
            <w:tcW w:w="1482" w:type="pct"/>
          </w:tcPr>
          <w:p w14:paraId="3609CBFB">
            <w:pPr>
              <w:pBdr/>
              <w:spacing w:after="60" w:before="60" w:line="288" w:lineRule="auto"/>
              <w:ind/>
              <w:jc w:val="both"/>
              <w:rPr>
                <w:color w:val="auto"/>
                <w:highlight w:val="none"/>
              </w:rPr>
            </w:pPr>
            <w:r>
              <w:rPr>
                <w:color w:val="auto"/>
                <w:highlight w:val="none"/>
              </w:rPr>
              <w:t xml:space="preserve">- Chi phí công bố trên website:</w:t>
            </w:r>
            <w:r>
              <w:rPr>
                <w:color w:val="auto"/>
                <w:highlight w:val="none"/>
              </w:rPr>
            </w:r>
          </w:p>
          <w:p w14:paraId="5B7031DB">
            <w:pPr>
              <w:pBdr/>
              <w:spacing w:after="60" w:before="60" w:line="288" w:lineRule="auto"/>
              <w:ind/>
              <w:jc w:val="both"/>
              <w:rPr>
                <w:color w:val="auto"/>
                <w:highlight w:val="none"/>
              </w:rPr>
            </w:pPr>
            <w:r>
              <w:rPr>
                <w:color w:val="auto"/>
                <w:highlight w:val="none"/>
              </w:rPr>
              <w:t xml:space="preserve">75.300.000 VNĐ/ 1 user/ 1 năm</w:t>
            </w:r>
            <w:r>
              <w:rPr>
                <w:color w:val="auto"/>
                <w:highlight w:val="none"/>
              </w:rPr>
            </w:r>
          </w:p>
        </w:tc>
        <w:tc>
          <w:tcPr>
            <w:tcBorders/>
            <w:tcW w:w="1482" w:type="pct"/>
            <w:vMerge w:val="continue"/>
          </w:tcPr>
          <w:p w14:paraId="230E27B2">
            <w:pPr>
              <w:pBdr/>
              <w:spacing w:after="60" w:before="60" w:line="288" w:lineRule="auto"/>
              <w:ind/>
              <w:jc w:val="both"/>
              <w:rPr>
                <w:color w:val="auto"/>
                <w:highlight w:val="none"/>
              </w:rPr>
            </w:pPr>
            <w:r>
              <w:rPr>
                <w:color w:val="auto"/>
                <w:highlight w:val="none"/>
              </w:rPr>
            </w:r>
            <w:r>
              <w:rPr>
                <w:color w:val="auto"/>
                <w:highlight w:val="none"/>
              </w:rPr>
            </w:r>
          </w:p>
        </w:tc>
      </w:tr>
      <w:tr>
        <w:trPr/>
        <w:tc>
          <w:tcPr>
            <w:tcBorders/>
            <w:tcW w:w="553" w:type="pct"/>
          </w:tcPr>
          <w:p w14:paraId="5EBA77F0">
            <w:pPr>
              <w:pBdr/>
              <w:spacing w:after="60" w:before="60" w:line="288" w:lineRule="auto"/>
              <w:ind/>
              <w:jc w:val="center"/>
              <w:rPr>
                <w:color w:val="auto"/>
                <w:highlight w:val="none"/>
              </w:rPr>
            </w:pPr>
            <w:r>
              <w:rPr>
                <w:color w:val="auto"/>
                <w:highlight w:val="none"/>
              </w:rPr>
              <w:t xml:space="preserve">3</w:t>
            </w:r>
            <w:r>
              <w:rPr>
                <w:color w:val="auto"/>
                <w:highlight w:val="none"/>
              </w:rPr>
            </w:r>
          </w:p>
        </w:tc>
        <w:tc>
          <w:tcPr>
            <w:tcBorders/>
            <w:tcW w:w="1482" w:type="pct"/>
          </w:tcPr>
          <w:p w14:paraId="084503B3">
            <w:pPr>
              <w:pBdr/>
              <w:spacing w:after="60" w:before="60" w:line="288" w:lineRule="auto"/>
              <w:ind/>
              <w:jc w:val="center"/>
              <w:rPr>
                <w:color w:val="auto"/>
                <w:highlight w:val="none"/>
              </w:rPr>
            </w:pPr>
            <w:r>
              <w:rPr>
                <w:color w:val="auto"/>
                <w:highlight w:val="none"/>
              </w:rPr>
              <w:t xml:space="preserve">Nền tảng môi trường dữ liệu chung (CDE): Fomra Data Management</w:t>
            </w:r>
            <w:r>
              <w:rPr>
                <w:color w:val="auto"/>
                <w:highlight w:val="none"/>
              </w:rPr>
            </w:r>
          </w:p>
        </w:tc>
        <w:tc>
          <w:tcPr>
            <w:tcBorders/>
            <w:tcW w:w="1482" w:type="pct"/>
          </w:tcPr>
          <w:p w14:paraId="3183B414">
            <w:pPr>
              <w:pBdr/>
              <w:spacing w:after="60" w:before="60" w:line="288" w:lineRule="auto"/>
              <w:ind/>
              <w:jc w:val="both"/>
              <w:rPr>
                <w:color w:val="auto"/>
                <w:highlight w:val="none"/>
              </w:rPr>
            </w:pPr>
            <w:r>
              <w:rPr>
                <w:color w:val="auto"/>
                <w:highlight w:val="none"/>
              </w:rPr>
              <w:t xml:space="preserve">- Chi phí công bố trên website:</w:t>
            </w:r>
            <w:r>
              <w:rPr>
                <w:color w:val="auto"/>
                <w:highlight w:val="none"/>
              </w:rPr>
            </w:r>
          </w:p>
          <w:p w14:paraId="634A309F">
            <w:pPr>
              <w:pBdr/>
              <w:spacing w:after="60" w:before="60" w:line="288" w:lineRule="auto"/>
              <w:ind/>
              <w:jc w:val="both"/>
              <w:rPr>
                <w:color w:val="auto"/>
                <w:highlight w:val="none"/>
              </w:rPr>
            </w:pPr>
            <w:r>
              <w:rPr>
                <w:color w:val="auto"/>
                <w:highlight w:val="none"/>
              </w:rPr>
              <w:t xml:space="preserve">10.800.000 VNĐ/ 1 user/ 1 năm</w:t>
            </w:r>
            <w:r>
              <w:rPr>
                <w:color w:val="auto"/>
                <w:highlight w:val="none"/>
              </w:rPr>
            </w:r>
          </w:p>
        </w:tc>
        <w:tc>
          <w:tcPr>
            <w:tcBorders/>
            <w:tcW w:w="1482" w:type="pct"/>
            <w:vMerge w:val="continue"/>
          </w:tcPr>
          <w:p w14:paraId="420F94ED">
            <w:pPr>
              <w:pBdr/>
              <w:spacing w:after="60" w:before="60" w:line="288" w:lineRule="auto"/>
              <w:ind/>
              <w:jc w:val="both"/>
              <w:rPr>
                <w:color w:val="auto"/>
                <w:highlight w:val="none"/>
              </w:rPr>
            </w:pPr>
            <w:r>
              <w:rPr>
                <w:color w:val="auto"/>
                <w:highlight w:val="none"/>
              </w:rPr>
            </w:r>
            <w:r>
              <w:rPr>
                <w:color w:val="auto"/>
                <w:highlight w:val="none"/>
              </w:rPr>
            </w:r>
          </w:p>
        </w:tc>
      </w:tr>
    </w:tbl>
    <w:p w14:paraId="616F86D3">
      <w:pPr>
        <w:pStyle w:val="868"/>
        <w:numPr>
          <w:numId w:val="0"/>
        </w:numPr>
        <w:pBdr/>
        <w:spacing w:after="60" w:before="60" w:line="288" w:lineRule="auto"/>
        <w:ind/>
        <w:contextualSpacing w:val="true"/>
        <w:jc w:val="both"/>
        <w:rPr>
          <w:color w:val="ee0000"/>
        </w:rPr>
      </w:pPr>
      <w:r>
        <w:rPr>
          <w:color w:val="ee0000"/>
        </w:rPr>
      </w:r>
      <w:r>
        <w:rPr>
          <w:color w:val="ee0000"/>
        </w:rPr>
      </w:r>
    </w:p>
    <w:tbl>
      <w:tblPr>
        <w:tblStyle w:val="760"/>
        <w:tblInd w:w="0" w:type="dxa"/>
        <w:tblW w:w="4998"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58"/>
        <w:gridCol w:w="2838"/>
        <w:gridCol w:w="2838"/>
        <w:gridCol w:w="2838"/>
      </w:tblGrid>
      <w:tr>
        <w:trPr/>
        <w:tc>
          <w:tcPr>
            <w:tcBorders/>
            <w:tcW w:w="553" w:type="pct"/>
          </w:tcPr>
          <w:p w14:paraId="2A2FE7A4">
            <w:pPr>
              <w:pBdr/>
              <w:spacing w:after="60" w:before="60" w:line="288" w:lineRule="auto"/>
              <w:ind/>
              <w:jc w:val="center"/>
              <w:rPr>
                <w:b/>
                <w:bCs/>
                <w:color w:val="auto"/>
              </w:rPr>
            </w:pPr>
            <w:r>
              <w:rPr>
                <w:b/>
                <w:bCs/>
                <w:color w:val="auto"/>
              </w:rPr>
              <w:t xml:space="preserve">STT</w:t>
            </w:r>
            <w:r>
              <w:rPr>
                <w:b/>
                <w:bCs/>
                <w:color w:val="auto"/>
              </w:rPr>
            </w:r>
          </w:p>
        </w:tc>
        <w:tc>
          <w:tcPr>
            <w:tcBorders/>
            <w:tcW w:w="1482" w:type="pct"/>
          </w:tcPr>
          <w:p w14:paraId="3DFFBBE9">
            <w:pPr>
              <w:pBdr/>
              <w:spacing w:after="60" w:before="60" w:line="288" w:lineRule="auto"/>
              <w:ind/>
              <w:jc w:val="center"/>
              <w:rPr>
                <w:rFonts w:hint="default"/>
                <w:b/>
                <w:bCs/>
                <w:color w:val="auto"/>
                <w:lang w:val="en-US"/>
              </w:rPr>
            </w:pPr>
            <w:r>
              <w:rPr>
                <w:b/>
                <w:bCs/>
                <w:color w:val="auto"/>
              </w:rPr>
              <w:t xml:space="preserve">Hãng công nghệ</w:t>
            </w:r>
            <w:r>
              <w:rPr>
                <w:rFonts w:hint="default"/>
                <w:b/>
                <w:bCs/>
                <w:color w:val="auto"/>
                <w:lang w:val="en-US"/>
              </w:rPr>
              <w:t xml:space="preserve"> TRIMBLE</w:t>
            </w:r>
            <w:r>
              <w:rPr>
                <w:rFonts w:hint="default"/>
                <w:b/>
                <w:bCs/>
                <w:color w:val="auto"/>
                <w:lang w:val="en-US"/>
              </w:rPr>
            </w:r>
          </w:p>
        </w:tc>
        <w:tc>
          <w:tcPr>
            <w:tcBorders/>
            <w:tcW w:w="1482" w:type="pct"/>
          </w:tcPr>
          <w:p w14:paraId="049F7B0B">
            <w:pPr>
              <w:pBdr/>
              <w:spacing w:after="60" w:before="60" w:line="288" w:lineRule="auto"/>
              <w:ind/>
              <w:jc w:val="center"/>
              <w:rPr>
                <w:b/>
                <w:bCs/>
                <w:color w:val="auto"/>
              </w:rPr>
            </w:pPr>
            <w:r>
              <w:rPr>
                <w:b/>
                <w:bCs/>
                <w:color w:val="auto"/>
              </w:rPr>
              <w:t xml:space="preserve">Chi phí</w:t>
            </w:r>
            <w:r>
              <w:rPr>
                <w:b/>
                <w:bCs/>
                <w:color w:val="auto"/>
              </w:rPr>
            </w:r>
          </w:p>
        </w:tc>
        <w:tc>
          <w:tcPr>
            <w:tcBorders/>
            <w:tcW w:w="1482" w:type="pct"/>
          </w:tcPr>
          <w:p w14:paraId="619DCC9A">
            <w:pPr>
              <w:pBdr/>
              <w:spacing w:after="60" w:before="60" w:line="288" w:lineRule="auto"/>
              <w:ind/>
              <w:jc w:val="center"/>
              <w:rPr>
                <w:rFonts w:hint="default"/>
                <w:b/>
                <w:bCs/>
                <w:color w:val="auto"/>
                <w:lang w:val="en-US"/>
              </w:rPr>
            </w:pPr>
            <w:r>
              <w:rPr>
                <w:rFonts w:hint="default"/>
                <w:b/>
                <w:bCs/>
                <w:color w:val="auto"/>
                <w:lang w:val="en-US"/>
              </w:rPr>
              <w:t xml:space="preserve">Tổng hợp</w:t>
            </w:r>
            <w:r>
              <w:rPr>
                <w:rFonts w:hint="default"/>
                <w:b/>
                <w:bCs/>
                <w:color w:val="auto"/>
                <w:lang w:val="en-US"/>
              </w:rPr>
            </w:r>
          </w:p>
        </w:tc>
      </w:tr>
      <w:tr>
        <w:trPr/>
        <w:tc>
          <w:tcPr>
            <w:tcBorders/>
            <w:tcW w:w="553" w:type="pct"/>
          </w:tcPr>
          <w:p w14:paraId="17598734">
            <w:pPr>
              <w:pBdr/>
              <w:spacing w:after="60" w:before="60" w:line="288" w:lineRule="auto"/>
              <w:ind/>
              <w:jc w:val="center"/>
              <w:rPr>
                <w:color w:val="auto"/>
              </w:rPr>
            </w:pPr>
            <w:r>
              <w:rPr>
                <w:color w:val="auto"/>
              </w:rPr>
              <w:t xml:space="preserve">1</w:t>
            </w:r>
            <w:r>
              <w:rPr>
                <w:color w:val="auto"/>
              </w:rPr>
            </w:r>
          </w:p>
        </w:tc>
        <w:tc>
          <w:tcPr>
            <w:tcBorders/>
            <w:tcW w:w="1482" w:type="pct"/>
          </w:tcPr>
          <w:p w14:paraId="23811932">
            <w:pPr>
              <w:pBdr/>
              <w:spacing w:after="60" w:before="60" w:line="288" w:lineRule="auto"/>
              <w:ind/>
              <w:jc w:val="center"/>
              <w:rPr>
                <w:color w:val="auto"/>
              </w:rPr>
            </w:pPr>
            <w:r>
              <w:rPr>
                <w:color w:val="auto"/>
              </w:rPr>
              <w:t xml:space="preserve">Phần mềm tạo lập mô hình BIM: Tekla Structure</w:t>
            </w:r>
            <w:r>
              <w:rPr>
                <w:color w:val="auto"/>
              </w:rPr>
            </w:r>
          </w:p>
        </w:tc>
        <w:tc>
          <w:tcPr>
            <w:tcBorders/>
            <w:tcW w:w="1482" w:type="pct"/>
          </w:tcPr>
          <w:p w14:paraId="2401CEA1">
            <w:pPr>
              <w:pBdr/>
              <w:spacing w:after="60" w:before="60" w:line="288" w:lineRule="auto"/>
              <w:ind/>
              <w:jc w:val="both"/>
              <w:rPr>
                <w:color w:val="auto"/>
              </w:rPr>
            </w:pPr>
            <w:r>
              <w:rPr>
                <w:color w:val="auto"/>
              </w:rPr>
              <w:t xml:space="preserve">- Chi phí:</w:t>
            </w:r>
            <w:r>
              <w:rPr>
                <w:color w:val="auto"/>
              </w:rPr>
            </w:r>
          </w:p>
          <w:p w14:paraId="094B995B">
            <w:pPr>
              <w:pBdr/>
              <w:spacing w:after="60" w:before="60" w:line="288" w:lineRule="auto"/>
              <w:ind/>
              <w:jc w:val="both"/>
              <w:rPr>
                <w:color w:val="auto"/>
              </w:rPr>
            </w:pPr>
            <w:r>
              <w:rPr>
                <w:color w:val="auto"/>
              </w:rPr>
              <w:t xml:space="preserve">250.000.000 VNĐ/ 1 user/ 1 năm</w:t>
            </w:r>
            <w:r>
              <w:rPr>
                <w:color w:val="auto"/>
              </w:rPr>
            </w:r>
          </w:p>
        </w:tc>
        <w:tc>
          <w:tcPr>
            <w:tcBorders/>
            <w:tcW w:w="1482" w:type="pct"/>
            <w:vMerge w:val="restart"/>
          </w:tcPr>
          <w:p w14:paraId="2CA1C088">
            <w:pPr>
              <w:pBdr/>
              <w:spacing w:after="60" w:before="60" w:line="288" w:lineRule="auto"/>
              <w:ind/>
              <w:jc w:val="both"/>
              <w:rPr>
                <w:rFonts w:hint="default"/>
                <w:color w:val="auto"/>
                <w:lang w:val="en-US"/>
              </w:rPr>
            </w:pPr>
            <w:r>
              <w:rPr>
                <w:rFonts w:hint="default"/>
                <w:color w:val="auto"/>
                <w:lang w:val="en-US"/>
              </w:rPr>
              <w:t xml:space="preserve">Chi phí: 254.130.820 </w:t>
            </w:r>
            <w:r>
              <w:rPr>
                <w:color w:val="auto"/>
              </w:rPr>
              <w:t xml:space="preserve">VNĐ/ 1 user/ 1 năm</w:t>
            </w:r>
            <w:r>
              <w:rPr>
                <w:rFonts w:hint="default"/>
                <w:color w:val="auto"/>
                <w:lang w:val="en-US"/>
              </w:rPr>
            </w:r>
          </w:p>
        </w:tc>
      </w:tr>
      <w:tr>
        <w:trPr/>
        <w:tc>
          <w:tcPr>
            <w:tcBorders/>
            <w:tcW w:w="553" w:type="pct"/>
          </w:tcPr>
          <w:p w14:paraId="50C71FC8">
            <w:pPr>
              <w:pBdr/>
              <w:spacing w:after="60" w:before="60" w:line="288" w:lineRule="auto"/>
              <w:ind/>
              <w:jc w:val="center"/>
              <w:rPr>
                <w:color w:val="auto"/>
              </w:rPr>
            </w:pPr>
            <w:r>
              <w:rPr>
                <w:color w:val="auto"/>
              </w:rPr>
              <w:t xml:space="preserve">2</w:t>
            </w:r>
            <w:r>
              <w:rPr>
                <w:color w:val="auto"/>
              </w:rPr>
            </w:r>
          </w:p>
        </w:tc>
        <w:tc>
          <w:tcPr>
            <w:tcBorders/>
            <w:tcW w:w="1482" w:type="pct"/>
          </w:tcPr>
          <w:p w14:paraId="42ECC387">
            <w:pPr>
              <w:pBdr/>
              <w:spacing w:after="60" w:before="60" w:line="288" w:lineRule="auto"/>
              <w:ind/>
              <w:jc w:val="center"/>
              <w:rPr>
                <w:color w:val="auto"/>
              </w:rPr>
            </w:pPr>
            <w:r>
              <w:rPr>
                <w:color w:val="auto"/>
              </w:rPr>
              <w:t xml:space="preserve">Nền tảng môi trường dữ liệu chung (CDE): Trimble Connect</w:t>
            </w:r>
            <w:r>
              <w:rPr>
                <w:color w:val="auto"/>
              </w:rPr>
            </w:r>
          </w:p>
        </w:tc>
        <w:tc>
          <w:tcPr>
            <w:tcBorders/>
            <w:tcW w:w="1482" w:type="pct"/>
          </w:tcPr>
          <w:p w14:paraId="5434F14C">
            <w:pPr>
              <w:pBdr/>
              <w:spacing w:after="60" w:before="60" w:line="288" w:lineRule="auto"/>
              <w:ind/>
              <w:jc w:val="both"/>
              <w:rPr>
                <w:color w:val="auto"/>
              </w:rPr>
            </w:pPr>
            <w:r>
              <w:rPr>
                <w:color w:val="auto"/>
              </w:rPr>
              <w:t xml:space="preserve">- Chi phí công bố trên website:</w:t>
            </w:r>
            <w:r>
              <w:rPr>
                <w:color w:val="auto"/>
              </w:rPr>
            </w:r>
          </w:p>
          <w:p w14:paraId="4006C776">
            <w:pPr>
              <w:pBdr/>
              <w:spacing w:after="60" w:before="60" w:line="288" w:lineRule="auto"/>
              <w:ind/>
              <w:jc w:val="both"/>
              <w:rPr>
                <w:color w:val="auto"/>
              </w:rPr>
            </w:pPr>
            <w:r>
              <w:rPr>
                <w:color w:val="auto"/>
              </w:rPr>
              <w:t xml:space="preserve">4.130.820 VNĐ/ 1 user/ 1 năm</w:t>
            </w:r>
            <w:r>
              <w:rPr>
                <w:color w:val="auto"/>
              </w:rPr>
            </w:r>
          </w:p>
        </w:tc>
        <w:tc>
          <w:tcPr>
            <w:tcBorders/>
            <w:tcW w:w="1482" w:type="pct"/>
            <w:vMerge w:val="continue"/>
          </w:tcPr>
          <w:p w14:paraId="3A7333C2">
            <w:pPr>
              <w:pBdr/>
              <w:spacing w:after="60" w:before="60" w:line="288" w:lineRule="auto"/>
              <w:ind/>
              <w:jc w:val="both"/>
              <w:rPr>
                <w:color w:val="auto"/>
              </w:rPr>
            </w:pPr>
            <w:r>
              <w:rPr>
                <w:color w:val="auto"/>
              </w:rPr>
            </w:r>
            <w:r>
              <w:rPr>
                <w:color w:val="auto"/>
              </w:rPr>
            </w:r>
          </w:p>
        </w:tc>
      </w:tr>
    </w:tbl>
    <w:p w14:paraId="6331C5F9">
      <w:pPr>
        <w:pStyle w:val="868"/>
        <w:numPr>
          <w:numId w:val="0"/>
        </w:numPr>
        <w:pBdr/>
        <w:spacing w:after="60" w:before="60" w:line="288" w:lineRule="auto"/>
        <w:ind w:left="57"/>
        <w:jc w:val="both"/>
        <w:rPr>
          <w:color w:val="ee0000"/>
        </w:rPr>
      </w:pPr>
      <w:r>
        <w:rPr>
          <w:color w:val="ee0000"/>
        </w:rPr>
      </w:r>
      <w:r>
        <w:rPr>
          <w:color w:val="ee0000"/>
        </w:rPr>
      </w:r>
    </w:p>
    <w:tbl>
      <w:tblPr>
        <w:tblStyle w:val="760"/>
        <w:tblInd w:w="0" w:type="dxa"/>
        <w:tblW w:w="4997"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56"/>
        <w:gridCol w:w="2838"/>
        <w:gridCol w:w="2838"/>
        <w:gridCol w:w="2838"/>
      </w:tblGrid>
      <w:tr>
        <w:trPr/>
        <w:tc>
          <w:tcPr>
            <w:tcBorders/>
            <w:tcW w:w="552" w:type="pct"/>
          </w:tcPr>
          <w:p w14:paraId="46DFF31C">
            <w:pPr>
              <w:pBdr/>
              <w:spacing w:after="60" w:before="60" w:line="288" w:lineRule="auto"/>
              <w:ind/>
              <w:jc w:val="center"/>
              <w:rPr>
                <w:b/>
                <w:bCs/>
                <w:color w:val="auto"/>
              </w:rPr>
            </w:pPr>
            <w:r>
              <w:rPr>
                <w:b/>
                <w:bCs/>
                <w:color w:val="auto"/>
              </w:rPr>
              <w:t xml:space="preserve">STT</w:t>
            </w:r>
            <w:r>
              <w:rPr>
                <w:b/>
                <w:bCs/>
                <w:color w:val="auto"/>
              </w:rPr>
            </w:r>
          </w:p>
        </w:tc>
        <w:tc>
          <w:tcPr>
            <w:tcBorders/>
            <w:tcW w:w="1482" w:type="pct"/>
          </w:tcPr>
          <w:p w14:paraId="04CCF52F">
            <w:pPr>
              <w:pBdr/>
              <w:spacing w:after="60" w:before="60" w:line="288" w:lineRule="auto"/>
              <w:ind/>
              <w:jc w:val="center"/>
              <w:rPr>
                <w:rFonts w:hint="default"/>
                <w:b/>
                <w:bCs/>
                <w:color w:val="auto"/>
                <w:lang w:val="en-US"/>
              </w:rPr>
            </w:pPr>
            <w:r>
              <w:rPr>
                <w:b/>
                <w:bCs/>
                <w:color w:val="auto"/>
              </w:rPr>
              <w:t xml:space="preserve">Hãng công nghệ</w:t>
            </w:r>
            <w:r>
              <w:rPr>
                <w:rFonts w:hint="default"/>
                <w:b/>
                <w:bCs/>
                <w:color w:val="auto"/>
                <w:lang w:val="en-US"/>
              </w:rPr>
              <w:t xml:space="preserve"> NEMETSCHEK</w:t>
            </w:r>
            <w:r>
              <w:rPr>
                <w:rFonts w:hint="default"/>
                <w:b/>
                <w:bCs/>
                <w:color w:val="auto"/>
                <w:lang w:val="en-US"/>
              </w:rPr>
            </w:r>
          </w:p>
        </w:tc>
        <w:tc>
          <w:tcPr>
            <w:tcBorders/>
            <w:tcW w:w="1482" w:type="pct"/>
          </w:tcPr>
          <w:p w14:paraId="3B81E1BC">
            <w:pPr>
              <w:pBdr/>
              <w:spacing w:after="60" w:before="60" w:line="288" w:lineRule="auto"/>
              <w:ind/>
              <w:jc w:val="center"/>
              <w:rPr>
                <w:b/>
                <w:bCs/>
                <w:color w:val="auto"/>
              </w:rPr>
            </w:pPr>
            <w:r>
              <w:rPr>
                <w:b/>
                <w:bCs/>
                <w:color w:val="auto"/>
              </w:rPr>
              <w:t xml:space="preserve">Chi phí</w:t>
            </w:r>
            <w:r>
              <w:rPr>
                <w:b/>
                <w:bCs/>
                <w:color w:val="auto"/>
              </w:rPr>
            </w:r>
          </w:p>
        </w:tc>
        <w:tc>
          <w:tcPr>
            <w:tcBorders/>
            <w:tcW w:w="1482" w:type="pct"/>
          </w:tcPr>
          <w:p w14:paraId="47785952">
            <w:pPr>
              <w:pBdr/>
              <w:spacing w:after="60" w:before="60" w:line="288" w:lineRule="auto"/>
              <w:ind/>
              <w:jc w:val="center"/>
              <w:rPr>
                <w:rFonts w:hint="default"/>
                <w:b/>
                <w:bCs/>
                <w:color w:val="auto"/>
                <w:lang w:val="en-US"/>
              </w:rPr>
            </w:pPr>
            <w:r>
              <w:rPr>
                <w:rFonts w:hint="default"/>
                <w:b/>
                <w:bCs/>
                <w:color w:val="auto"/>
                <w:lang w:val="en-US"/>
              </w:rPr>
              <w:t xml:space="preserve">Tổng hợp</w:t>
            </w:r>
            <w:r>
              <w:rPr>
                <w:rFonts w:hint="default"/>
                <w:b/>
                <w:bCs/>
                <w:color w:val="auto"/>
                <w:lang w:val="en-US"/>
              </w:rPr>
            </w:r>
          </w:p>
        </w:tc>
      </w:tr>
      <w:tr>
        <w:trPr/>
        <w:tc>
          <w:tcPr>
            <w:tcBorders/>
            <w:tcW w:w="552" w:type="pct"/>
          </w:tcPr>
          <w:p w14:paraId="7B9308A4">
            <w:pPr>
              <w:pBdr/>
              <w:spacing w:after="60" w:before="60" w:line="288" w:lineRule="auto"/>
              <w:ind/>
              <w:jc w:val="center"/>
              <w:rPr>
                <w:color w:val="auto"/>
              </w:rPr>
            </w:pPr>
            <w:r>
              <w:rPr>
                <w:color w:val="auto"/>
              </w:rPr>
              <w:t xml:space="preserve">1</w:t>
            </w:r>
            <w:r>
              <w:rPr>
                <w:color w:val="auto"/>
              </w:rPr>
            </w:r>
          </w:p>
        </w:tc>
        <w:tc>
          <w:tcPr>
            <w:tcBorders/>
            <w:tcW w:w="1482" w:type="pct"/>
          </w:tcPr>
          <w:p w14:paraId="54781379">
            <w:pPr>
              <w:pBdr/>
              <w:spacing w:after="60" w:before="60" w:line="288" w:lineRule="auto"/>
              <w:ind/>
              <w:jc w:val="center"/>
              <w:rPr>
                <w:color w:val="auto"/>
              </w:rPr>
            </w:pPr>
            <w:r>
              <w:rPr>
                <w:color w:val="auto"/>
              </w:rPr>
              <w:t xml:space="preserve">Phần mềm tạo lập mô hình BIM: Allplan</w:t>
            </w:r>
            <w:r>
              <w:rPr>
                <w:color w:val="auto"/>
              </w:rPr>
            </w:r>
          </w:p>
        </w:tc>
        <w:tc>
          <w:tcPr>
            <w:tcBorders/>
            <w:tcW w:w="1482" w:type="pct"/>
          </w:tcPr>
          <w:p w14:paraId="1589DFAF">
            <w:pPr>
              <w:pBdr/>
              <w:spacing w:after="60" w:before="60" w:line="288" w:lineRule="auto"/>
              <w:ind/>
              <w:jc w:val="both"/>
              <w:rPr>
                <w:color w:val="auto"/>
              </w:rPr>
            </w:pPr>
            <w:r>
              <w:rPr>
                <w:color w:val="auto"/>
              </w:rPr>
              <w:t xml:space="preserve">- Chi phí công bố trên website:</w:t>
            </w:r>
            <w:r>
              <w:rPr>
                <w:color w:val="auto"/>
              </w:rPr>
            </w:r>
          </w:p>
          <w:p w14:paraId="18E14B3F">
            <w:pPr>
              <w:pBdr/>
              <w:spacing w:after="60" w:before="60" w:line="288" w:lineRule="auto"/>
              <w:ind/>
              <w:jc w:val="both"/>
              <w:rPr>
                <w:color w:val="auto"/>
              </w:rPr>
            </w:pPr>
            <w:r>
              <w:rPr>
                <w:rFonts w:hint="default"/>
                <w:color w:val="auto"/>
                <w:lang w:val="en-US"/>
              </w:rPr>
              <w:t xml:space="preserve">96</w:t>
            </w:r>
            <w:r>
              <w:rPr>
                <w:color w:val="auto"/>
              </w:rPr>
              <w:t xml:space="preserve">.000.000 VNĐ/ 1 user/ 1 năm</w:t>
            </w:r>
            <w:r>
              <w:rPr>
                <w:color w:val="auto"/>
              </w:rPr>
            </w:r>
          </w:p>
        </w:tc>
        <w:tc>
          <w:tcPr>
            <w:shd w:val="clear" w:color="auto"/>
            <w:tcBorders/>
            <w:tcW w:w="1482" w:type="pct"/>
            <w:vAlign w:val="top"/>
            <w:vMerge w:val="restart"/>
          </w:tcPr>
          <w:p w14:paraId="49BF0F06">
            <w:pPr>
              <w:pBdr/>
              <w:spacing w:after="60" w:before="60" w:line="288" w:lineRule="auto"/>
              <w:ind/>
              <w:jc w:val="both"/>
              <w:rPr>
                <w:rFonts w:hint="default" w:ascii="Times New Roman" w:hAnsi="Times New Roman" w:eastAsiaTheme="minorEastAsia" w:cstheme="minorBidi"/>
                <w:color w:val="auto"/>
                <w:sz w:val="26"/>
                <w:szCs w:val="22"/>
                <w:lang w:val="en-US" w:eastAsia="en-US" w:bidi="ar-SA"/>
              </w:rPr>
            </w:pPr>
            <w:r>
              <w:rPr>
                <w:rFonts w:hint="default"/>
                <w:color w:val="auto"/>
                <w:lang w:val="en-US"/>
              </w:rPr>
              <w:t xml:space="preserve">Chi phí: 151.000.000 </w:t>
            </w:r>
            <w:r>
              <w:rPr>
                <w:color w:val="auto"/>
              </w:rPr>
              <w:t xml:space="preserve">VNĐ/ 1 user/ 1 năm</w:t>
            </w:r>
            <w:r>
              <w:rPr>
                <w:rFonts w:hint="default" w:ascii="Times New Roman" w:hAnsi="Times New Roman" w:eastAsiaTheme="minorEastAsia" w:cstheme="minorBidi"/>
                <w:color w:val="auto"/>
                <w:sz w:val="26"/>
                <w:szCs w:val="22"/>
                <w:lang w:val="en-US" w:eastAsia="en-US" w:bidi="ar-SA"/>
              </w:rPr>
            </w:r>
          </w:p>
        </w:tc>
      </w:tr>
      <w:tr>
        <w:trPr/>
        <w:tc>
          <w:tcPr>
            <w:tcBorders/>
            <w:tcW w:w="552" w:type="pct"/>
          </w:tcPr>
          <w:p w14:paraId="682B5F26">
            <w:pPr>
              <w:pBdr/>
              <w:spacing w:after="60" w:before="60" w:line="288" w:lineRule="auto"/>
              <w:ind/>
              <w:jc w:val="center"/>
              <w:rPr>
                <w:color w:val="auto"/>
              </w:rPr>
            </w:pPr>
            <w:r>
              <w:rPr>
                <w:color w:val="auto"/>
              </w:rPr>
              <w:t xml:space="preserve">2</w:t>
            </w:r>
            <w:r>
              <w:rPr>
                <w:color w:val="auto"/>
              </w:rPr>
            </w:r>
          </w:p>
        </w:tc>
        <w:tc>
          <w:tcPr>
            <w:tcBorders/>
            <w:tcW w:w="1482" w:type="pct"/>
          </w:tcPr>
          <w:p w14:paraId="6F0A9278">
            <w:pPr>
              <w:pBdr/>
              <w:spacing w:after="60" w:before="60" w:line="288" w:lineRule="auto"/>
              <w:ind/>
              <w:jc w:val="center"/>
              <w:rPr>
                <w:color w:val="auto"/>
              </w:rPr>
            </w:pPr>
            <w:r>
              <w:rPr>
                <w:color w:val="auto"/>
              </w:rPr>
              <w:t xml:space="preserve">Phần mềm </w:t>
            </w:r>
            <w:r>
              <w:rPr>
                <w:rFonts w:hint="default"/>
                <w:color w:val="auto"/>
                <w:lang w:val="en-US"/>
              </w:rPr>
              <w:t xml:space="preserve">kiểm soát</w:t>
            </w:r>
            <w:r>
              <w:rPr>
                <w:color w:val="auto"/>
              </w:rPr>
              <w:t xml:space="preserve"> mô hình BIM: Solibri</w:t>
            </w:r>
            <w:r>
              <w:rPr>
                <w:color w:val="auto"/>
              </w:rPr>
            </w:r>
          </w:p>
        </w:tc>
        <w:tc>
          <w:tcPr>
            <w:tcBorders/>
            <w:tcW w:w="1482" w:type="pct"/>
          </w:tcPr>
          <w:p w14:paraId="76CB1794">
            <w:pPr>
              <w:pBdr/>
              <w:spacing w:after="60" w:before="60" w:line="288" w:lineRule="auto"/>
              <w:ind/>
              <w:jc w:val="both"/>
              <w:rPr>
                <w:color w:val="auto"/>
              </w:rPr>
            </w:pPr>
            <w:r>
              <w:rPr>
                <w:color w:val="auto"/>
              </w:rPr>
              <w:t xml:space="preserve">- Chi phí công bố trên website:</w:t>
            </w:r>
            <w:r>
              <w:rPr>
                <w:color w:val="auto"/>
              </w:rPr>
            </w:r>
          </w:p>
          <w:p w14:paraId="5A4B3C83">
            <w:pPr>
              <w:pBdr/>
              <w:spacing w:after="60" w:before="60" w:line="288" w:lineRule="auto"/>
              <w:ind/>
              <w:jc w:val="both"/>
              <w:rPr>
                <w:color w:val="auto"/>
              </w:rPr>
            </w:pPr>
            <w:r>
              <w:rPr>
                <w:rFonts w:hint="default"/>
                <w:color w:val="auto"/>
                <w:lang w:val="en-US"/>
              </w:rPr>
              <w:t xml:space="preserve">45</w:t>
            </w:r>
            <w:r>
              <w:rPr>
                <w:color w:val="auto"/>
              </w:rPr>
              <w:t xml:space="preserve">.</w:t>
            </w:r>
            <w:r>
              <w:rPr>
                <w:rFonts w:hint="default"/>
                <w:color w:val="auto"/>
                <w:lang w:val="en-US"/>
              </w:rPr>
              <w:t xml:space="preserve">0</w:t>
            </w:r>
            <w:r>
              <w:rPr>
                <w:color w:val="auto"/>
              </w:rPr>
              <w:t xml:space="preserve">00.000 VNĐ/ 1 user/ 1 năm</w:t>
            </w:r>
            <w:r>
              <w:rPr>
                <w:color w:val="auto"/>
              </w:rPr>
            </w:r>
          </w:p>
        </w:tc>
        <w:tc>
          <w:tcPr>
            <w:tcBorders/>
            <w:tcW w:w="1482" w:type="pct"/>
            <w:vMerge w:val="continue"/>
          </w:tcPr>
          <w:p w14:paraId="79A9D413">
            <w:pPr>
              <w:pBdr/>
              <w:spacing w:after="60" w:before="60" w:line="288" w:lineRule="auto"/>
              <w:ind/>
              <w:jc w:val="both"/>
              <w:rPr>
                <w:rFonts w:hint="default"/>
                <w:color w:val="auto"/>
                <w:lang w:val="en-US"/>
              </w:rPr>
            </w:pPr>
            <w:r>
              <w:rPr>
                <w:rFonts w:hint="default"/>
                <w:color w:val="auto"/>
                <w:lang w:val="en-US"/>
              </w:rPr>
            </w:r>
            <w:r>
              <w:rPr>
                <w:rFonts w:hint="default"/>
                <w:color w:val="auto"/>
                <w:lang w:val="en-US"/>
              </w:rPr>
            </w:r>
          </w:p>
        </w:tc>
      </w:tr>
      <w:tr>
        <w:trPr/>
        <w:tc>
          <w:tcPr>
            <w:tcBorders/>
            <w:tcW w:w="552" w:type="pct"/>
          </w:tcPr>
          <w:p w14:paraId="72D72376">
            <w:pPr>
              <w:pBdr/>
              <w:spacing w:after="60" w:before="60" w:line="288" w:lineRule="auto"/>
              <w:ind/>
              <w:jc w:val="center"/>
              <w:rPr>
                <w:color w:val="auto"/>
              </w:rPr>
            </w:pPr>
            <w:r>
              <w:rPr>
                <w:color w:val="auto"/>
              </w:rPr>
              <w:t xml:space="preserve">3</w:t>
            </w:r>
            <w:r>
              <w:rPr>
                <w:color w:val="auto"/>
              </w:rPr>
            </w:r>
          </w:p>
        </w:tc>
        <w:tc>
          <w:tcPr>
            <w:tcBorders/>
            <w:tcW w:w="1482" w:type="pct"/>
          </w:tcPr>
          <w:p w14:paraId="72085E6F">
            <w:pPr>
              <w:pBdr/>
              <w:spacing w:after="60" w:before="60" w:line="288" w:lineRule="auto"/>
              <w:ind/>
              <w:jc w:val="center"/>
              <w:rPr>
                <w:color w:val="auto"/>
              </w:rPr>
            </w:pPr>
            <w:r>
              <w:rPr>
                <w:color w:val="auto"/>
              </w:rPr>
              <w:t xml:space="preserve">Nền tảng môi trường dữ liệu chung (CDE): BIMPlus</w:t>
            </w:r>
            <w:r>
              <w:rPr>
                <w:color w:val="auto"/>
              </w:rPr>
            </w:r>
          </w:p>
        </w:tc>
        <w:tc>
          <w:tcPr>
            <w:tcBorders/>
            <w:tcW w:w="1482" w:type="pct"/>
          </w:tcPr>
          <w:p w14:paraId="782F6493">
            <w:pPr>
              <w:pBdr/>
              <w:spacing w:after="60" w:before="60" w:line="288" w:lineRule="auto"/>
              <w:ind/>
              <w:jc w:val="both"/>
              <w:rPr>
                <w:color w:val="auto"/>
              </w:rPr>
            </w:pPr>
            <w:r>
              <w:rPr>
                <w:color w:val="auto"/>
              </w:rPr>
              <w:t xml:space="preserve">- Chi phí công bố trên website:</w:t>
            </w:r>
            <w:r>
              <w:rPr>
                <w:color w:val="auto"/>
              </w:rPr>
            </w:r>
          </w:p>
          <w:p w14:paraId="5CED9319">
            <w:pPr>
              <w:pBdr/>
              <w:spacing w:after="60" w:before="60" w:line="288" w:lineRule="auto"/>
              <w:ind/>
              <w:jc w:val="both"/>
              <w:rPr>
                <w:color w:val="auto"/>
              </w:rPr>
            </w:pPr>
            <w:r>
              <w:rPr>
                <w:color w:val="auto"/>
              </w:rPr>
              <w:t xml:space="preserve">10.</w:t>
            </w:r>
            <w:r>
              <w:rPr>
                <w:rFonts w:hint="default"/>
                <w:color w:val="auto"/>
                <w:lang w:val="en-US"/>
              </w:rPr>
              <w:t xml:space="preserve">0</w:t>
            </w:r>
            <w:r>
              <w:rPr>
                <w:color w:val="auto"/>
              </w:rPr>
              <w:t xml:space="preserve">00.000 VNĐ/ 1 user/ 1 năm</w:t>
            </w:r>
            <w:r>
              <w:rPr>
                <w:color w:val="auto"/>
              </w:rPr>
            </w:r>
          </w:p>
        </w:tc>
        <w:tc>
          <w:tcPr>
            <w:tcBorders/>
            <w:tcW w:w="1482" w:type="pct"/>
            <w:vMerge w:val="continue"/>
          </w:tcPr>
          <w:p w14:paraId="75B2DF7A">
            <w:pPr>
              <w:pBdr/>
              <w:spacing w:after="60" w:before="60" w:line="288" w:lineRule="auto"/>
              <w:ind/>
              <w:jc w:val="both"/>
              <w:rPr>
                <w:color w:val="auto"/>
              </w:rPr>
            </w:pPr>
            <w:r>
              <w:rPr>
                <w:color w:val="auto"/>
              </w:rPr>
            </w:r>
            <w:r>
              <w:rPr>
                <w:color w:val="auto"/>
              </w:rPr>
            </w:r>
          </w:p>
        </w:tc>
      </w:tr>
    </w:tbl>
    <w:p w14:paraId="2BB05A28">
      <w:pPr>
        <w:pStyle w:val="868"/>
        <w:numPr>
          <w:numId w:val="0"/>
        </w:numPr>
        <w:pBdr/>
        <w:spacing w:after="60" w:before="60" w:line="288" w:lineRule="auto"/>
        <w:ind w:left="57"/>
        <w:jc w:val="both"/>
        <w:rPr>
          <w:color w:val="ee0000"/>
        </w:rPr>
      </w:pPr>
      <w:r>
        <w:rPr>
          <w:color w:val="ee0000"/>
        </w:rPr>
      </w:r>
      <w:r>
        <w:rPr>
          <w:color w:val="ee0000"/>
        </w:rPr>
      </w:r>
    </w:p>
    <w:p w14:paraId="400C56FE">
      <w:pPr>
        <w:pStyle w:val="868"/>
        <w:numPr>
          <w:ilvl w:val="0"/>
          <w:numId w:val="7"/>
        </w:numPr>
        <w:pBdr/>
        <w:spacing w:after="60" w:before="60" w:line="288" w:lineRule="auto"/>
        <w:ind w:hanging="357" w:left="414"/>
        <w:jc w:val="both"/>
        <w:rPr>
          <w:color w:val="ee0000"/>
        </w:rPr>
      </w:pPr>
      <w:r>
        <w:rPr>
          <w:rFonts w:hint="default"/>
          <w:color w:val="ee0000"/>
          <w:lang w:val="en-US"/>
        </w:rPr>
        <w:t xml:space="preserve">Căn cứ về việc phân tích ưu điểm, nhược điểm của các hãng phần mềm, chính sách giá và thực tế hiện trạng sử dụng của các đơn vị tư vấn, nhà thầu hiện nay, chúng tôi đề xuất lựa chọn các giải pháp của </w:t>
      </w:r>
      <w:r>
        <w:rPr>
          <w:rFonts w:hint="default"/>
          <w:b/>
          <w:bCs/>
          <w:color w:val="ee0000"/>
          <w:lang w:val="en-US"/>
        </w:rPr>
        <w:t xml:space="preserve">AUTODESK.</w:t>
      </w:r>
      <w:r>
        <w:rPr>
          <w:color w:val="ee0000"/>
        </w:rPr>
      </w:r>
    </w:p>
    <w:p w14:paraId="20CE731A">
      <w:pPr>
        <w:pStyle w:val="727"/>
        <w:numPr>
          <w:ilvl w:val="0"/>
          <w:numId w:val="9"/>
        </w:numPr>
        <w:pBdr/>
        <w:spacing/>
        <w:ind w:firstLine="0" w:left="0"/>
        <w:rPr>
          <w:rFonts w:hint="default"/>
          <w:lang w:val="en-US"/>
        </w:rPr>
      </w:pPr>
      <w:r>
        <w:rPr>
          <w:rFonts w:hint="default"/>
          <w:lang w:val="en-US"/>
        </w:rPr>
        <w:t xml:space="preserve">Chi phí khái toán sơ bộ:</w:t>
      </w:r>
      <w:r>
        <w:rPr>
          <w:rFonts w:hint="default"/>
          <w:lang w:val="en-US"/>
        </w:rPr>
      </w:r>
    </w:p>
    <w:tbl>
      <w:tblPr>
        <w:tblStyle w:val="760"/>
        <w:tblInd w:w="0" w:type="dxa"/>
        <w:tblW w:w="0" w:type="auto"/>
        <w:tblCellMar>
          <w:left w:w="108" w:type="dxa"/>
          <w:right w:w="108"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62"/>
        <w:gridCol w:w="2768"/>
        <w:gridCol w:w="1915"/>
        <w:gridCol w:w="1915"/>
        <w:gridCol w:w="1916"/>
      </w:tblGrid>
      <w:tr>
        <w:trPr/>
        <w:tc>
          <w:tcPr>
            <w:tcBorders/>
            <w:tcW w:w="1062" w:type="dxa"/>
            <w:vAlign w:val="center"/>
          </w:tcPr>
          <w:p w14:paraId="7F418E5C">
            <w:pPr>
              <w:keepNext w:val="false"/>
              <w:keepLines w:val="false"/>
              <w:pageBreakBefore w:val="false"/>
              <w:widowControl w:val="true"/>
              <w:pBdr/>
              <w:bidi w:val="false"/>
              <w:spacing w:after="60" w:before="60" w:line="288" w:lineRule="auto"/>
              <w:ind/>
              <w:jc w:val="center"/>
              <w:rPr>
                <w:rFonts w:hint="default"/>
                <w:b/>
                <w:bCs/>
                <w:vertAlign w:val="baseline"/>
                <w:lang w:val="en-US"/>
              </w:rPr>
            </w:pPr>
            <w:r>
              <w:rPr>
                <w:rFonts w:hint="default"/>
                <w:b/>
                <w:bCs/>
                <w:vertAlign w:val="baseline"/>
                <w:lang w:val="en-US"/>
              </w:rPr>
              <w:t xml:space="preserve">STT</w:t>
            </w:r>
            <w:r>
              <w:rPr>
                <w:rFonts w:hint="default"/>
                <w:b/>
                <w:bCs/>
                <w:vertAlign w:val="baseline"/>
                <w:lang w:val="en-US"/>
              </w:rPr>
            </w:r>
          </w:p>
        </w:tc>
        <w:tc>
          <w:tcPr>
            <w:tcBorders/>
            <w:tcW w:w="2768" w:type="dxa"/>
            <w:vAlign w:val="center"/>
          </w:tcPr>
          <w:p w14:paraId="010F73AC">
            <w:pPr>
              <w:keepNext w:val="false"/>
              <w:keepLines w:val="false"/>
              <w:pageBreakBefore w:val="false"/>
              <w:widowControl w:val="true"/>
              <w:pBdr/>
              <w:bidi w:val="false"/>
              <w:spacing w:after="60" w:before="60" w:line="288" w:lineRule="auto"/>
              <w:ind/>
              <w:jc w:val="center"/>
              <w:rPr>
                <w:rFonts w:hint="default"/>
                <w:b/>
                <w:bCs/>
                <w:vertAlign w:val="baseline"/>
                <w:lang w:val="en-US"/>
              </w:rPr>
            </w:pPr>
            <w:r>
              <w:rPr>
                <w:rFonts w:hint="default"/>
                <w:b/>
                <w:bCs/>
                <w:vertAlign w:val="baseline"/>
                <w:lang w:val="en-US"/>
              </w:rPr>
              <w:t xml:space="preserve">Nội dung</w:t>
            </w:r>
            <w:r>
              <w:rPr>
                <w:rFonts w:hint="default"/>
                <w:b/>
                <w:bCs/>
                <w:vertAlign w:val="baseline"/>
                <w:lang w:val="en-US"/>
              </w:rPr>
            </w:r>
          </w:p>
        </w:tc>
        <w:tc>
          <w:tcPr>
            <w:shd w:val="clear" w:color="auto"/>
            <w:tcBorders/>
            <w:tcW w:w="1915" w:type="dxa"/>
            <w:vAlign w:val="center"/>
          </w:tcPr>
          <w:p w14:paraId="4038FA61">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b/>
                <w:bCs/>
                <w:color w:val="222222"/>
                <w:sz w:val="26"/>
                <w:szCs w:val="22"/>
                <w:vertAlign w:val="baseline"/>
                <w:lang w:val="en-US" w:eastAsia="en-US" w:bidi="ar-SA"/>
              </w:rPr>
            </w:pPr>
            <w:r>
              <w:rPr>
                <w:rFonts w:hint="default"/>
                <w:b/>
                <w:bCs/>
                <w:vertAlign w:val="baseline"/>
                <w:lang w:val="en-US"/>
              </w:rPr>
              <w:t xml:space="preserve">Giá trị </w:t>
            </w:r>
            <w:r>
              <w:rPr>
                <w:rFonts w:hint="default" w:ascii="Times New Roman" w:hAnsi="Times New Roman" w:eastAsiaTheme="minorEastAsia" w:cstheme="minorBidi"/>
                <w:b/>
                <w:bCs/>
                <w:color w:val="222222"/>
                <w:sz w:val="26"/>
                <w:szCs w:val="22"/>
                <w:vertAlign w:val="baseline"/>
                <w:lang w:val="en-US" w:eastAsia="en-US" w:bidi="ar-SA"/>
              </w:rPr>
            </w:r>
          </w:p>
        </w:tc>
        <w:tc>
          <w:tcPr>
            <w:shd w:val="clear" w:color="auto"/>
            <w:tcBorders/>
            <w:tcW w:w="1915" w:type="dxa"/>
            <w:vAlign w:val="center"/>
          </w:tcPr>
          <w:p w14:paraId="089CB1F9">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color w:val="222222"/>
                <w:sz w:val="26"/>
                <w:szCs w:val="22"/>
                <w:vertAlign w:val="baseline"/>
                <w:lang w:val="en-US" w:eastAsia="en-US" w:bidi="ar-SA"/>
              </w:rPr>
            </w:pPr>
            <w:r>
              <w:rPr>
                <w:rFonts w:hint="default"/>
                <w:b/>
                <w:bCs/>
                <w:vertAlign w:val="baseline"/>
                <w:lang w:val="en-US"/>
              </w:rPr>
              <w:t xml:space="preserve">Số lượng</w:t>
            </w:r>
            <w:r>
              <w:rPr>
                <w:rFonts w:hint="default" w:ascii="Times New Roman" w:hAnsi="Times New Roman" w:eastAsiaTheme="minorEastAsia" w:cstheme="minorBidi"/>
                <w:color w:val="222222"/>
                <w:sz w:val="26"/>
                <w:szCs w:val="22"/>
                <w:vertAlign w:val="baseline"/>
                <w:lang w:val="en-US" w:eastAsia="en-US" w:bidi="ar-SA"/>
              </w:rPr>
            </w:r>
          </w:p>
        </w:tc>
        <w:tc>
          <w:tcPr>
            <w:tcBorders/>
            <w:tcW w:w="1916" w:type="dxa"/>
            <w:vAlign w:val="center"/>
          </w:tcPr>
          <w:p w14:paraId="135ED96D">
            <w:pPr>
              <w:keepNext w:val="false"/>
              <w:keepLines w:val="false"/>
              <w:pageBreakBefore w:val="false"/>
              <w:widowControl w:val="true"/>
              <w:pBdr/>
              <w:bidi w:val="false"/>
              <w:spacing w:after="60" w:before="60" w:line="288" w:lineRule="auto"/>
              <w:ind/>
              <w:jc w:val="center"/>
              <w:rPr>
                <w:rFonts w:hint="default"/>
                <w:b/>
                <w:bCs/>
                <w:vertAlign w:val="baseline"/>
                <w:lang w:val="en-US"/>
              </w:rPr>
            </w:pPr>
            <w:r>
              <w:rPr>
                <w:rFonts w:hint="default"/>
                <w:b/>
                <w:bCs/>
                <w:vertAlign w:val="baseline"/>
                <w:lang w:val="en-US"/>
              </w:rPr>
              <w:t xml:space="preserve">Tổng hợp</w:t>
            </w:r>
            <w:r>
              <w:rPr>
                <w:rFonts w:hint="default"/>
                <w:b/>
                <w:bCs/>
                <w:vertAlign w:val="baseline"/>
                <w:lang w:val="en-US"/>
              </w:rPr>
            </w:r>
          </w:p>
        </w:tc>
      </w:tr>
      <w:tr>
        <w:trPr/>
        <w:tc>
          <w:tcPr>
            <w:tcBorders/>
            <w:tcW w:w="1062" w:type="dxa"/>
            <w:vAlign w:val="center"/>
          </w:tcPr>
          <w:p w14:paraId="6601B7A9">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1</w:t>
            </w:r>
            <w:r>
              <w:rPr>
                <w:rFonts w:hint="default"/>
                <w:vertAlign w:val="baseline"/>
                <w:lang w:val="en-US"/>
              </w:rPr>
            </w:r>
          </w:p>
        </w:tc>
        <w:tc>
          <w:tcPr>
            <w:tcBorders/>
            <w:tcW w:w="2768" w:type="dxa"/>
            <w:vAlign w:val="center"/>
          </w:tcPr>
          <w:p w14:paraId="24C73760">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Máy tính</w:t>
            </w:r>
            <w:r>
              <w:rPr>
                <w:rFonts w:hint="default"/>
                <w:vertAlign w:val="baseline"/>
                <w:lang w:val="en-US"/>
              </w:rPr>
            </w:r>
          </w:p>
        </w:tc>
        <w:tc>
          <w:tcPr>
            <w:tcBorders/>
            <w:tcW w:w="1915" w:type="dxa"/>
            <w:vAlign w:val="center"/>
          </w:tcPr>
          <w:p w14:paraId="19E80887">
            <w:pPr>
              <w:keepNext w:val="false"/>
              <w:keepLines w:val="false"/>
              <w:pageBreakBefore w:val="false"/>
              <w:widowControl w:val="true"/>
              <w:pBdr/>
              <w:bidi w:val="false"/>
              <w:spacing w:after="60" w:before="60" w:line="288" w:lineRule="auto"/>
              <w:ind/>
              <w:jc w:val="center"/>
              <w:rPr>
                <w:rFonts w:hint="default"/>
                <w:color w:val="ff0000"/>
                <w:vertAlign w:val="baseline"/>
                <w:lang w:val="en-US"/>
              </w:rPr>
            </w:pPr>
            <w:r>
              <w:rPr>
                <w:rFonts w:hint="default"/>
                <w:color w:val="ff0000"/>
                <w:vertAlign w:val="baseline"/>
                <w:lang w:val="en-US"/>
              </w:rPr>
              <w:t xml:space="preserve">70.000.000</w:t>
            </w:r>
            <w:r>
              <w:rPr>
                <w:rFonts w:hint="default"/>
                <w:color w:val="ff0000"/>
                <w:vertAlign w:val="baseline"/>
                <w:lang w:val="en-US"/>
              </w:rPr>
            </w:r>
          </w:p>
        </w:tc>
        <w:tc>
          <w:tcPr>
            <w:shd w:val="clear" w:color="auto"/>
            <w:tcBorders/>
            <w:tcW w:w="1915" w:type="dxa"/>
            <w:vAlign w:val="center"/>
          </w:tcPr>
          <w:p w14:paraId="64C6DA6A">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color w:val="ff0000"/>
                <w:sz w:val="26"/>
                <w:szCs w:val="22"/>
                <w:vertAlign w:val="baseline"/>
                <w:lang w:val="en-US" w:eastAsia="en-US" w:bidi="ar-SA"/>
              </w:rPr>
            </w:pPr>
            <w:r>
              <w:rPr>
                <w:rFonts w:hint="default"/>
                <w:color w:val="ff0000"/>
                <w:vertAlign w:val="baseline"/>
                <w:lang w:val="en-US"/>
              </w:rPr>
              <w:t xml:space="preserve">10</w:t>
            </w:r>
            <w:r>
              <w:rPr>
                <w:rFonts w:hint="default" w:ascii="Times New Roman" w:hAnsi="Times New Roman" w:eastAsiaTheme="minorEastAsia" w:cstheme="minorBidi"/>
                <w:color w:val="ff0000"/>
                <w:sz w:val="26"/>
                <w:szCs w:val="22"/>
                <w:vertAlign w:val="baseline"/>
                <w:lang w:val="en-US" w:eastAsia="en-US" w:bidi="ar-SA"/>
              </w:rPr>
            </w:r>
          </w:p>
        </w:tc>
        <w:tc>
          <w:tcPr>
            <w:tcBorders/>
            <w:tcW w:w="1916" w:type="dxa"/>
            <w:vAlign w:val="center"/>
          </w:tcPr>
          <w:p w14:paraId="423E936A">
            <w:pPr>
              <w:keepNext w:val="false"/>
              <w:keepLines w:val="false"/>
              <w:pageBreakBefore w:val="false"/>
              <w:widowControl w:val="true"/>
              <w:pBdr/>
              <w:bidi w:val="false"/>
              <w:spacing w:after="60" w:before="60" w:line="288" w:lineRule="auto"/>
              <w:ind/>
              <w:jc w:val="center"/>
              <w:rPr>
                <w:rFonts w:hint="default"/>
                <w:color w:val="ff0000"/>
                <w:vertAlign w:val="baseline"/>
                <w:lang w:val="en-US"/>
              </w:rPr>
            </w:pPr>
            <w:r>
              <w:rPr>
                <w:rFonts w:hint="default"/>
                <w:color w:val="ff0000"/>
                <w:vertAlign w:val="baseline"/>
                <w:lang w:val="en-US"/>
              </w:rPr>
              <w:t xml:space="preserve">700.000.000</w:t>
            </w:r>
            <w:r>
              <w:rPr>
                <w:rFonts w:hint="default"/>
                <w:color w:val="ff0000"/>
                <w:vertAlign w:val="baseline"/>
                <w:lang w:val="en-US"/>
              </w:rPr>
            </w:r>
          </w:p>
        </w:tc>
      </w:tr>
      <w:tr>
        <w:trPr/>
        <w:tc>
          <w:tcPr>
            <w:tcBorders/>
            <w:tcW w:w="1062" w:type="dxa"/>
            <w:vAlign w:val="center"/>
          </w:tcPr>
          <w:p w14:paraId="4AEE8038">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2</w:t>
            </w:r>
            <w:r>
              <w:rPr>
                <w:rFonts w:hint="default"/>
                <w:vertAlign w:val="baseline"/>
                <w:lang w:val="en-US"/>
              </w:rPr>
            </w:r>
          </w:p>
        </w:tc>
        <w:tc>
          <w:tcPr>
            <w:tcBorders/>
            <w:tcW w:w="2768" w:type="dxa"/>
            <w:vAlign w:val="center"/>
          </w:tcPr>
          <w:p w14:paraId="1F250918">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Phần mềm Autodesk AEC Collection </w:t>
            </w:r>
            <w:r>
              <w:rPr>
                <w:rFonts w:hint="default"/>
                <w:vertAlign w:val="baseline"/>
                <w:lang w:val="en-US"/>
              </w:rPr>
            </w:r>
          </w:p>
          <w:p w14:paraId="6F706AC1">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(thuê bao 1 năm)</w:t>
            </w:r>
            <w:r>
              <w:rPr>
                <w:rFonts w:hint="default"/>
                <w:vertAlign w:val="baseline"/>
                <w:lang w:val="en-US"/>
              </w:rPr>
            </w:r>
          </w:p>
        </w:tc>
        <w:tc>
          <w:tcPr>
            <w:tcBorders/>
            <w:tcW w:w="1915" w:type="dxa"/>
            <w:vAlign w:val="center"/>
          </w:tcPr>
          <w:p w14:paraId="1C0F5B86">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73.500.000</w:t>
            </w:r>
            <w:r>
              <w:rPr>
                <w:rFonts w:hint="default"/>
                <w:vertAlign w:val="baseline"/>
                <w:lang w:val="en-US"/>
              </w:rPr>
            </w:r>
          </w:p>
        </w:tc>
        <w:tc>
          <w:tcPr>
            <w:tcBorders/>
            <w:tcW w:w="1915" w:type="dxa"/>
            <w:vAlign w:val="center"/>
          </w:tcPr>
          <w:p w14:paraId="0709CC4A">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10</w:t>
            </w:r>
            <w:r>
              <w:rPr>
                <w:rFonts w:hint="default"/>
                <w:vertAlign w:val="baseline"/>
                <w:lang w:val="en-US"/>
              </w:rPr>
            </w:r>
          </w:p>
        </w:tc>
        <w:tc>
          <w:tcPr>
            <w:shd w:val="clear" w:color="auto"/>
            <w:tcBorders/>
            <w:tcW w:w="1916" w:type="dxa"/>
            <w:vAlign w:val="center"/>
          </w:tcPr>
          <w:p w14:paraId="0A385D8D">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color w:val="222222"/>
                <w:sz w:val="26"/>
                <w:szCs w:val="22"/>
                <w:vertAlign w:val="baseline"/>
                <w:lang w:val="en-US" w:eastAsia="en-US" w:bidi="ar-SA"/>
              </w:rPr>
            </w:pPr>
            <w:r>
              <w:rPr>
                <w:rFonts w:hint="default"/>
                <w:vertAlign w:val="baseline"/>
                <w:lang w:val="en-US"/>
              </w:rPr>
              <w:t xml:space="preserve">730.500.000</w:t>
            </w:r>
            <w:r>
              <w:rPr>
                <w:rFonts w:hint="default" w:ascii="Times New Roman" w:hAnsi="Times New Roman" w:eastAsiaTheme="minorEastAsia" w:cstheme="minorBidi"/>
                <w:color w:val="222222"/>
                <w:sz w:val="26"/>
                <w:szCs w:val="22"/>
                <w:vertAlign w:val="baseline"/>
                <w:lang w:val="en-US" w:eastAsia="en-US" w:bidi="ar-SA"/>
              </w:rPr>
            </w:r>
          </w:p>
        </w:tc>
      </w:tr>
      <w:tr>
        <w:trPr/>
        <w:tc>
          <w:tcPr>
            <w:gridSpan w:val="4"/>
            <w:tcBorders/>
            <w:tcW w:w="7660" w:type="dxa"/>
            <w:vAlign w:val="center"/>
          </w:tcPr>
          <w:p w14:paraId="05147AF6">
            <w:pPr>
              <w:keepNext w:val="false"/>
              <w:keepLines w:val="false"/>
              <w:pageBreakBefore w:val="false"/>
              <w:widowControl w:val="true"/>
              <w:pBdr/>
              <w:bidi w:val="false"/>
              <w:spacing w:after="60" w:before="60" w:line="288" w:lineRule="auto"/>
              <w:ind/>
              <w:jc w:val="center"/>
              <w:rPr>
                <w:rFonts w:hint="default"/>
                <w:b/>
                <w:bCs/>
                <w:color w:val="ff0000"/>
                <w:vertAlign w:val="baseline"/>
                <w:lang w:val="en-US"/>
              </w:rPr>
            </w:pPr>
            <w:r>
              <w:rPr>
                <w:rFonts w:hint="default"/>
                <w:b/>
                <w:bCs/>
                <w:color w:val="ff0000"/>
                <w:vertAlign w:val="baseline"/>
                <w:lang w:val="en-US"/>
              </w:rPr>
              <w:t xml:space="preserve">Tổng</w:t>
            </w:r>
            <w:r>
              <w:rPr>
                <w:rFonts w:hint="default"/>
                <w:b/>
                <w:bCs/>
                <w:color w:val="ff0000"/>
                <w:vertAlign w:val="baseline"/>
                <w:lang w:val="en-US"/>
              </w:rPr>
            </w:r>
          </w:p>
        </w:tc>
        <w:tc>
          <w:tcPr>
            <w:tcBorders/>
            <w:tcW w:w="1916" w:type="dxa"/>
            <w:vAlign w:val="center"/>
          </w:tcPr>
          <w:p w14:paraId="1860A0CC">
            <w:pPr>
              <w:keepNext w:val="false"/>
              <w:keepLines w:val="false"/>
              <w:pageBreakBefore w:val="false"/>
              <w:widowControl w:val="true"/>
              <w:pBdr/>
              <w:bidi w:val="false"/>
              <w:spacing w:after="60" w:before="60" w:line="288" w:lineRule="auto"/>
              <w:ind/>
              <w:jc w:val="center"/>
              <w:rPr>
                <w:rFonts w:hint="default"/>
                <w:b/>
                <w:bCs/>
                <w:color w:val="ff0000"/>
                <w:vertAlign w:val="baseline"/>
                <w:lang w:val="en-US"/>
              </w:rPr>
            </w:pPr>
            <w:r>
              <w:rPr>
                <w:rFonts w:hint="default"/>
                <w:b/>
                <w:bCs/>
                <w:color w:val="ff0000"/>
                <w:vertAlign w:val="baseline"/>
                <w:lang w:val="en-US"/>
              </w:rPr>
              <w:t xml:space="preserve">1.430.500.000</w:t>
            </w:r>
            <w:r>
              <w:rPr>
                <w:rFonts w:hint="default"/>
                <w:b/>
                <w:bCs/>
                <w:color w:val="ff0000"/>
                <w:vertAlign w:val="baseline"/>
                <w:lang w:val="en-US"/>
              </w:rPr>
            </w:r>
          </w:p>
        </w:tc>
      </w:tr>
    </w:tbl>
    <w:p>
      <w:pPr>
        <w:pBdr/>
        <w:spacing w:after="240" w:before="240" w:line="276" w:lineRule="auto"/>
        <w:ind/>
        <w:jc w:val="both"/>
        <w:rPr/>
      </w:pPr>
      <w:r/>
      <w:r/>
    </w:p>
    <w:p>
      <w:pPr>
        <w:pBdr/>
        <w:spacing w:after="80" w:before="280" w:line="276" w:lineRule="auto"/>
        <w:ind/>
        <w:jc w:val="left"/>
        <w:rPr/>
      </w:pPr>
      <w:r>
        <w:rPr>
          <w:rFonts w:ascii="Times New Roman" w:hAnsi="Times New Roman" w:eastAsia="Times New Roman" w:cs="Times New Roman"/>
          <w:b/>
          <w:i w:val="0"/>
          <w:sz w:val="26"/>
        </w:rPr>
        <w:t xml:space="preserve">V. ĐỀ XUẤT NỀN TẢNG MÔI TRƯỜNG DỮ LIỆU CHUNG (CDE) CỦA CIC — ĐÁP ỨNG QCVN 12:2026/BCA</w:t>
      </w:r>
      <w:r/>
    </w:p>
    <w:p>
      <w:pPr>
        <w:pBdr/>
        <w:spacing w:after="60" w:before="200" w:line="276" w:lineRule="auto"/>
        <w:ind/>
        <w:jc w:val="left"/>
        <w:rPr/>
      </w:pPr>
      <w:r>
        <w:rPr>
          <w:rFonts w:ascii="Times New Roman" w:hAnsi="Times New Roman" w:eastAsia="Times New Roman" w:cs="Times New Roman"/>
          <w:b/>
          <w:i w:val="0"/>
          <w:sz w:val="26"/>
        </w:rPr>
        <w:t xml:space="preserve">1. Sự cần thiết của nền tảng CDE nội địa</w:t>
      </w:r>
      <w:r/>
    </w:p>
    <w:p>
      <w:pPr>
        <w:pBdr/>
        <w:spacing w:after="40" w:before="40" w:line="276" w:lineRule="auto"/>
        <w:ind w:firstLine="720"/>
        <w:jc w:val="both"/>
        <w:rPr/>
      </w:pPr>
      <w:r>
        <w:rPr>
          <w:rFonts w:ascii="Times New Roman" w:hAnsi="Times New Roman" w:eastAsia="Times New Roman" w:cs="Times New Roman"/>
          <w:b w:val="0"/>
          <w:i w:val="0"/>
          <w:sz w:val="26"/>
        </w:rPr>
        <w:t xml:space="preserve">Kể từ ngày 01/07/2026, hai quy định pháp lý quan trọng đồng thời có hiệu lực tạo ra yêu cầu bắt buộc đối với Ban:</w:t>
      </w:r>
      <w:r/>
    </w:p>
    <w:p>
      <w:pPr>
        <w:pBdr/>
        <w:spacing w:after="20" w:before="20"/>
        <w:ind w:left="360"/>
        <w:jc w:val="both"/>
        <w:rPr/>
      </w:pPr>
      <w:r>
        <w:rPr>
          <w:rFonts w:ascii="Times New Roman" w:hAnsi="Times New Roman" w:eastAsia="Times New Roman" w:cs="Times New Roman"/>
          <w:b/>
          <w:i w:val="0"/>
          <w:sz w:val="26"/>
        </w:rPr>
        <w:t xml:space="preserve">• **Nghị định về Quản lý Hoạt động Xây dựng** </w:t>
      </w:r>
      <w:r>
        <w:rPr>
          <w:rFonts w:ascii="Times New Roman" w:hAnsi="Times New Roman" w:eastAsia="Times New Roman" w:cs="Times New Roman"/>
          <w:b w:val="0"/>
          <w:i w:val="0"/>
          <w:sz w:val="26"/>
        </w:rPr>
        <w:t xml:space="preserve">(hiệu lực 01/07/2026): Quy định Chủ đầu tư có trách nhiệm tổ chức quản lý và lưu trữ định dạng dữ liệu gốc của mô hình BIM trên </w:t>
      </w:r>
      <w:r>
        <w:rPr>
          <w:rFonts w:ascii="Times New Roman" w:hAnsi="Times New Roman" w:eastAsia="Times New Roman" w:cs="Times New Roman"/>
          <w:b/>
          <w:i w:val="0"/>
          <w:sz w:val="26"/>
        </w:rPr>
        <w:t xml:space="preserve">Môi trường dữ liệu chung (CDE)</w:t>
      </w:r>
      <w:r>
        <w:rPr>
          <w:rFonts w:ascii="Times New Roman" w:hAnsi="Times New Roman" w:eastAsia="Times New Roman" w:cs="Times New Roman"/>
          <w:b w:val="0"/>
          <w:i w:val="0"/>
          <w:sz w:val="26"/>
        </w:rPr>
        <w:t xml:space="preserve"> bằng định dạng mở IFC 4.0+. Đây là lần đầu tiên thuật ngữ "CDE" và "IFC" được đưa vào yêu cầu quản lý nhà nước.</w:t>
      </w:r>
      <w:r/>
    </w:p>
    <w:p>
      <w:pPr>
        <w:pBdr/>
        <w:spacing w:after="20" w:before="20"/>
        <w:ind w:left="360"/>
        <w:jc w:val="both"/>
        <w:rPr/>
      </w:pPr>
      <w:r>
        <w:rPr>
          <w:rFonts w:ascii="Times New Roman" w:hAnsi="Times New Roman" w:eastAsia="Times New Roman" w:cs="Times New Roman"/>
          <w:b/>
          <w:i w:val="0"/>
          <w:sz w:val="26"/>
        </w:rPr>
        <w:t xml:space="preserve">• **Thông tư số 47/2026/TT-BCA** </w:t>
      </w:r>
      <w:r>
        <w:rPr>
          <w:rFonts w:ascii="Times New Roman" w:hAnsi="Times New Roman" w:eastAsia="Times New Roman" w:cs="Times New Roman"/>
          <w:b w:val="0"/>
          <w:i w:val="0"/>
          <w:sz w:val="26"/>
        </w:rPr>
        <w:t xml:space="preserve">(hiệu lực 01/07/2026): Ban hành </w:t>
      </w:r>
      <w:r>
        <w:rPr>
          <w:rFonts w:ascii="Times New Roman" w:hAnsi="Times New Roman" w:eastAsia="Times New Roman" w:cs="Times New Roman"/>
          <w:b/>
          <w:i w:val="0"/>
          <w:sz w:val="26"/>
        </w:rPr>
        <w:t xml:space="preserve">QCVN 12:2026/BCA</w:t>
      </w:r>
      <w:r>
        <w:rPr>
          <w:rFonts w:ascii="Times New Roman" w:hAnsi="Times New Roman" w:eastAsia="Times New Roman" w:cs="Times New Roman"/>
          <w:b w:val="0"/>
          <w:i w:val="0"/>
          <w:sz w:val="26"/>
        </w:rPr>
        <w:t xml:space="preserve"> — Quy chuẩn kỹ thuật quốc gia về an ninh mạng cho hệ thống thông tin lưu trữ tài liệu điện tử trong các cơ quan Đảng, Nhà nước. Quy chuẩn này bao gồm </w:t>
      </w:r>
      <w:r>
        <w:rPr>
          <w:rFonts w:ascii="Times New Roman" w:hAnsi="Times New Roman" w:eastAsia="Times New Roman" w:cs="Times New Roman"/>
          <w:b/>
          <w:i w:val="0"/>
          <w:sz w:val="26"/>
        </w:rPr>
        <w:t xml:space="preserve">22 nhóm yêu cầu kỹ thuật</w:t>
      </w:r>
      <w:r>
        <w:rPr>
          <w:rFonts w:ascii="Times New Roman" w:hAnsi="Times New Roman" w:eastAsia="Times New Roman" w:cs="Times New Roman"/>
          <w:b w:val="0"/>
          <w:i w:val="0"/>
          <w:sz w:val="26"/>
        </w:rPr>
        <w:t xml:space="preserve"> bắt buộc, trong đó có yêu cầu then chốt tại </w:t>
      </w:r>
      <w:r>
        <w:rPr>
          <w:rFonts w:ascii="Times New Roman" w:hAnsi="Times New Roman" w:eastAsia="Times New Roman" w:cs="Times New Roman"/>
          <w:b/>
          <w:i w:val="0"/>
          <w:sz w:val="26"/>
        </w:rPr>
        <w:t xml:space="preserve">Điều 2.2.16.1.4</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 xml:space="preserve">"Đối với nhà cung cấp dịch vụ lưu trữ, phải đặt hạ tầng vật lý hoặc trung tâm dữ liệu tại Việt Nam."</w:t>
      </w:r>
      <w:r/>
    </w:p>
    <w:p>
      <w:pPr>
        <w:pBdr/>
        <w:spacing w:after="40" w:before="40" w:line="276" w:lineRule="auto"/>
        <w:ind w:firstLine="720"/>
        <w:jc w:val="both"/>
        <w:rPr/>
      </w:pPr>
      <w:r>
        <w:rPr>
          <w:rFonts w:ascii="Times New Roman" w:hAnsi="Times New Roman" w:eastAsia="Times New Roman" w:cs="Times New Roman"/>
          <w:b/>
          <w:i w:val="0"/>
          <w:sz w:val="26"/>
        </w:rPr>
        <w:t xml:space="preserve">Hệ quả trực tiếp:</w:t>
      </w:r>
      <w:r>
        <w:rPr>
          <w:rFonts w:ascii="Times New Roman" w:hAnsi="Times New Roman" w:eastAsia="Times New Roman" w:cs="Times New Roman"/>
          <w:b w:val="0"/>
          <w:i w:val="0"/>
          <w:sz w:val="26"/>
        </w:rPr>
        <w:t xml:space="preserve"> Các nền tảng CDE nước ngoài (Autodesk Construction Cloud, Fomra Data Management, Trimble Connect, BIMPlus, BIMCollab) với máy chủ đặt ngoài lãnh thổ Việt Nam </w:t>
      </w:r>
      <w:r>
        <w:rPr>
          <w:rFonts w:ascii="Times New Roman" w:hAnsi="Times New Roman" w:eastAsia="Times New Roman" w:cs="Times New Roman"/>
          <w:b/>
          <w:i w:val="0"/>
          <w:sz w:val="26"/>
        </w:rPr>
        <w:t xml:space="preserve">không đáp ứng được</w:t>
      </w:r>
      <w:r>
        <w:rPr>
          <w:rFonts w:ascii="Times New Roman" w:hAnsi="Times New Roman" w:eastAsia="Times New Roman" w:cs="Times New Roman"/>
          <w:b w:val="0"/>
          <w:i w:val="0"/>
          <w:sz w:val="26"/>
        </w:rPr>
        <w:t xml:space="preserve"> yêu cầu bắt buộc của QCVN 12:2026/BCA đối với các dự án sử dụng vốn ngân sách nhà nước. Ban QLDA — với tư cách cơ quan nhà nước — buộc phải sử dụng nền tảng CDE tuân thủ đầy đủ 22 tiêu chí an ninh mạng.</w:t>
      </w:r>
      <w:r/>
    </w:p>
    <w:p>
      <w:pPr>
        <w:pBdr/>
        <w:spacing w:after="60" w:before="200" w:line="276" w:lineRule="auto"/>
        <w:ind/>
        <w:jc w:val="left"/>
        <w:rPr/>
      </w:pPr>
      <w:r>
        <w:rPr>
          <w:rFonts w:ascii="Times New Roman" w:hAnsi="Times New Roman" w:eastAsia="Times New Roman" w:cs="Times New Roman"/>
          <w:b/>
          <w:i w:val="0"/>
          <w:sz w:val="26"/>
        </w:rPr>
        <w:t xml:space="preserve">2. Giới thiệu nền tảng CDE CIC</w:t>
      </w:r>
      <w:r/>
    </w:p>
    <w:p>
      <w:pPr>
        <w:pBdr/>
        <w:spacing w:after="40" w:before="40" w:line="276" w:lineRule="auto"/>
        <w:ind w:firstLine="720"/>
        <w:jc w:val="both"/>
        <w:rPr/>
      </w:pPr>
      <w:r>
        <w:rPr>
          <w:rFonts w:ascii="Times New Roman" w:hAnsi="Times New Roman" w:eastAsia="Times New Roman" w:cs="Times New Roman"/>
          <w:b w:val="0"/>
          <w:i w:val="0"/>
          <w:sz w:val="26"/>
        </w:rPr>
        <w:t xml:space="preserve">Công ty Cổ phần Công nghệ và Tư vấn CIC (tiền thân Trung tâm Tin học — Bộ Xây dựng) đang phát triển nền tảng </w:t>
      </w:r>
      <w:r>
        <w:rPr>
          <w:rFonts w:ascii="Times New Roman" w:hAnsi="Times New Roman" w:eastAsia="Times New Roman" w:cs="Times New Roman"/>
          <w:b/>
          <w:i w:val="0"/>
          <w:sz w:val="26"/>
        </w:rPr>
        <w:t xml:space="preserve">CDE CIC</w:t>
      </w:r>
      <w:r>
        <w:rPr>
          <w:rFonts w:ascii="Times New Roman" w:hAnsi="Times New Roman" w:eastAsia="Times New Roman" w:cs="Times New Roman"/>
          <w:b w:val="0"/>
          <w:i w:val="0"/>
          <w:sz w:val="26"/>
        </w:rPr>
        <w:t xml:space="preserve"> — Môi trường Dữ liệu Chung BIM "Make in Vietnam" đầu tiên, được thiết kế từ đầu theo nguyên tắc </w:t>
      </w:r>
      <w:r>
        <w:rPr>
          <w:rFonts w:ascii="Times New Roman" w:hAnsi="Times New Roman" w:eastAsia="Times New Roman" w:cs="Times New Roman"/>
          <w:b/>
          <w:i w:val="0"/>
          <w:sz w:val="26"/>
        </w:rPr>
        <w:t xml:space="preserve">Security by Design</w:t>
      </w:r>
      <w:r>
        <w:rPr>
          <w:rFonts w:ascii="Times New Roman" w:hAnsi="Times New Roman" w:eastAsia="Times New Roman" w:cs="Times New Roman"/>
          <w:b w:val="0"/>
          <w:i w:val="0"/>
          <w:sz w:val="26"/>
        </w:rPr>
        <w:t xml:space="preserve"> (Bảo mật từ trong thiết kế) nhằm đáp ứng QCVN 12:2026/BCA.</w:t>
      </w:r>
      <w:r/>
    </w:p>
    <w:p>
      <w:pPr>
        <w:pBdr/>
        <w:spacing w:after="40" w:before="160" w:line="276" w:lineRule="auto"/>
        <w:ind/>
        <w:jc w:val="left"/>
        <w:rPr/>
      </w:pPr>
      <w:r>
        <w:rPr>
          <w:rFonts w:ascii="Times New Roman" w:hAnsi="Times New Roman" w:eastAsia="Times New Roman" w:cs="Times New Roman"/>
          <w:b/>
          <w:i/>
          <w:sz w:val="26"/>
        </w:rPr>
        <w:t xml:space="preserve">Đặc điểm nổi bật:</w:t>
      </w:r>
      <w:r/>
    </w:p>
    <w:p>
      <w:pPr>
        <w:pBdr/>
        <w:spacing w:after="60" w:before="200" w:line="276" w:lineRule="auto"/>
        <w:ind/>
        <w:jc w:val="left"/>
        <w:rPr/>
      </w:pPr>
      <w:r>
        <w:rPr>
          <w:rFonts w:ascii="Times New Roman" w:hAnsi="Times New Roman" w:eastAsia="Times New Roman" w:cs="Times New Roman"/>
          <w:b/>
          <w:i w:val="0"/>
          <w:sz w:val="26"/>
        </w:rPr>
        <w:t xml:space="preserve">3. Đề xuất Ban sử dụng CDE CIC — Phân hệ 1 + 2</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3120"/>
        <w:gridCol w:w="3120"/>
        <w:gridCol w:w="3120"/>
      </w:tblGrid>
      <w:tr>
        <w:trPr/>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Tiêu chí</w:t>
            </w:r>
            <w:r/>
          </w:p>
        </w:tc>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CDE CIC</w:t>
            </w:r>
            <w:r/>
          </w:p>
        </w:tc>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CDE nước ngoài (ACC, Trimble Connect, BIMPlus...)</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Máy chủ đặt tại Việt Nam</w:t>
            </w:r>
            <w:r>
              <w:rPr>
                <w:rFonts w:ascii="Times New Roman" w:hAnsi="Times New Roman" w:eastAsia="Times New Roman" w:cs="Times New Roman"/>
                <w:b w:val="0"/>
                <w:i w:val="0"/>
                <w:sz w:val="22"/>
              </w:rPr>
              <w:t xml:space="preserve"> (QCVN 12, Đ.2.2.16.1.4)</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Viettel Cloud / VNPT — Tier III</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Máy chủ nước ngoài</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Tuân thủ 22 tiêu chí QCVN 12</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Thiết kế kiến trúc Security by Design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Không điều chỉnh cho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Chuẩn ISO 19650</w:t>
            </w:r>
            <w:r>
              <w:rPr>
                <w:rFonts w:ascii="Times New Roman" w:hAnsi="Times New Roman" w:eastAsia="Times New Roman" w:cs="Times New Roman"/>
                <w:b w:val="0"/>
                <w:i w:val="0"/>
                <w:sz w:val="22"/>
              </w:rPr>
              <w:t xml:space="preserve"> (4 vùng trạng thái: WIP → Shared → Published → Archive)</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Đầy đủ 4 vùng + 7 tiêu chí CDE</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Có (nhưng không bản địa hóa nghiệp vụ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Định dạng mở IFC 4.0+</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Engine OpenBIM tự chủ mã nguồn (ThatOpen + xeokit)</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Ưu tiên định dạng đóng (.rvt, .nwd)</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Liên thông CSDL quốc gia</w:t>
            </w:r>
            <w:r>
              <w:rPr>
                <w:rFonts w:ascii="Times New Roman" w:hAnsi="Times New Roman" w:eastAsia="Times New Roman" w:cs="Times New Roman"/>
                <w:b w:val="0"/>
                <w:i w:val="0"/>
                <w:sz w:val="22"/>
              </w:rPr>
              <w:t xml:space="preserve"> (NDXP, mã dự án 13 ký tự theo TT 24/2025/TT-BXD)</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Tích hợp API sẵn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Không hỗ trợ</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Mã hóa, MFA, RBAC, SIEM, WORM</w:t>
            </w:r>
            <w:r>
              <w:rPr>
                <w:rFonts w:ascii="Times New Roman" w:hAnsi="Times New Roman" w:eastAsia="Times New Roman" w:cs="Times New Roman"/>
                <w:b w:val="0"/>
                <w:i w:val="0"/>
                <w:sz w:val="22"/>
              </w:rPr>
              <w:t xml:space="preserve"> (QCVN 12 Đ.2.2.7, 2.2.9, 2.2.22)</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Đầy đủ</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Có MFA, RBAC nhưng không WORM/SIEM theo chuẩn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Dấu thời gian (Timestamping)</w:t>
            </w:r>
            <w:r>
              <w:rPr>
                <w:rFonts w:ascii="Times New Roman" w:hAnsi="Times New Roman" w:eastAsia="Times New Roman" w:cs="Times New Roman"/>
                <w:b w:val="0"/>
                <w:i w:val="0"/>
                <w:sz w:val="22"/>
              </w:rPr>
              <w:t xml:space="preserve"> (QCVN 12 Đ.2.2.22)</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UTC chuẩn xác, Audit Trail bất biến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Có nhưng không chứng nhận theo pháp luật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Hỗ trợ tiếng Việt &amp; nghiệp vụ BEP/EIR nội địa</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Hoàn toàn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Giao diện tiếng Anh, không bản địa hóa</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Mô hình chi phí</w:t>
            </w:r>
            <w:r/>
          </w:p>
        </w:tc>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Tách riêng</w:t>
            </w:r>
            <w:r>
              <w:rPr>
                <w:rFonts w:ascii="Times New Roman" w:hAnsi="Times New Roman" w:eastAsia="Times New Roman" w:cs="Times New Roman"/>
                <w:b w:val="0"/>
                <w:i w:val="0"/>
                <w:sz w:val="22"/>
              </w:rPr>
              <w:t xml:space="preserve">: Hạ tầng (Ban chi trả) + Phần mềm CDE (~150 triệu/năm) — không tính theo đầu user</w:t>
            </w:r>
            <w:r/>
          </w:p>
        </w:tc>
        <w:tc>
          <w:tcPr>
            <w:tcBorders/>
            <w:tcW w:w="3120" w:type="dxa"/>
          </w:tcPr>
          <w:p>
            <w:pPr>
              <w:pBdr/>
              <w:spacing w:after="20" w:before="20" w:line="276" w:lineRule="auto"/>
              <w:ind/>
              <w:jc w:val="center"/>
              <w:rPr/>
            </w:pPr>
            <w:r>
              <w:rPr>
                <w:rFonts w:ascii="Times New Roman" w:hAnsi="Times New Roman" w:eastAsia="Times New Roman" w:cs="Times New Roman"/>
                <w:b w:val="0"/>
                <w:i w:val="0"/>
                <w:sz w:val="22"/>
              </w:rPr>
              <w:t xml:space="preserve">Đắt — tính theo user (1,5–2,5 triệu VNĐ/user/tháng × số user)</w:t>
            </w:r>
            <w:r/>
          </w:p>
        </w:tc>
      </w:tr>
    </w:tbl>
    <w:p>
      <w:pPr>
        <w:pBdr/>
        <w:spacing w:after="40" w:before="40" w:line="276" w:lineRule="auto"/>
        <w:ind w:firstLine="720"/>
        <w:jc w:val="both"/>
        <w:rPr/>
      </w:pPr>
      <w:r>
        <w:rPr>
          <w:rFonts w:ascii="Times New Roman" w:hAnsi="Times New Roman" w:eastAsia="Times New Roman" w:cs="Times New Roman"/>
          <w:b w:val="0"/>
          <w:i w:val="0"/>
          <w:sz w:val="26"/>
        </w:rPr>
        <w:t xml:space="preserve">Chúng tôi đề xuất Ban triển khai nền tảng CDE CIC với </w:t>
      </w:r>
      <w:r>
        <w:rPr>
          <w:rFonts w:ascii="Times New Roman" w:hAnsi="Times New Roman" w:eastAsia="Times New Roman" w:cs="Times New Roman"/>
          <w:b/>
          <w:i w:val="0"/>
          <w:sz w:val="26"/>
        </w:rPr>
        <w:t xml:space="preserve">02 phân hệ lõi</w:t>
      </w:r>
      <w:r>
        <w:rPr>
          <w:rFonts w:ascii="Times New Roman" w:hAnsi="Times New Roman" w:eastAsia="Times New Roman" w:cs="Times New Roman"/>
          <w:b w:val="0"/>
          <w:i w:val="0"/>
          <w:sz w:val="26"/>
        </w:rPr>
        <w:t xml:space="preserve"> trong giai đoạn đầu, đáp ứng đầy đủ yêu cầu pháp lý và nghiệp vụ:</w:t>
      </w:r>
      <w:r/>
    </w:p>
    <w:p>
      <w:pPr>
        <w:pBdr/>
        <w:spacing w:after="40" w:before="160" w:line="276" w:lineRule="auto"/>
        <w:ind/>
        <w:jc w:val="left"/>
        <w:rPr/>
      </w:pPr>
      <w:r>
        <w:rPr>
          <w:rFonts w:ascii="Times New Roman" w:hAnsi="Times New Roman" w:eastAsia="Times New Roman" w:cs="Times New Roman"/>
          <w:b/>
          <w:i/>
          <w:sz w:val="26"/>
        </w:rPr>
        <w:t xml:space="preserve">Phân hệ 1: Quản lý Tài liệu và Luồng Phê duyệt (Document &amp; Workflow Management)</w:t>
      </w:r>
      <w:r/>
    </w:p>
    <w:p>
      <w:pPr>
        <w:pBdr/>
        <w:spacing w:after="40" w:before="40" w:line="276" w:lineRule="auto"/>
        <w:ind w:firstLine="720"/>
        <w:jc w:val="both"/>
        <w:rPr/>
      </w:pPr>
      <w:r>
        <w:rPr>
          <w:rFonts w:ascii="Times New Roman" w:hAnsi="Times New Roman" w:eastAsia="Times New Roman" w:cs="Times New Roman"/>
          <w:b w:val="0"/>
          <w:i w:val="0"/>
          <w:sz w:val="26"/>
        </w:rPr>
        <w:t xml:space="preserve">Module lõi của CDE theo ISO 19650, cung cấp:</w:t>
      </w:r>
      <w:r/>
    </w:p>
    <w:p>
      <w:pPr>
        <w:pBdr/>
        <w:spacing w:after="20" w:before="20"/>
        <w:ind w:left="360"/>
        <w:jc w:val="both"/>
        <w:rPr/>
      </w:pPr>
      <w:r>
        <w:rPr>
          <w:rFonts w:ascii="Times New Roman" w:hAnsi="Times New Roman" w:eastAsia="Times New Roman" w:cs="Times New Roman"/>
          <w:b/>
          <w:i w:val="0"/>
          <w:sz w:val="26"/>
        </w:rPr>
        <w:t xml:space="preserve">• **Quản lý vòng đời tài liệu 4 trạng thái**: </w:t>
      </w:r>
      <w:r>
        <w:rPr>
          <w:rFonts w:ascii="Times New Roman" w:hAnsi="Times New Roman" w:eastAsia="Times New Roman" w:cs="Times New Roman"/>
          <w:b w:val="0"/>
          <w:i w:val="0"/>
          <w:sz w:val="26"/>
        </w:rPr>
        <w:t xml:space="preserve">WIP (S0) → Shared (S1) → Published (S2) → Archive (S3) với kiểm soát cổng duyệt (Gate 1, Gate 2) rõ ràng.</w:t>
      </w:r>
      <w:r/>
    </w:p>
    <w:p>
      <w:pPr>
        <w:pBdr/>
        <w:spacing w:after="20" w:before="20"/>
        <w:ind w:left="360"/>
        <w:jc w:val="both"/>
        <w:rPr/>
      </w:pPr>
      <w:r>
        <w:rPr>
          <w:rFonts w:ascii="Times New Roman" w:hAnsi="Times New Roman" w:eastAsia="Times New Roman" w:cs="Times New Roman"/>
          <w:b/>
          <w:i w:val="0"/>
          <w:sz w:val="26"/>
        </w:rPr>
        <w:t xml:space="preserve">• **Đặt tên tài liệu chuẩn ISO 19650**: </w:t>
      </w:r>
      <w:r>
        <w:rPr>
          <w:rFonts w:ascii="Times New Roman" w:hAnsi="Times New Roman" w:eastAsia="Times New Roman" w:cs="Times New Roman"/>
          <w:b w:val="0"/>
          <w:i w:val="0"/>
          <w:sz w:val="26"/>
        </w:rPr>
        <w:t xml:space="preserve">`[Dự án]-[Đơn vị]-[Khối]-[Tầng]-[Loại]-[Bộ môn]-[Số hiệu]`.</w:t>
      </w:r>
      <w:r/>
    </w:p>
    <w:p>
      <w:pPr>
        <w:pBdr/>
        <w:spacing w:after="20" w:before="20"/>
        <w:ind w:left="360"/>
        <w:jc w:val="both"/>
        <w:rPr/>
      </w:pPr>
      <w:r>
        <w:rPr>
          <w:rFonts w:ascii="Times New Roman" w:hAnsi="Times New Roman" w:eastAsia="Times New Roman" w:cs="Times New Roman"/>
          <w:b/>
          <w:i w:val="0"/>
          <w:sz w:val="26"/>
        </w:rPr>
        <w:t xml:space="preserve">• **Quản lý phiên bản tự động**: </w:t>
      </w:r>
      <w:r>
        <w:rPr>
          <w:rFonts w:ascii="Times New Roman" w:hAnsi="Times New Roman" w:eastAsia="Times New Roman" w:cs="Times New Roman"/>
          <w:b w:val="0"/>
          <w:i w:val="0"/>
          <w:sz w:val="26"/>
        </w:rPr>
        <w:t xml:space="preserve">Tăng revision P01→P02... (bản nháp) → C01, C02... (bản chính thức) khi xuất bản.</w:t>
      </w:r>
      <w:r/>
    </w:p>
    <w:p>
      <w:pPr>
        <w:pBdr/>
        <w:spacing w:after="20" w:before="20"/>
        <w:ind w:left="360"/>
        <w:jc w:val="both"/>
        <w:rPr/>
      </w:pPr>
      <w:r>
        <w:rPr>
          <w:rFonts w:ascii="Times New Roman" w:hAnsi="Times New Roman" w:eastAsia="Times New Roman" w:cs="Times New Roman"/>
          <w:b/>
          <w:i w:val="0"/>
          <w:sz w:val="26"/>
        </w:rPr>
        <w:t xml:space="preserve">• **Lịch sử phiên bản hoàn chỉnh**: </w:t>
      </w:r>
      <w:r>
        <w:rPr>
          <w:rFonts w:ascii="Times New Roman" w:hAnsi="Times New Roman" w:eastAsia="Times New Roman" w:cs="Times New Roman"/>
          <w:b w:val="0"/>
          <w:i w:val="0"/>
          <w:sz w:val="26"/>
        </w:rPr>
        <w:t xml:space="preserve">Snapshot mỗi lần tải lên/đổi trạng thái/thay đổi revision, tạo Audit Trail bất biến đáp ứng QCVN 12 (Mục 2.2.22 — Dấu thời gian).</w:t>
      </w:r>
      <w:r/>
    </w:p>
    <w:p>
      <w:pPr>
        <w:pBdr/>
        <w:spacing w:after="20" w:before="20"/>
        <w:ind w:left="360"/>
        <w:jc w:val="both"/>
        <w:rPr/>
      </w:pPr>
      <w:r>
        <w:rPr>
          <w:rFonts w:ascii="Times New Roman" w:hAnsi="Times New Roman" w:eastAsia="Times New Roman" w:cs="Times New Roman"/>
          <w:b/>
          <w:i w:val="0"/>
          <w:sz w:val="26"/>
        </w:rPr>
        <w:t xml:space="preserve">• **Phân quyền theo vai trò (RBAC)**: </w:t>
      </w:r>
      <w:r>
        <w:rPr>
          <w:rFonts w:ascii="Times New Roman" w:hAnsi="Times New Roman" w:eastAsia="Times New Roman" w:cs="Times New Roman"/>
          <w:b w:val="0"/>
          <w:i w:val="0"/>
          <w:sz w:val="26"/>
        </w:rPr>
        <w:t xml:space="preserve">Author / Checker / Approver / Manager / Viewer — gate duyệt/phát hành/lưu trữ phân quyền rõ ràng, đáp ứng QCVN 12 (Mục 2.2.7).</w:t>
      </w:r>
      <w:r/>
    </w:p>
    <w:p>
      <w:pPr>
        <w:pBdr/>
        <w:spacing w:after="20" w:before="20"/>
        <w:ind w:left="360"/>
        <w:jc w:val="both"/>
        <w:rPr/>
      </w:pPr>
      <w:r>
        <w:rPr>
          <w:rFonts w:ascii="Times New Roman" w:hAnsi="Times New Roman" w:eastAsia="Times New Roman" w:cs="Times New Roman"/>
          <w:b/>
          <w:i w:val="0"/>
          <w:sz w:val="26"/>
        </w:rPr>
        <w:t xml:space="preserve">• **Upload file thật + Hash SHA-256**: </w:t>
      </w:r>
      <w:r>
        <w:rPr>
          <w:rFonts w:ascii="Times New Roman" w:hAnsi="Times New Roman" w:eastAsia="Times New Roman" w:cs="Times New Roman"/>
          <w:b w:val="0"/>
          <w:i w:val="0"/>
          <w:sz w:val="26"/>
        </w:rPr>
        <w:t xml:space="preserve">Mỗi tài liệu được băm SHA-256 để bảo vệ tính toàn vẹn, đáp ứng QCVN 12 (Mục 2.2.5.4.2).</w:t>
      </w:r>
      <w:r/>
    </w:p>
    <w:p>
      <w:pPr>
        <w:pBdr/>
        <w:spacing w:after="20" w:before="20"/>
        <w:ind w:left="360"/>
        <w:jc w:val="both"/>
        <w:rPr/>
      </w:pPr>
      <w:r>
        <w:rPr>
          <w:rFonts w:ascii="Times New Roman" w:hAnsi="Times New Roman" w:eastAsia="Times New Roman" w:cs="Times New Roman"/>
          <w:b/>
          <w:i w:val="0"/>
          <w:sz w:val="26"/>
        </w:rPr>
        <w:t xml:space="preserve">• **Kế hoạch bàn giao thông tin (MIDP/TIDP)**: </w:t>
      </w:r>
      <w:r>
        <w:rPr>
          <w:rFonts w:ascii="Times New Roman" w:hAnsi="Times New Roman" w:eastAsia="Times New Roman" w:cs="Times New Roman"/>
          <w:b w:val="0"/>
          <w:i w:val="0"/>
          <w:sz w:val="26"/>
        </w:rPr>
        <w:t xml:space="preserve">Quản lý nhiệm vụ bàn giao theo bộ môn, định dạng, mốc thời gian, thời hạn, phụ trách — cảnh báo trễ hạn tự động.</w:t>
      </w:r>
      <w:r/>
    </w:p>
    <w:p>
      <w:pPr>
        <w:pBdr/>
        <w:spacing w:after="20" w:before="20"/>
        <w:ind w:left="360"/>
        <w:jc w:val="both"/>
        <w:rPr/>
      </w:pPr>
      <w:r>
        <w:rPr>
          <w:rFonts w:ascii="Times New Roman" w:hAnsi="Times New Roman" w:eastAsia="Times New Roman" w:cs="Times New Roman"/>
          <w:b/>
          <w:i w:val="0"/>
          <w:sz w:val="26"/>
        </w:rPr>
        <w:t xml:space="preserve">• **Mã hóa dữ liệu** </w:t>
      </w:r>
      <w:r>
        <w:rPr>
          <w:rFonts w:ascii="Times New Roman" w:hAnsi="Times New Roman" w:eastAsia="Times New Roman" w:cs="Times New Roman"/>
          <w:b w:val="0"/>
          <w:i w:val="0"/>
          <w:sz w:val="26"/>
        </w:rPr>
        <w:t xml:space="preserve">lưu trữ và truyền tải, đáp ứng QCVN 12 (Mục 2.2.16.2).</w:t>
      </w:r>
      <w:r/>
    </w:p>
    <w:p>
      <w:pPr>
        <w:pBdr/>
        <w:spacing w:after="40" w:before="160" w:line="276" w:lineRule="auto"/>
        <w:ind/>
        <w:jc w:val="left"/>
        <w:rPr/>
      </w:pPr>
      <w:r>
        <w:rPr>
          <w:rFonts w:ascii="Times New Roman" w:hAnsi="Times New Roman" w:eastAsia="Times New Roman" w:cs="Times New Roman"/>
          <w:b/>
          <w:i/>
          <w:sz w:val="26"/>
        </w:rPr>
        <w:t xml:space="preserve">Phân hệ 2: Trình xem và Phối hợp Mô hình 3D (BIM 3D/IFC Viewer &amp; Coordination)</w:t>
      </w:r>
      <w:r/>
    </w:p>
    <w:p>
      <w:pPr>
        <w:pBdr/>
        <w:spacing w:after="40" w:before="40" w:line="276" w:lineRule="auto"/>
        <w:ind w:firstLine="720"/>
        <w:jc w:val="both"/>
        <w:rPr/>
      </w:pPr>
      <w:r>
        <w:rPr>
          <w:rFonts w:ascii="Times New Roman" w:hAnsi="Times New Roman" w:eastAsia="Times New Roman" w:cs="Times New Roman"/>
          <w:b w:val="0"/>
          <w:i w:val="0"/>
          <w:sz w:val="26"/>
        </w:rPr>
        <w:t xml:space="preserve">Hỗ trợ đắc lực cho công tác trực quan hóa và phối hợp mô hình BIM 3D trực tiếp trên trình duyệt Web:</w:t>
      </w:r>
      <w:r/>
    </w:p>
    <w:p>
      <w:pPr>
        <w:pBdr/>
        <w:spacing w:after="20" w:before="20"/>
        <w:ind w:left="360"/>
        <w:jc w:val="both"/>
        <w:rPr/>
      </w:pPr>
      <w:r>
        <w:rPr>
          <w:rFonts w:ascii="Times New Roman" w:hAnsi="Times New Roman" w:eastAsia="Times New Roman" w:cs="Times New Roman"/>
          <w:b/>
          <w:i w:val="0"/>
          <w:sz w:val="26"/>
        </w:rPr>
        <w:t xml:space="preserve">• **BIM Viewer trên trình duyệt Web** </w:t>
      </w:r>
      <w:r>
        <w:rPr>
          <w:rFonts w:ascii="Times New Roman" w:hAnsi="Times New Roman" w:eastAsia="Times New Roman" w:cs="Times New Roman"/>
          <w:b w:val="0"/>
          <w:i w:val="0"/>
          <w:sz w:val="26"/>
        </w:rPr>
        <w:t xml:space="preserve">(không cần cài đặt phần mềm): Đọc mượt mà định dạng chuẩn mở </w:t>
      </w:r>
      <w:r>
        <w:rPr>
          <w:rFonts w:ascii="Times New Roman" w:hAnsi="Times New Roman" w:eastAsia="Times New Roman" w:cs="Times New Roman"/>
          <w:b/>
          <w:i w:val="0"/>
          <w:sz w:val="26"/>
        </w:rPr>
        <w:t xml:space="preserve">IFC 4.0+</w:t>
      </w:r>
      <w:r>
        <w:rPr>
          <w:rFonts w:ascii="Times New Roman" w:hAnsi="Times New Roman" w:eastAsia="Times New Roman" w:cs="Times New Roman"/>
          <w:b w:val="0"/>
          <w:i w:val="0"/>
          <w:sz w:val="26"/>
        </w:rPr>
        <w:t xml:space="preserve"> trên engine OpenBIM tự chủ mã nguồn (ThatOpen Engine / WebGL).</w:t>
      </w:r>
      <w:r/>
    </w:p>
    <w:p>
      <w:pPr>
        <w:pBdr/>
        <w:spacing w:after="20" w:before="20"/>
        <w:ind w:left="360"/>
        <w:jc w:val="both"/>
        <w:rPr/>
      </w:pPr>
      <w:r>
        <w:rPr>
          <w:rFonts w:ascii="Times New Roman" w:hAnsi="Times New Roman" w:eastAsia="Times New Roman" w:cs="Times New Roman"/>
          <w:b/>
          <w:i w:val="0"/>
          <w:sz w:val="26"/>
        </w:rPr>
        <w:t xml:space="preserve">• **Navigation đầy đủ**: </w:t>
      </w:r>
      <w:r>
        <w:rPr>
          <w:rFonts w:ascii="Times New Roman" w:hAnsi="Times New Roman" w:eastAsia="Times New Roman" w:cs="Times New Roman"/>
          <w:b w:val="0"/>
          <w:i w:val="0"/>
          <w:sz w:val="26"/>
        </w:rPr>
        <w:t xml:space="preserve">Orbit, pan, zoom, section planes, chế độ Bay (WASD + Q/E + Shift 2x).</w:t>
      </w:r>
      <w:r/>
    </w:p>
    <w:p>
      <w:pPr>
        <w:pBdr/>
        <w:spacing w:after="20" w:before="20"/>
        <w:ind w:left="360"/>
        <w:jc w:val="both"/>
        <w:rPr/>
      </w:pPr>
      <w:r>
        <w:rPr>
          <w:rFonts w:ascii="Times New Roman" w:hAnsi="Times New Roman" w:eastAsia="Times New Roman" w:cs="Times New Roman"/>
          <w:b/>
          <w:i w:val="0"/>
          <w:sz w:val="26"/>
        </w:rPr>
        <w:t xml:space="preserve">• **Phối hợp đa mô hình (Model Federation)**: </w:t>
      </w:r>
      <w:r>
        <w:rPr>
          <w:rFonts w:ascii="Times New Roman" w:hAnsi="Times New Roman" w:eastAsia="Times New Roman" w:cs="Times New Roman"/>
          <w:b w:val="0"/>
          <w:i w:val="0"/>
          <w:sz w:val="26"/>
        </w:rPr>
        <w:t xml:space="preserve">Tải nhiều model IFC cùng lúc, nhóm theo bộ môn, bật/tắt từng model.</w:t>
      </w:r>
      <w:r/>
    </w:p>
    <w:p>
      <w:pPr>
        <w:pBdr/>
        <w:spacing w:after="20" w:before="20"/>
        <w:ind w:left="360"/>
        <w:jc w:val="both"/>
        <w:rPr/>
      </w:pPr>
      <w:r>
        <w:rPr>
          <w:rFonts w:ascii="Times New Roman" w:hAnsi="Times New Roman" w:eastAsia="Times New Roman" w:cs="Times New Roman"/>
          <w:b/>
          <w:i w:val="0"/>
          <w:sz w:val="26"/>
        </w:rPr>
        <w:t xml:space="preserve">• **Quản lý vấn đề kiểu BCF (Issues)**: </w:t>
      </w:r>
      <w:r>
        <w:rPr>
          <w:rFonts w:ascii="Times New Roman" w:hAnsi="Times New Roman" w:eastAsia="Times New Roman" w:cs="Times New Roman"/>
          <w:b w:val="0"/>
          <w:i w:val="0"/>
          <w:sz w:val="26"/>
        </w:rPr>
        <w:t xml:space="preserve">Tạo issue gắn viewpoint (camera + ảnh thumbnail), gán người phụ trách, workflow trạng thái Open → Đang xử lý → Đã xử lý → Đã đóng. Xuất/nhập BCF 2.1.</w:t>
      </w:r>
      <w:r/>
    </w:p>
    <w:p>
      <w:pPr>
        <w:pBdr/>
        <w:spacing w:after="20" w:before="20"/>
        <w:ind w:left="360"/>
        <w:jc w:val="both"/>
        <w:rPr/>
      </w:pPr>
      <w:r>
        <w:rPr>
          <w:rFonts w:ascii="Times New Roman" w:hAnsi="Times New Roman" w:eastAsia="Times New Roman" w:cs="Times New Roman"/>
          <w:b/>
          <w:i w:val="0"/>
          <w:sz w:val="26"/>
        </w:rPr>
        <w:t xml:space="preserve">• **Lưu/khôi phục Viewpoint**: </w:t>
      </w:r>
      <w:r>
        <w:rPr>
          <w:rFonts w:ascii="Times New Roman" w:hAnsi="Times New Roman" w:eastAsia="Times New Roman" w:cs="Times New Roman"/>
          <w:b w:val="0"/>
          <w:i w:val="0"/>
          <w:sz w:val="26"/>
        </w:rPr>
        <w:t xml:space="preserve">Camera + ẩn/hiện model + screenshot lưu trữ đám mây.</w:t>
      </w:r>
      <w:r/>
    </w:p>
    <w:p>
      <w:pPr>
        <w:pBdr/>
        <w:spacing w:after="20" w:before="20"/>
        <w:ind w:left="360"/>
        <w:jc w:val="both"/>
        <w:rPr/>
      </w:pPr>
      <w:r>
        <w:rPr>
          <w:rFonts w:ascii="Times New Roman" w:hAnsi="Times New Roman" w:eastAsia="Times New Roman" w:cs="Times New Roman"/>
          <w:b/>
          <w:i w:val="0"/>
          <w:sz w:val="26"/>
        </w:rPr>
        <w:t xml:space="preserve">• **Kiểm tra thuộc tính cấu kiện**: </w:t>
      </w:r>
      <w:r>
        <w:rPr>
          <w:rFonts w:ascii="Times New Roman" w:hAnsi="Times New Roman" w:eastAsia="Times New Roman" w:cs="Times New Roman"/>
          <w:b w:val="0"/>
          <w:i w:val="0"/>
          <w:sz w:val="26"/>
        </w:rPr>
        <w:t xml:space="preserve">Chọn đối tượng, xem toàn bộ Property Set, đo đạc khoảng cách.</w:t>
      </w:r>
      <w:r/>
    </w:p>
    <w:p>
      <w:pPr>
        <w:pBdr/>
        <w:spacing w:after="60" w:before="200" w:line="276" w:lineRule="auto"/>
        <w:ind/>
        <w:jc w:val="left"/>
        <w:rPr/>
      </w:pPr>
      <w:r>
        <w:rPr>
          <w:rFonts w:ascii="Times New Roman" w:hAnsi="Times New Roman" w:eastAsia="Times New Roman" w:cs="Times New Roman"/>
          <w:b/>
          <w:i w:val="0"/>
          <w:sz w:val="26"/>
        </w:rPr>
        <w:t xml:space="preserve">4. Chi phí dự kiến CDE CIC (Phân hệ 1 + 2)</w:t>
      </w:r>
      <w:r/>
    </w:p>
    <w:p>
      <w:pPr>
        <w:pBdr/>
        <w:spacing w:after="40" w:before="40" w:line="276" w:lineRule="auto"/>
        <w:ind w:firstLine="720"/>
        <w:jc w:val="both"/>
        <w:rPr/>
      </w:pPr>
      <w:r>
        <w:rPr>
          <w:rFonts w:ascii="Times New Roman" w:hAnsi="Times New Roman" w:eastAsia="Times New Roman" w:cs="Times New Roman"/>
          <w:b w:val="0"/>
          <w:i w:val="0"/>
          <w:sz w:val="26"/>
        </w:rPr>
        <w:t xml:space="preserve">CDE CIC áp dụng mô hình chi phí </w:t>
      </w:r>
      <w:r>
        <w:rPr>
          <w:rFonts w:ascii="Times New Roman" w:hAnsi="Times New Roman" w:eastAsia="Times New Roman" w:cs="Times New Roman"/>
          <w:b/>
          <w:i w:val="0"/>
          <w:sz w:val="26"/>
        </w:rPr>
        <w:t xml:space="preserve">tách riêng hạ tầng và phần mềm</w:t>
      </w:r>
      <w:r>
        <w:rPr>
          <w:rFonts w:ascii="Times New Roman" w:hAnsi="Times New Roman" w:eastAsia="Times New Roman" w:cs="Times New Roman"/>
          <w:b w:val="0"/>
          <w:i w:val="0"/>
          <w:sz w:val="26"/>
        </w:rPr>
        <w:t xml:space="preserve">, không tính theo đầu người dùng (user), cụ thể:</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53"/>
        <w:gridCol w:w="1984"/>
        <w:gridCol w:w="2379"/>
        <w:gridCol w:w="1872"/>
        <w:gridCol w:w="1872"/>
      </w:tblGrid>
      <w:tr>
        <w:trPr/>
        <w:tc>
          <w:tcPr>
            <w:tcBorders/>
            <w:tcW w:w="1253" w:type="dxa"/>
          </w:tcPr>
          <w:p>
            <w:pPr>
              <w:pBdr/>
              <w:spacing w:after="20" w:before="20" w:line="276" w:lineRule="auto"/>
              <w:ind/>
              <w:jc w:val="center"/>
              <w:rPr/>
            </w:pPr>
            <w:r>
              <w:rPr>
                <w:rFonts w:ascii="Times New Roman" w:hAnsi="Times New Roman" w:eastAsia="Times New Roman" w:cs="Times New Roman"/>
                <w:b/>
                <w:i w:val="0"/>
                <w:sz w:val="22"/>
              </w:rPr>
              <w:t xml:space="preserve">STT</w:t>
            </w:r>
            <w:r/>
          </w:p>
        </w:tc>
        <w:tc>
          <w:tcPr>
            <w:tcBorders/>
            <w:tcW w:w="1984" w:type="dxa"/>
          </w:tcPr>
          <w:p>
            <w:pPr>
              <w:pBdr/>
              <w:spacing w:after="20" w:before="20" w:line="276" w:lineRule="auto"/>
              <w:ind/>
              <w:jc w:val="center"/>
              <w:rPr/>
            </w:pPr>
            <w:r>
              <w:rPr>
                <w:rFonts w:ascii="Times New Roman" w:hAnsi="Times New Roman" w:eastAsia="Times New Roman" w:cs="Times New Roman"/>
                <w:b/>
                <w:i w:val="0"/>
                <w:sz w:val="22"/>
              </w:rPr>
              <w:t xml:space="preserve">Hạng mục</w:t>
            </w:r>
            <w:r/>
          </w:p>
        </w:tc>
        <w:tc>
          <w:tcPr>
            <w:tcBorders/>
            <w:tcW w:w="2379" w:type="dxa"/>
          </w:tcPr>
          <w:p>
            <w:pPr>
              <w:pBdr/>
              <w:spacing w:after="20" w:before="20" w:line="276" w:lineRule="auto"/>
              <w:ind/>
              <w:jc w:val="center"/>
              <w:rPr/>
            </w:pPr>
            <w:r>
              <w:rPr>
                <w:rFonts w:ascii="Times New Roman" w:hAnsi="Times New Roman" w:eastAsia="Times New Roman" w:cs="Times New Roman"/>
                <w:b/>
                <w:i w:val="0"/>
                <w:sz w:val="22"/>
              </w:rPr>
              <w:t xml:space="preserve">Nội dung</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Chi phí dự kiến (VNĐ/năm)</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Ghi chú</w:t>
            </w:r>
            <w:r/>
          </w:p>
        </w:tc>
      </w:tr>
      <w:tr>
        <w:trPr/>
        <w:tc>
          <w:tcPr>
            <w:tcBorders/>
            <w:tcW w:w="1253" w:type="dxa"/>
          </w:tcPr>
          <w:p>
            <w:pPr>
              <w:pBdr/>
              <w:spacing w:after="20" w:before="20" w:line="276" w:lineRule="auto"/>
              <w:ind/>
              <w:jc w:val="center"/>
              <w:rPr/>
            </w:pPr>
            <w:r>
              <w:rPr>
                <w:rFonts w:ascii="Times New Roman" w:hAnsi="Times New Roman" w:eastAsia="Times New Roman" w:cs="Times New Roman"/>
                <w:b w:val="0"/>
                <w:i w:val="0"/>
                <w:sz w:val="22"/>
              </w:rPr>
              <w:t xml:space="preserve">A</w:t>
            </w:r>
            <w:r/>
          </w:p>
        </w:tc>
        <w:tc>
          <w:tcPr>
            <w:tcBorders/>
            <w:tcW w:w="1984" w:type="dxa"/>
          </w:tcPr>
          <w:p>
            <w:pPr>
              <w:pBdr/>
              <w:spacing w:after="20" w:before="20" w:line="276" w:lineRule="auto"/>
              <w:ind/>
              <w:jc w:val="left"/>
              <w:rPr/>
            </w:pPr>
            <w:r>
              <w:rPr>
                <w:rFonts w:ascii="Times New Roman" w:hAnsi="Times New Roman" w:eastAsia="Times New Roman" w:cs="Times New Roman"/>
                <w:b/>
                <w:i w:val="0"/>
                <w:sz w:val="22"/>
              </w:rPr>
              <w:t xml:space="preserve">Phần hạ tầng (Infrastructure)</w:t>
            </w:r>
            <w:r/>
          </w:p>
        </w:tc>
        <w:tc>
          <w:tcPr>
            <w:tcBorders/>
            <w:tcW w:w="2379" w:type="dxa"/>
          </w:tcPr>
          <w:p>
            <w:pPr>
              <w:pBdr/>
              <w:spacing w:after="20" w:before="20" w:line="276" w:lineRule="auto"/>
              <w:ind/>
              <w:jc w:val="left"/>
              <w:rPr/>
            </w:pPr>
            <w:r>
              <w:rPr>
                <w:rFonts w:ascii="Times New Roman" w:hAnsi="Times New Roman" w:eastAsia="Times New Roman" w:cs="Times New Roman"/>
                <w:b w:val="0"/>
                <w:i w:val="0"/>
                <w:sz w:val="22"/>
              </w:rPr>
              <w:t xml:space="preserve">Máy chủ đám mây đặt tại Việt Nam (Viettel Cloud / VNPT — Tier III), dung lượng lưu trữ, băng thông, sao lưu dự phòng, chứng chỉ SSL/TLS</w:t>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Do Ban chi trả trực tiếp</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Ba</w:t>
            </w:r>
            <w:r>
              <w:rPr>
                <w:rFonts w:ascii="Times New Roman" w:hAnsi="Times New Roman" w:eastAsia="Times New Roman" w:cs="Times New Roman"/>
                <w:b w:val="0"/>
                <w:i w:val="0"/>
                <w:sz w:val="22"/>
              </w:rPr>
              <w:t xml:space="preserve">n ký hợp đồng trực tiếp với nhà cung cấp hạ tầng Cloud. Chi phí tùy theo quy mô dung lượng, số lượng dự án và số lượng user truy cập thực tế (Ban sẽ chủ động nâng cấp gói hạ tầng Cloud khi số lượng người dùng tăng lên, dự kiến ban đầu từ 50–100 triệu/năm).</w:t>
            </w:r>
            <w:r/>
          </w:p>
        </w:tc>
      </w:tr>
      <w:tr>
        <w:trPr/>
        <w:tc>
          <w:tcPr>
            <w:tcBorders/>
            <w:tcW w:w="1253" w:type="dxa"/>
          </w:tcPr>
          <w:p>
            <w:pPr>
              <w:pBdr/>
              <w:spacing w:after="20" w:before="20" w:line="276" w:lineRule="auto"/>
              <w:ind/>
              <w:jc w:val="center"/>
              <w:rPr/>
            </w:pPr>
            <w:r>
              <w:rPr>
                <w:rFonts w:ascii="Times New Roman" w:hAnsi="Times New Roman" w:eastAsia="Times New Roman" w:cs="Times New Roman"/>
                <w:b w:val="0"/>
                <w:i w:val="0"/>
                <w:sz w:val="22"/>
              </w:rPr>
              <w:t xml:space="preserve">B</w:t>
            </w:r>
            <w:r/>
          </w:p>
        </w:tc>
        <w:tc>
          <w:tcPr>
            <w:tcBorders/>
            <w:tcW w:w="1984" w:type="dxa"/>
          </w:tcPr>
          <w:p>
            <w:pPr>
              <w:pBdr/>
              <w:spacing w:after="20" w:before="20" w:line="276" w:lineRule="auto"/>
              <w:ind/>
              <w:jc w:val="left"/>
              <w:rPr/>
            </w:pPr>
            <w:r>
              <w:rPr>
                <w:rFonts w:ascii="Times New Roman" w:hAnsi="Times New Roman" w:eastAsia="Times New Roman" w:cs="Times New Roman"/>
                <w:b/>
                <w:i w:val="0"/>
                <w:sz w:val="22"/>
              </w:rPr>
              <w:t xml:space="preserve">Phần mềm CDE CIC (Phân hệ 1 + 2)</w:t>
            </w:r>
            <w:r/>
          </w:p>
        </w:tc>
        <w:tc>
          <w:tcPr>
            <w:tcBorders/>
            <w:tcW w:w="2379" w:type="dxa"/>
          </w:tcPr>
          <w:p>
            <w:pPr>
              <w:pBdr/>
              <w:spacing w:after="20" w:before="20" w:line="276" w:lineRule="auto"/>
              <w:ind/>
              <w:jc w:val="left"/>
              <w:rPr/>
            </w:pPr>
            <w:r>
              <w:rPr>
                <w:rFonts w:ascii="Times New Roman" w:hAnsi="Times New Roman" w:eastAsia="Times New Roman" w:cs="Times New Roman"/>
                <w:b w:val="0"/>
                <w:i w:val="0"/>
                <w:sz w:val="22"/>
              </w:rPr>
              <w:t xml:space="preserve">Giấy phép sử dụng nền tảng CDE CIC bao gồm Phân hệ 1 (Quản lý Tài liệu &amp; Phê duyệt) và Phân hệ 2 (BIM Viewer &amp; Coordination) — </w:t>
            </w:r>
            <w:r>
              <w:rPr>
                <w:rFonts w:ascii="Times New Roman" w:hAnsi="Times New Roman" w:eastAsia="Times New Roman" w:cs="Times New Roman"/>
                <w:b/>
                <w:i w:val="0"/>
                <w:sz w:val="22"/>
              </w:rPr>
              <w:t xml:space="preserve">không giới hạn số lượng người dùng</w:t>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150.000.000</w:t>
            </w:r>
            <w:r/>
          </w:p>
        </w:tc>
        <w:tc>
          <w:tcPr>
            <w:tcBorders/>
            <w:tcW w:w="1872" w:type="dxa"/>
          </w:tcPr>
          <w:p>
            <w:pPr>
              <w:pBdr/>
              <w:spacing w:after="20" w:before="20" w:line="276" w:lineRule="auto"/>
              <w:ind/>
              <w:jc w:val="left"/>
              <w:rPr/>
            </w:pPr>
            <w:r>
              <w:rPr>
                <w:rFonts w:ascii="Times New Roman" w:hAnsi="Times New Roman" w:eastAsia="Times New Roman" w:cs="Times New Roman"/>
                <w:b w:val="0"/>
                <w:i w:val="0"/>
                <w:sz w:val="22"/>
              </w:rPr>
              <w:t xml:space="preserve">Thuê bao 1 năm. Bao gồm triển khai, cấu hình, đào tạo và hỗ trợ kỹ thuật.</w:t>
            </w:r>
            <w:r/>
          </w:p>
        </w:tc>
      </w:tr>
      <w:tr>
        <w:trPr/>
        <w:tc>
          <w:tcPr>
            <w:tcBorders/>
            <w:tcW w:w="1253" w:type="dxa"/>
          </w:tcPr>
          <w:p>
            <w:pPr>
              <w:pBdr/>
              <w:spacing w:after="20" w:before="20" w:line="276" w:lineRule="auto"/>
              <w:ind/>
              <w:jc w:val="center"/>
              <w:rPr/>
            </w:pPr>
            <w:r/>
            <w:r/>
          </w:p>
        </w:tc>
        <w:tc>
          <w:tcPr>
            <w:tcBorders/>
            <w:tcW w:w="1984" w:type="dxa"/>
          </w:tcPr>
          <w:p>
            <w:pPr>
              <w:pBdr/>
              <w:spacing w:after="20" w:before="20" w:line="276" w:lineRule="auto"/>
              <w:ind/>
              <w:jc w:val="left"/>
              <w:rPr/>
            </w:pPr>
            <w:r>
              <w:rPr>
                <w:rFonts w:ascii="Times New Roman" w:hAnsi="Times New Roman" w:eastAsia="Times New Roman" w:cs="Times New Roman"/>
                <w:b/>
                <w:i w:val="0"/>
                <w:sz w:val="22"/>
              </w:rPr>
              <w:t xml:space="preserve">Tổng chi phí phần mềm CDE CIC</w:t>
            </w:r>
            <w:r/>
          </w:p>
        </w:tc>
        <w:tc>
          <w:tcPr>
            <w:tcBorders/>
            <w:tcW w:w="2379" w:type="dxa"/>
          </w:tcPr>
          <w:p>
            <w:pPr>
              <w:pBdr/>
              <w:spacing w:after="20" w:before="20" w:line="276" w:lineRule="auto"/>
              <w:ind/>
              <w:jc w:val="left"/>
              <w:rPr/>
            </w:pPr>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150.000.000</w:t>
            </w:r>
            <w:r/>
          </w:p>
        </w:tc>
        <w:tc>
          <w:tcPr>
            <w:tcBorders/>
            <w:tcW w:w="1872" w:type="dxa"/>
          </w:tcPr>
          <w:p>
            <w:pPr>
              <w:pBdr/>
              <w:spacing w:after="20" w:before="20" w:line="276" w:lineRule="auto"/>
              <w:ind/>
              <w:jc w:val="left"/>
              <w:rPr/>
            </w:pPr>
            <w:r/>
            <w:r/>
          </w:p>
        </w:tc>
      </w:tr>
    </w:tbl>
    <w:p>
      <w:pPr>
        <w:pBdr/>
        <w:spacing w:after="40" w:before="40"/>
        <w:ind w:left="720"/>
        <w:jc w:val="both"/>
        <w:rPr/>
      </w:pPr>
      <w:r>
        <w:rPr>
          <w:rFonts w:ascii="Times New Roman" w:hAnsi="Times New Roman" w:eastAsia="Times New Roman" w:cs="Times New Roman"/>
          <w:b w:val="0"/>
          <w:i/>
          <w:sz w:val="24"/>
        </w:rPr>
        <w:t xml:space="preserve">Khái toán chi phí hạ tầng Cloud khi nâng cấp (Cho quy mô 100 user và 1 TB lưu trữ SSD):</w:t>
      </w:r>
      <w:r/>
    </w:p>
    <w:p>
      <w:pPr>
        <w:pBdr/>
        <w:spacing w:after="40" w:before="40"/>
        <w:ind w:left="720"/>
        <w:jc w:val="both"/>
        <w:rPr/>
      </w:pPr>
      <w:r>
        <w:rPr>
          <w:rFonts w:ascii="Times New Roman" w:hAnsi="Times New Roman" w:eastAsia="Times New Roman" w:cs="Times New Roman"/>
          <w:b w:val="0"/>
          <w:i/>
          <w:sz w:val="24"/>
        </w:rPr>
        <w:t xml:space="preserve">Để giúp Ban dễ định lượng chi phí tự chi trả khi mở rộng quy mô, dưới đây là khái toán dịch vụ thuê đám mây trong nước (Viettel Cloud / VNPT Cloud đạt chuẩn Tier III) phục vụ cho 100 user truy cập đồng thời và 1 TB dung lượng lưu trữ SSD:</w:t>
      </w:r>
      <w:r/>
    </w:p>
    <w:p>
      <w:pPr>
        <w:pBdr/>
        <w:spacing w:after="40" w:before="40"/>
        <w:ind w:left="720"/>
        <w:jc w:val="both"/>
        <w:rPr/>
      </w:pPr>
      <w:r>
        <w:rPr>
          <w:rFonts w:ascii="Times New Roman" w:hAnsi="Times New Roman" w:eastAsia="Times New Roman" w:cs="Times New Roman"/>
          <w:b w:val="0"/>
          <w:i/>
          <w:sz w:val="24"/>
        </w:rPr>
        <w:t xml:space="preserve">* Máy chủ ảo (Cloud Server - VM): Cấu hình 8 vCPU / 32GB RAM / 100GB SSD hệ thống (vận hành luồng phê duyệt và BIM Viewer Web mượt mà): ~3.000.000 – 4.500.000 VNĐ/tháng.</w:t>
      </w:r>
      <w:r/>
    </w:p>
    <w:p>
      <w:pPr>
        <w:pBdr/>
        <w:spacing w:after="40" w:before="40"/>
        <w:ind w:left="720"/>
        <w:jc w:val="both"/>
        <w:rPr/>
      </w:pPr>
      <w:r>
        <w:rPr>
          <w:rFonts w:ascii="Times New Roman" w:hAnsi="Times New Roman" w:eastAsia="Times New Roman" w:cs="Times New Roman"/>
          <w:b w:val="0"/>
          <w:i/>
          <w:sz w:val="24"/>
        </w:rPr>
        <w:t xml:space="preserve">* Dung lượng lưu trữ SSD/Object Storage (1 TB): Lưu trữ các tệp IFC gốc, bản vẽ và tài liệu dự án: ~800.000 – 1.200.000 VNĐ/tháng.</w:t>
      </w:r>
      <w:r/>
    </w:p>
    <w:p>
      <w:pPr>
        <w:pBdr/>
        <w:spacing w:after="40" w:before="40"/>
        <w:ind w:left="720"/>
        <w:jc w:val="both"/>
        <w:rPr/>
      </w:pPr>
      <w:r>
        <w:rPr>
          <w:rFonts w:ascii="Times New Roman" w:hAnsi="Times New Roman" w:eastAsia="Times New Roman" w:cs="Times New Roman"/>
          <w:b w:val="0"/>
          <w:i/>
          <w:sz w:val="24"/>
        </w:rPr>
        <w:t xml:space="preserve">* Băng thông &amp; Sao lưu (Bandwidth &amp; Backup): Sao lưu tự động hằng ngày và đường truyền mạng trong nước tốc độ cao: ~800.000 – 1.500.000 VNĐ/tháng.</w:t>
      </w:r>
      <w:r/>
    </w:p>
    <w:p>
      <w:pPr>
        <w:pBdr/>
        <w:spacing w:after="40" w:before="40"/>
        <w:ind w:left="720"/>
        <w:jc w:val="both"/>
        <w:rPr/>
      </w:pPr>
      <w:r>
        <w:rPr>
          <w:rFonts w:ascii="Times New Roman" w:hAnsi="Times New Roman" w:eastAsia="Times New Roman" w:cs="Times New Roman"/>
          <w:b w:val="0"/>
          <w:i/>
          <w:sz w:val="24"/>
        </w:rPr>
        <w:t xml:space="preserve">* Tổng chi phí hạ tầng dự kiến: Khoảng 4.600.000 – 7.200.000 VNĐ/tháng (tương đương khoảng 55.000.000 – 86.000.000 VNĐ/năm).</w:t>
      </w:r>
      <w:r/>
    </w:p>
    <w:p>
      <w:pPr>
        <w:pBdr/>
        <w:spacing w:after="40" w:before="40"/>
        <w:ind w:left="720"/>
        <w:jc w:val="both"/>
        <w:rPr/>
      </w:pPr>
      <w:r>
        <w:rPr>
          <w:rFonts w:ascii="Times New Roman" w:hAnsi="Times New Roman" w:eastAsia="Times New Roman" w:cs="Times New Roman"/>
          <w:b w:val="0"/>
          <w:i/>
          <w:sz w:val="24"/>
        </w:rPr>
        <w:t xml:space="preserve">Ưu điểm mô hình chi phí CDE CIC so với CDE nước ngoài:</w:t>
      </w:r>
      <w:r/>
    </w:p>
    <w:p>
      <w:pPr>
        <w:pBdr/>
        <w:spacing w:after="40" w:before="40"/>
        <w:ind w:left="720"/>
        <w:jc w:val="both"/>
        <w:rPr/>
      </w:pPr>
      <w:r>
        <w:rPr>
          <w:rFonts w:ascii="Times New Roman" w:hAnsi="Times New Roman" w:eastAsia="Times New Roman" w:cs="Times New Roman"/>
          <w:b w:val="0"/>
          <w:i/>
          <w:sz w:val="24"/>
        </w:rPr>
        <w:t xml:space="preserve">Với mô hình không</w:t>
      </w:r>
      <w:r>
        <w:rPr>
          <w:rFonts w:ascii="Times New Roman" w:hAnsi="Times New Roman" w:eastAsia="Times New Roman" w:cs="Times New Roman"/>
          <w:b w:val="0"/>
          <w:i/>
          <w:sz w:val="24"/>
        </w:rPr>
        <w:t xml:space="preserve"> giới hạn user về mặt bản quyền phần mềm, chi phí CDE CIC không tăng khi Ban mở rộng số nhân sự sử dụng (việc mở rộng quy mô phục vụ người dùng sẽ do Ban chủ động nâng cấp hạ tầng Cloud khi cần thiết), trong khi CDE nước ngoài tăng tuyến tính theo số user.</w:t>
      </w:r>
      <w:r/>
    </w:p>
    <w:p>
      <w:pPr>
        <w:pBdr/>
        <w:spacing w:after="60" w:before="200" w:line="276" w:lineRule="auto"/>
        <w:ind/>
        <w:jc w:val="left"/>
        <w:rPr/>
      </w:pPr>
      <w:r>
        <w:rPr>
          <w:rFonts w:ascii="Times New Roman" w:hAnsi="Times New Roman" w:eastAsia="Times New Roman" w:cs="Times New Roman"/>
          <w:b/>
          <w:i w:val="0"/>
          <w:sz w:val="26"/>
        </w:rPr>
        <w:t xml:space="preserve">5. Lợi ích khi Ban sử dụng CDE CIC</w:t>
      </w:r>
      <w:r/>
    </w:p>
    <w:p>
      <w:pPr>
        <w:pBdr/>
        <w:spacing w:after="40" w:before="40"/>
        <w:ind w:left="360"/>
        <w:jc w:val="both"/>
        <w:rPr/>
      </w:pPr>
      <w:r>
        <w:rPr>
          <w:rFonts w:ascii="Times New Roman" w:hAnsi="Times New Roman" w:eastAsia="Times New Roman" w:cs="Times New Roman"/>
          <w:b/>
          <w:i w:val="0"/>
          <w:sz w:val="26"/>
        </w:rPr>
        <w:t xml:space="preserve">1. </w:t>
      </w:r>
      <w:r>
        <w:rPr>
          <w:rFonts w:ascii="Times New Roman" w:hAnsi="Times New Roman" w:eastAsia="Times New Roman" w:cs="Times New Roman"/>
          <w:b/>
          <w:i w:val="0"/>
          <w:sz w:val="26"/>
        </w:rPr>
        <w:t xml:space="preserve">Tuân thủ pháp luật:</w:t>
      </w:r>
      <w:r>
        <w:rPr>
          <w:rFonts w:ascii="Times New Roman" w:hAnsi="Times New Roman" w:eastAsia="Times New Roman" w:cs="Times New Roman"/>
          <w:b w:val="0"/>
          <w:i w:val="0"/>
          <w:sz w:val="26"/>
        </w:rPr>
        <w:t xml:space="preserve"> Đáp ứng đầy đủ QCVN 12:2026/BCA — điều kiện tiên quyết để vận hành CDE tại cơ quan nhà nước từ 01/07/2026.</w:t>
      </w:r>
      <w:r/>
    </w:p>
    <w:p>
      <w:pPr>
        <w:pBdr/>
        <w:spacing w:after="40" w:before="40"/>
        <w:ind w:left="360"/>
        <w:jc w:val="both"/>
        <w:rPr/>
      </w:pPr>
      <w:r>
        <w:rPr>
          <w:rFonts w:ascii="Times New Roman" w:hAnsi="Times New Roman" w:eastAsia="Times New Roman" w:cs="Times New Roman"/>
          <w:b/>
          <w:i w:val="0"/>
          <w:sz w:val="26"/>
        </w:rPr>
        <w:t xml:space="preserve">2. </w:t>
      </w:r>
      <w:r>
        <w:rPr>
          <w:rFonts w:ascii="Times New Roman" w:hAnsi="Times New Roman" w:eastAsia="Times New Roman" w:cs="Times New Roman"/>
          <w:b/>
          <w:i w:val="0"/>
          <w:sz w:val="26"/>
        </w:rPr>
        <w:t xml:space="preserve">Tiết kiệm chi phí:</w:t>
      </w:r>
      <w:r>
        <w:rPr>
          <w:rFonts w:ascii="Times New Roman" w:hAnsi="Times New Roman" w:eastAsia="Times New Roman" w:cs="Times New Roman"/>
          <w:b w:val="0"/>
          <w:i w:val="0"/>
          <w:sz w:val="26"/>
        </w:rPr>
        <w:t xml:space="preserve"> Chi phí bản quyền phần mềm CDE nội địa trọn gói theo năm tiết kiệm khoảng 60–80% so với giải pháp CDE nước ngoài tính theo đầu người dùng (user).</w:t>
      </w:r>
      <w:r/>
    </w:p>
    <w:p>
      <w:pPr>
        <w:pBdr/>
        <w:spacing w:after="40" w:before="40"/>
        <w:ind w:left="360"/>
        <w:jc w:val="both"/>
        <w:rPr/>
      </w:pPr>
      <w:r>
        <w:rPr>
          <w:rFonts w:ascii="Times New Roman" w:hAnsi="Times New Roman" w:eastAsia="Times New Roman" w:cs="Times New Roman"/>
          <w:b/>
          <w:i w:val="0"/>
          <w:sz w:val="26"/>
        </w:rPr>
        <w:t xml:space="preserve">3. </w:t>
      </w:r>
      <w:r>
        <w:rPr>
          <w:rFonts w:ascii="Times New Roman" w:hAnsi="Times New Roman" w:eastAsia="Times New Roman" w:cs="Times New Roman"/>
          <w:b/>
          <w:i w:val="0"/>
          <w:sz w:val="26"/>
        </w:rPr>
        <w:t xml:space="preserve">Bảo vệ chủ quyền dữ liệu:</w:t>
      </w:r>
      <w:r>
        <w:rPr>
          <w:rFonts w:ascii="Times New Roman" w:hAnsi="Times New Roman" w:eastAsia="Times New Roman" w:cs="Times New Roman"/>
          <w:b w:val="0"/>
          <w:i w:val="0"/>
          <w:sz w:val="26"/>
        </w:rPr>
        <w:t xml:space="preserve"> Toàn bộ hồ sơ thiết kế, bản vẽ hoàn công, mô hình BIM được lưu trữ trên máy chủ trong lãnh thổ Việt Nam.</w:t>
      </w:r>
      <w:r/>
    </w:p>
    <w:p>
      <w:pPr>
        <w:pBdr/>
        <w:spacing w:after="40" w:before="40"/>
        <w:ind w:left="360"/>
        <w:jc w:val="both"/>
        <w:rPr/>
      </w:pPr>
      <w:r>
        <w:rPr>
          <w:rFonts w:ascii="Times New Roman" w:hAnsi="Times New Roman" w:eastAsia="Times New Roman" w:cs="Times New Roman"/>
          <w:b/>
          <w:i w:val="0"/>
          <w:sz w:val="26"/>
        </w:rPr>
        <w:t xml:space="preserve">4. </w:t>
      </w:r>
      <w:r>
        <w:rPr>
          <w:rFonts w:ascii="Times New Roman" w:hAnsi="Times New Roman" w:eastAsia="Times New Roman" w:cs="Times New Roman"/>
          <w:b/>
          <w:i w:val="0"/>
          <w:sz w:val="26"/>
        </w:rPr>
        <w:t xml:space="preserve">Bản địa hóa nghiệp vụ:</w:t>
      </w:r>
      <w:r>
        <w:rPr>
          <w:rFonts w:ascii="Times New Roman" w:hAnsi="Times New Roman" w:eastAsia="Times New Roman" w:cs="Times New Roman"/>
          <w:b w:val="0"/>
          <w:i w:val="0"/>
          <w:sz w:val="26"/>
        </w:rPr>
        <w:t xml:space="preserve"> Giao diện tiếng Việt, quy trình phê duyệt phù hợp thực tiễn Ban QLDA, tích hợp sẵn biểu mẫu BEP/EIR đang áp dụng tại Việt Nam.</w:t>
      </w:r>
      <w:r/>
    </w:p>
    <w:p>
      <w:pPr>
        <w:pBdr/>
        <w:spacing w:after="40" w:before="40"/>
        <w:ind w:left="360"/>
        <w:jc w:val="both"/>
        <w:rPr/>
      </w:pPr>
      <w:r>
        <w:rPr>
          <w:rFonts w:ascii="Times New Roman" w:hAnsi="Times New Roman" w:eastAsia="Times New Roman" w:cs="Times New Roman"/>
          <w:b/>
          <w:i w:val="0"/>
          <w:sz w:val="26"/>
        </w:rPr>
        <w:t xml:space="preserve">5. </w:t>
      </w:r>
      <w:r>
        <w:rPr>
          <w:rFonts w:ascii="Times New Roman" w:hAnsi="Times New Roman" w:eastAsia="Times New Roman" w:cs="Times New Roman"/>
          <w:b/>
          <w:i w:val="0"/>
          <w:sz w:val="26"/>
        </w:rPr>
        <w:t xml:space="preserve">Hỗ trợ kỹ thuật trực tiếp:</w:t>
      </w:r>
      <w:r>
        <w:rPr>
          <w:rFonts w:ascii="Times New Roman" w:hAnsi="Times New Roman" w:eastAsia="Times New Roman" w:cs="Times New Roman"/>
          <w:b w:val="0"/>
          <w:i w:val="0"/>
          <w:sz w:val="26"/>
        </w:rPr>
        <w:t xml:space="preserve"> Đội ngũ CIC hỗ trợ tại chỗ, đào tạo trực tiếp, giải quyết vấn đề nhanh chóng — không phụ thuộc vào support quốc tế múi giờ khác.</w:t>
      </w:r>
      <w:r/>
    </w:p>
    <w:p>
      <w:pPr>
        <w:pBdr/>
        <w:spacing w:after="40" w:before="40"/>
        <w:ind w:left="360"/>
        <w:jc w:val="both"/>
        <w:rPr/>
      </w:pPr>
      <w:r>
        <w:rPr>
          <w:rFonts w:ascii="Times New Roman" w:hAnsi="Times New Roman" w:eastAsia="Times New Roman" w:cs="Times New Roman"/>
          <w:b/>
          <w:i w:val="0"/>
          <w:sz w:val="26"/>
        </w:rPr>
        <w:t xml:space="preserve">6. </w:t>
      </w:r>
      <w:r>
        <w:rPr>
          <w:rFonts w:ascii="Times New Roman" w:hAnsi="Times New Roman" w:eastAsia="Times New Roman" w:cs="Times New Roman"/>
          <w:b/>
          <w:i w:val="0"/>
          <w:sz w:val="26"/>
        </w:rPr>
        <w:t xml:space="preserve">Ưu tiên mua sắm công:</w:t>
      </w:r>
      <w:r>
        <w:rPr>
          <w:rFonts w:ascii="Times New Roman" w:hAnsi="Times New Roman" w:eastAsia="Times New Roman" w:cs="Times New Roman"/>
          <w:b w:val="0"/>
          <w:i w:val="0"/>
          <w:sz w:val="26"/>
        </w:rPr>
        <w:t xml:space="preserve"> CDE CIC hướng tới chứng nhận "Sản phẩm công nghệ số trọng điểm" theo TT 31/2025/TT-BKHCN, được ưu tiên khi sử dụng vốn ngân sách nhà nước (Điều 31 Luật Công nghiệp Công nghệ số).</w:t>
      </w:r>
      <w:r/>
    </w:p>
    <w:p>
      <w:pPr>
        <w:pBdr/>
        <w:spacing w:after="80" w:before="280" w:line="276" w:lineRule="auto"/>
        <w:ind/>
        <w:jc w:val="left"/>
        <w:rPr/>
      </w:pPr>
      <w:r>
        <w:rPr>
          <w:rFonts w:ascii="Times New Roman" w:hAnsi="Times New Roman" w:eastAsia="Times New Roman" w:cs="Times New Roman"/>
          <w:b/>
          <w:i w:val="0"/>
          <w:sz w:val="26"/>
        </w:rPr>
        <w:t xml:space="preserve">VI. CHI PHÍ KHÁI TOÁN SƠ BỘ TỔNG HỢP</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69"/>
        <w:gridCol w:w="2775"/>
        <w:gridCol w:w="1872"/>
        <w:gridCol w:w="1872"/>
        <w:gridCol w:w="1872"/>
      </w:tblGrid>
      <w:tr>
        <w:trPr/>
        <w:tc>
          <w:tcPr>
            <w:tcBorders/>
            <w:tcW w:w="969" w:type="dxa"/>
          </w:tcPr>
          <w:p>
            <w:pPr>
              <w:pBdr/>
              <w:spacing w:after="20" w:before="20" w:line="276" w:lineRule="auto"/>
              <w:ind/>
              <w:jc w:val="center"/>
              <w:rPr/>
            </w:pPr>
            <w:r>
              <w:rPr>
                <w:rFonts w:ascii="Times New Roman" w:hAnsi="Times New Roman" w:eastAsia="Times New Roman" w:cs="Times New Roman"/>
                <w:b/>
                <w:i w:val="0"/>
                <w:sz w:val="22"/>
              </w:rPr>
              <w:t xml:space="preserve">STT</w:t>
            </w:r>
            <w:r/>
          </w:p>
        </w:tc>
        <w:tc>
          <w:tcPr>
            <w:tcBorders/>
            <w:tcW w:w="2775" w:type="dxa"/>
          </w:tcPr>
          <w:p>
            <w:pPr>
              <w:pBdr/>
              <w:spacing w:after="20" w:before="20" w:line="276" w:lineRule="auto"/>
              <w:ind/>
              <w:jc w:val="center"/>
              <w:rPr/>
            </w:pPr>
            <w:r>
              <w:rPr>
                <w:rFonts w:ascii="Times New Roman" w:hAnsi="Times New Roman" w:eastAsia="Times New Roman" w:cs="Times New Roman"/>
                <w:b/>
                <w:i w:val="0"/>
                <w:sz w:val="22"/>
              </w:rPr>
              <w:t xml:space="preserve">Nội dung</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Giá trị (VNĐ)</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Số lượng</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Tổng hợp (VNĐ)</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1</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Máy tính</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70.000.000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700.000.000</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2</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Phần mềm Autodesk AEC Collection (thuê bao 1 năm)</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73.500.000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730.500.000</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3</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Phần mềm CDE CIC — Phân hệ 1 + 2 (thuê bao 1 năm, không giới hạn user)</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150.000.000</w:t>
            </w:r>
            <w:r/>
          </w:p>
        </w:tc>
        <w:tc>
          <w:tcPr>
            <w:tcBorders/>
            <w:tcW w:w="1872" w:type="dxa"/>
          </w:tcPr>
          <w:p>
            <w:pPr>
              <w:pBdr/>
              <w:spacing w:after="20" w:before="20" w:line="276" w:lineRule="auto"/>
              <w:ind/>
              <w:jc w:val="left"/>
              <w:rPr/>
            </w:pPr>
            <w:r>
              <w:rPr>
                <w:rFonts w:ascii="Times New Roman" w:hAnsi="Times New Roman" w:eastAsia="Times New Roman" w:cs="Times New Roman"/>
                <w:b w:val="0"/>
                <w:i w:val="0"/>
                <w:sz w:val="22"/>
              </w:rPr>
              <w:t xml:space="preserve">1 gói</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150.000.000</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4</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Hạ tầng Cloud CDE (Viettel Cloud / VNPT, thuê bao 1 năm)</w:t>
            </w:r>
            <w:r/>
          </w:p>
        </w:tc>
        <w:tc>
          <w:tcPr>
            <w:tcBorders/>
            <w:tcW w:w="1872" w:type="dxa"/>
          </w:tcPr>
          <w:p>
            <w:pPr>
              <w:pBdr/>
              <w:spacing w:after="20" w:before="20" w:line="276" w:lineRule="auto"/>
              <w:ind/>
              <w:jc w:val="left"/>
              <w:rPr/>
            </w:pPr>
            <w:r>
              <w:rPr>
                <w:rFonts w:ascii="Times New Roman" w:hAnsi="Times New Roman" w:eastAsia="Times New Roman" w:cs="Times New Roman"/>
                <w:b w:val="0"/>
                <w:i/>
                <w:sz w:val="22"/>
              </w:rPr>
              <w:t xml:space="preserve">(Theo nhà cung cấp)</w:t>
            </w:r>
            <w:r/>
          </w:p>
        </w:tc>
        <w:tc>
          <w:tcPr>
            <w:tcBorders/>
            <w:tcW w:w="1872" w:type="dxa"/>
          </w:tcPr>
          <w:p>
            <w:pPr>
              <w:pBdr/>
              <w:spacing w:after="20" w:before="20" w:line="276" w:lineRule="auto"/>
              <w:ind/>
              <w:jc w:val="left"/>
              <w:rPr/>
            </w:pPr>
            <w:r>
              <w:rPr>
                <w:rFonts w:ascii="Times New Roman" w:hAnsi="Times New Roman" w:eastAsia="Times New Roman" w:cs="Times New Roman"/>
                <w:b w:val="0"/>
                <w:i w:val="0"/>
                <w:sz w:val="22"/>
              </w:rPr>
              <w:t xml:space="preserve">1 gói</w:t>
            </w:r>
            <w:r/>
          </w:p>
        </w:tc>
        <w:tc>
          <w:tcPr>
            <w:tcBorders/>
            <w:tcW w:w="1872" w:type="dxa"/>
          </w:tcPr>
          <w:p>
            <w:pPr>
              <w:pBdr/>
              <w:spacing w:after="20" w:before="20" w:line="276" w:lineRule="auto"/>
              <w:ind/>
              <w:jc w:val="center"/>
              <w:rPr/>
            </w:pPr>
            <w:r>
              <w:rPr>
                <w:rFonts w:ascii="Times New Roman" w:hAnsi="Times New Roman" w:eastAsia="Times New Roman" w:cs="Times New Roman"/>
                <w:b w:val="0"/>
                <w:i/>
                <w:sz w:val="22"/>
              </w:rPr>
              <w:t xml:space="preserve">(Dự kiến 50–100 triệu)</w:t>
            </w:r>
            <w:r/>
          </w:p>
        </w:tc>
      </w:tr>
      <w:tr>
        <w:trPr/>
        <w:tc>
          <w:tcPr>
            <w:tcBorders/>
            <w:tcW w:w="969" w:type="dxa"/>
          </w:tcPr>
          <w:p>
            <w:pPr>
              <w:pBdr/>
              <w:spacing w:after="20" w:before="20" w:line="276" w:lineRule="auto"/>
              <w:ind/>
              <w:jc w:val="center"/>
              <w:rPr/>
            </w:pPr>
            <w:r/>
            <w:r/>
          </w:p>
        </w:tc>
        <w:tc>
          <w:tcPr>
            <w:tcBorders/>
            <w:tcW w:w="2775" w:type="dxa"/>
          </w:tcPr>
          <w:p>
            <w:pPr>
              <w:pBdr/>
              <w:spacing w:after="20" w:before="20" w:line="276" w:lineRule="auto"/>
              <w:ind/>
              <w:jc w:val="left"/>
              <w:rPr/>
            </w:pPr>
            <w:r>
              <w:rPr>
                <w:rFonts w:ascii="Times New Roman" w:hAnsi="Times New Roman" w:eastAsia="Times New Roman" w:cs="Times New Roman"/>
                <w:b/>
                <w:i w:val="0"/>
                <w:sz w:val="22"/>
              </w:rPr>
              <w:t xml:space="preserve">Tổng (chưa bao gồm hạ tầng Cloud)</w:t>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1.580.500.000</w:t>
            </w:r>
            <w:r/>
          </w:p>
        </w:tc>
      </w:tr>
      <w:tr>
        <w:trPr/>
        <w:tc>
          <w:tcPr>
            <w:tcBorders/>
            <w:tcW w:w="969" w:type="dxa"/>
          </w:tcPr>
          <w:p>
            <w:pPr>
              <w:pBdr/>
              <w:spacing w:after="20" w:before="20" w:line="276" w:lineRule="auto"/>
              <w:ind/>
              <w:jc w:val="center"/>
              <w:rPr/>
            </w:pPr>
            <w:r/>
            <w:r/>
          </w:p>
        </w:tc>
        <w:tc>
          <w:tcPr>
            <w:tcBorders/>
            <w:tcW w:w="2775" w:type="dxa"/>
          </w:tcPr>
          <w:p>
            <w:pPr>
              <w:pBdr/>
              <w:spacing w:after="20" w:before="20" w:line="276" w:lineRule="auto"/>
              <w:ind/>
              <w:jc w:val="left"/>
              <w:rPr/>
            </w:pPr>
            <w:r>
              <w:rPr>
                <w:rFonts w:ascii="Times New Roman" w:hAnsi="Times New Roman" w:eastAsia="Times New Roman" w:cs="Times New Roman"/>
                <w:b/>
                <w:i w:val="0"/>
                <w:sz w:val="22"/>
              </w:rPr>
              <w:t xml:space="preserve">Tổng dự kiến (bao gồm hạ tầng Cloud)</w:t>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~1.630.500.000 – 1.680.500.000</w:t>
            </w:r>
            <w:r/>
          </w:p>
        </w:tc>
      </w:tr>
    </w:tbl>
    <w:p>
      <w:pPr>
        <w:pBdr/>
        <w:spacing w:after="40" w:before="40"/>
        <w:ind w:left="720"/>
        <w:jc w:val="both"/>
        <w:rPr/>
      </w:pPr>
      <w:r>
        <w:rPr>
          <w:rFonts w:ascii="Times New Roman" w:hAnsi="Times New Roman" w:eastAsia="Times New Roman" w:cs="Times New Roman"/>
          <w:b w:val="0"/>
          <w:i/>
          <w:sz w:val="24"/>
        </w:rPr>
        <w:t xml:space="preserve">Kiến nghị: Ban Giám đốc xem xét, phê duyệt phương án triển khai đồng bộ:</w:t>
      </w:r>
      <w:r/>
    </w:p>
    <w:p>
      <w:pPr>
        <w:pBdr/>
        <w:spacing w:after="40" w:before="40"/>
        <w:ind w:left="720"/>
        <w:jc w:val="both"/>
        <w:rPr/>
      </w:pPr>
      <w:r>
        <w:rPr>
          <w:rFonts w:ascii="Times New Roman" w:hAnsi="Times New Roman" w:eastAsia="Times New Roman" w:cs="Times New Roman"/>
          <w:b w:val="0"/>
          <w:i/>
          <w:sz w:val="24"/>
        </w:rPr>
        <w:t xml:space="preserve">1. Phần cứng: 10 máy tính cấu hình BIM.</w:t>
      </w:r>
      <w:r/>
    </w:p>
    <w:p>
      <w:pPr>
        <w:pBdr/>
        <w:spacing w:after="40" w:before="40"/>
        <w:ind w:left="720"/>
        <w:jc w:val="both"/>
        <w:rPr/>
      </w:pPr>
      <w:r>
        <w:rPr>
          <w:rFonts w:ascii="Times New Roman" w:hAnsi="Times New Roman" w:eastAsia="Times New Roman" w:cs="Times New Roman"/>
          <w:b w:val="0"/>
          <w:i/>
          <w:sz w:val="24"/>
        </w:rPr>
        <w:t xml:space="preserve">2. Phần mềm tạo lập mô hình: 10 license Autodesk AEC Collection.</w:t>
      </w:r>
      <w:r/>
    </w:p>
    <w:p>
      <w:pPr>
        <w:pBdr/>
        <w:spacing w:after="40" w:before="40"/>
        <w:ind w:left="720"/>
        <w:jc w:val="both"/>
        <w:rPr/>
      </w:pPr>
      <w:r>
        <w:rPr>
          <w:rFonts w:ascii="Times New Roman" w:hAnsi="Times New Roman" w:eastAsia="Times New Roman" w:cs="Times New Roman"/>
          <w:b w:val="0"/>
          <w:i/>
          <w:sz w:val="24"/>
        </w:rPr>
        <w:t xml:space="preserve">3. Nền tảng CDE CIC (Phân hệ 1 + 2): Bản quyền phần mềm quản lý tài liệu và BIM Viewer — không giới hạn user, đáp ứng QCVN 12:2026/BCA (việc mở rộng số lượng user sẽ do Ban chủ động nâng cấp hạ tầng Cloud khi cần thiết).</w:t>
      </w:r>
      <w:r/>
    </w:p>
    <w:p>
      <w:pPr>
        <w:pBdr/>
        <w:spacing w:after="40" w:before="40"/>
        <w:ind w:left="720"/>
        <w:jc w:val="both"/>
        <w:rPr/>
      </w:pPr>
      <w:r>
        <w:rPr>
          <w:rFonts w:ascii="Times New Roman" w:hAnsi="Times New Roman" w:eastAsia="Times New Roman" w:cs="Times New Roman"/>
          <w:b w:val="0"/>
          <w:i/>
          <w:sz w:val="24"/>
        </w:rPr>
        <w:t xml:space="preserve">4. Hạ tầng Cloud: Máy chủ đặt tại Việt Nam — đáp ứng yêu cầu chủ quyền dữ liệu theo Điều 2.2.16.1.4 QCVN 12.</w:t>
      </w:r>
      <w:r/>
    </w:p>
    <w:p>
      <w:pPr>
        <w:pBdr/>
        <w:spacing w:after="40" w:before="40"/>
        <w:ind w:left="720"/>
        <w:jc w:val="both"/>
        <w:rPr/>
      </w:pPr>
      <w:r>
        <w:rPr>
          <w:rFonts w:ascii="Times New Roman" w:hAnsi="Times New Roman" w:eastAsia="Times New Roman" w:cs="Times New Roman"/>
          <w:b w:val="0"/>
          <w:i/>
          <w:sz w:val="24"/>
        </w:rPr>
        <w:t xml:space="preserve">Phương án này đảm bảo tuân thủ đầy đủ pháp luật về BIM và an ninh mạng ngay khi các quy định có hiệu lực từ 01/07/2026.</w:t>
      </w:r>
      <w:r/>
    </w:p>
    <w:p>
      <w:pPr>
        <w:pBdr/>
        <w:spacing/>
        <w:ind/>
        <w:rPr/>
      </w:pPr>
      <w:r/>
      <w:r/>
    </w:p>
    <w:p w14:paraId="704B1598">
      <w:pPr>
        <w:pBdr/>
        <w:spacing/>
        <w:ind/>
        <w:rPr/>
      </w:pPr>
      <w:r/>
    </w:p>
    <w:p>
      <w:pPr>
        <w:spacing w:before="240" w:after="240" w:lineRule="auto" w:line="276"/>
        <w:jc w:val="both"/>
      </w:pPr>
    </w:p>
    <w:p>
      <w:pPr>
        <w:spacing w:before="280" w:after="80" w:lineRule="auto" w:line="276"/>
        <w:jc w:val="left"/>
      </w:pPr>
      <w:r>
        <w:rPr>
          <w:rFonts w:ascii="Times New Roman" w:hAnsi="Times New Roman" w:cs="Times New Roman" w:eastAsia="Times New Roman"/>
          <w:b/>
          <w:i w:val="0"/>
          <w:sz w:val="26"/>
        </w:rPr>
        <w:t>V. ĐỀ XUẤT NỀN TẢNG MÔI TRƯỜNG DỮ LIỆU CHUNG (CDE) CỦA CIC — ĐÁP ỨNG QCVN 12:2026/BCA</w:t>
      </w:r>
    </w:p>
    <w:p>
      <w:pPr>
        <w:spacing w:before="200" w:after="60" w:lineRule="auto" w:line="276"/>
        <w:jc w:val="left"/>
      </w:pPr>
      <w:r>
        <w:rPr>
          <w:rFonts w:ascii="Times New Roman" w:hAnsi="Times New Roman" w:cs="Times New Roman" w:eastAsia="Times New Roman"/>
          <w:b/>
          <w:i w:val="0"/>
          <w:sz w:val="26"/>
        </w:rPr>
        <w:t>1. Sự cần thiết của nền tảng CDE nội địa</w:t>
      </w:r>
    </w:p>
    <w:p>
      <w:pPr>
        <w:spacing w:before="40" w:after="40" w:lineRule="auto" w:line="276"/>
        <w:ind w:firstLine="720"/>
        <w:jc w:val="both"/>
      </w:pPr>
      <w:r>
        <w:rPr>
          <w:rFonts w:ascii="Times New Roman" w:hAnsi="Times New Roman" w:cs="Times New Roman" w:eastAsia="Times New Roman"/>
          <w:b w:val="0"/>
          <w:i w:val="0"/>
          <w:sz w:val="26"/>
        </w:rPr>
        <w:t>Kể từ ngày 01/07/2026, hai quy định pháp lý quan trọng đồng thời có hiệu lực tạo ra yêu cầu bắt buộc đối với Ban:</w:t>
      </w:r>
    </w:p>
    <w:p>
      <w:pPr>
        <w:spacing w:before="20" w:after="20"/>
        <w:ind w:left="360"/>
        <w:jc w:val="both"/>
      </w:pPr>
      <w:r>
        <w:rPr>
          <w:rFonts w:ascii="Times New Roman" w:hAnsi="Times New Roman" w:cs="Times New Roman" w:eastAsia="Times New Roman"/>
          <w:b/>
          <w:i w:val="0"/>
          <w:sz w:val="26"/>
        </w:rPr>
        <w:t xml:space="preserve">• **Nghị định về Quản lý Hoạt động Xây dựng** </w:t>
      </w:r>
      <w:r>
        <w:rPr>
          <w:rFonts w:ascii="Times New Roman" w:hAnsi="Times New Roman" w:cs="Times New Roman" w:eastAsia="Times New Roman"/>
          <w:b w:val="0"/>
          <w:i w:val="0"/>
          <w:sz w:val="26"/>
        </w:rPr>
        <w:t xml:space="preserve">(hiệu lực 01/07/2026): Quy định Chủ đầu tư có trách nhiệm tổ chức quản lý và lưu trữ định dạng dữ liệu gốc của mô hình BIM trên </w:t>
      </w:r>
      <w:r>
        <w:rPr>
          <w:rFonts w:ascii="Times New Roman" w:hAnsi="Times New Roman" w:cs="Times New Roman" w:eastAsia="Times New Roman"/>
          <w:b/>
          <w:i w:val="0"/>
          <w:sz w:val="26"/>
        </w:rPr>
        <w:t>Môi trường dữ liệu chung (CDE)</w:t>
      </w:r>
      <w:r>
        <w:rPr>
          <w:rFonts w:ascii="Times New Roman" w:hAnsi="Times New Roman" w:cs="Times New Roman" w:eastAsia="Times New Roman"/>
          <w:b w:val="0"/>
          <w:i w:val="0"/>
          <w:sz w:val="26"/>
        </w:rPr>
        <w:t xml:space="preserve"> bằng định dạng mở IFC 4.0+. Đây là lần đầu tiên thuật ngữ "CDE" và "IFC" được đưa vào yêu cầu quản lý nhà nước.</w:t>
      </w:r>
    </w:p>
    <w:p>
      <w:pPr>
        <w:spacing w:before="20" w:after="20"/>
        <w:ind w:left="360"/>
        <w:jc w:val="both"/>
      </w:pPr>
      <w:r>
        <w:rPr>
          <w:rFonts w:ascii="Times New Roman" w:hAnsi="Times New Roman" w:cs="Times New Roman" w:eastAsia="Times New Roman"/>
          <w:b/>
          <w:i w:val="0"/>
          <w:sz w:val="26"/>
        </w:rPr>
        <w:t xml:space="preserve">• **Thông tư số 47/2026/TT-BCA** </w:t>
      </w:r>
      <w:r>
        <w:rPr>
          <w:rFonts w:ascii="Times New Roman" w:hAnsi="Times New Roman" w:cs="Times New Roman" w:eastAsia="Times New Roman"/>
          <w:b w:val="0"/>
          <w:i w:val="0"/>
          <w:sz w:val="26"/>
        </w:rPr>
        <w:t xml:space="preserve">(hiệu lực 01/07/2026): Ban hành </w:t>
      </w:r>
      <w:r>
        <w:rPr>
          <w:rFonts w:ascii="Times New Roman" w:hAnsi="Times New Roman" w:cs="Times New Roman" w:eastAsia="Times New Roman"/>
          <w:b/>
          <w:i w:val="0"/>
          <w:sz w:val="26"/>
        </w:rPr>
        <w:t>QCVN 12:2026/BCA</w:t>
      </w:r>
      <w:r>
        <w:rPr>
          <w:rFonts w:ascii="Times New Roman" w:hAnsi="Times New Roman" w:cs="Times New Roman" w:eastAsia="Times New Roman"/>
          <w:b w:val="0"/>
          <w:i w:val="0"/>
          <w:sz w:val="26"/>
        </w:rPr>
        <w:t xml:space="preserve"> — Quy chuẩn kỹ thuật quốc gia về an ninh mạng cho hệ thống thông tin lưu trữ tài liệu điện tử trong các cơ quan Đảng, Nhà nước. Quy chuẩn này bao gồm </w:t>
      </w:r>
      <w:r>
        <w:rPr>
          <w:rFonts w:ascii="Times New Roman" w:hAnsi="Times New Roman" w:cs="Times New Roman" w:eastAsia="Times New Roman"/>
          <w:b/>
          <w:i w:val="0"/>
          <w:sz w:val="26"/>
        </w:rPr>
        <w:t>22 nhóm yêu cầu kỹ thuật</w:t>
      </w:r>
      <w:r>
        <w:rPr>
          <w:rFonts w:ascii="Times New Roman" w:hAnsi="Times New Roman" w:cs="Times New Roman" w:eastAsia="Times New Roman"/>
          <w:b w:val="0"/>
          <w:i w:val="0"/>
          <w:sz w:val="26"/>
        </w:rPr>
        <w:t xml:space="preserve"> bắt buộc, trong đó có yêu cầu then chốt tại </w:t>
      </w:r>
      <w:r>
        <w:rPr>
          <w:rFonts w:ascii="Times New Roman" w:hAnsi="Times New Roman" w:cs="Times New Roman" w:eastAsia="Times New Roman"/>
          <w:b/>
          <w:i w:val="0"/>
          <w:sz w:val="26"/>
        </w:rPr>
        <w:t>Điều 2.2.16.1.4</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"Đối với nhà cung cấp dịch vụ lưu trữ, phải đặt hạ tầng vật lý hoặc trung tâm dữ liệu tại Việt Nam."</w:t>
      </w:r>
    </w:p>
    <w:p>
      <w:pPr>
        <w:spacing w:before="40" w:after="40" w:lineRule="auto" w:line="276"/>
        <w:ind w:firstLine="720"/>
        <w:jc w:val="both"/>
      </w:pPr>
      <w:r>
        <w:rPr>
          <w:rFonts w:ascii="Times New Roman" w:hAnsi="Times New Roman" w:cs="Times New Roman" w:eastAsia="Times New Roman"/>
          <w:b/>
          <w:i w:val="0"/>
          <w:sz w:val="26"/>
        </w:rPr>
        <w:t>Hệ quả trực tiếp:</w:t>
      </w:r>
      <w:r>
        <w:rPr>
          <w:rFonts w:ascii="Times New Roman" w:hAnsi="Times New Roman" w:cs="Times New Roman" w:eastAsia="Times New Roman"/>
          <w:b w:val="0"/>
          <w:i w:val="0"/>
          <w:sz w:val="26"/>
        </w:rPr>
        <w:t xml:space="preserve"> Các nền tảng CDE nước ngoài (Autodesk Construction Cloud, Fomra Data Management, Trimble Connect, BIMPlus, BIMCollab) với máy chủ đặt ngoài lãnh thổ Việt Nam </w:t>
      </w:r>
      <w:r>
        <w:rPr>
          <w:rFonts w:ascii="Times New Roman" w:hAnsi="Times New Roman" w:cs="Times New Roman" w:eastAsia="Times New Roman"/>
          <w:b/>
          <w:i w:val="0"/>
          <w:sz w:val="26"/>
        </w:rPr>
        <w:t>không đáp ứng được</w:t>
      </w:r>
      <w:r>
        <w:rPr>
          <w:rFonts w:ascii="Times New Roman" w:hAnsi="Times New Roman" w:cs="Times New Roman" w:eastAsia="Times New Roman"/>
          <w:b w:val="0"/>
          <w:i w:val="0"/>
          <w:sz w:val="26"/>
        </w:rPr>
        <w:t xml:space="preserve"> yêu cầu bắt buộc của QCVN 12:2026/BCA đối với các dự án sử dụng vốn ngân sách nhà nước. Ban QLDA — với tư cách cơ quan nhà nước — buộc phải sử dụng nền tảng CDE tuân thủ đầy đủ 22 tiêu chí an ninh mạng.</w:t>
      </w:r>
    </w:p>
    <w:p>
      <w:pPr>
        <w:spacing w:before="200" w:after="60" w:lineRule="auto" w:line="276"/>
        <w:jc w:val="left"/>
      </w:pPr>
      <w:r>
        <w:rPr>
          <w:rFonts w:ascii="Times New Roman" w:hAnsi="Times New Roman" w:cs="Times New Roman" w:eastAsia="Times New Roman"/>
          <w:b/>
          <w:i w:val="0"/>
          <w:sz w:val="26"/>
        </w:rPr>
        <w:t>2. Giới thiệu nền tảng CDE CIC</w:t>
      </w:r>
    </w:p>
    <w:p>
      <w:pPr>
        <w:spacing w:before="40" w:after="40" w:lineRule="auto" w:line="276"/>
        <w:ind w:firstLine="720"/>
        <w:jc w:val="both"/>
      </w:pPr>
      <w:r>
        <w:rPr>
          <w:rFonts w:ascii="Times New Roman" w:hAnsi="Times New Roman" w:cs="Times New Roman" w:eastAsia="Times New Roman"/>
          <w:b w:val="0"/>
          <w:i w:val="0"/>
          <w:sz w:val="26"/>
        </w:rPr>
        <w:t xml:space="preserve">Công ty Cổ phần Công nghệ và Tư vấn CIC (tiền thân Trung tâm Tin học — Bộ Xây dựng) đang phát triển nền tảng </w:t>
      </w:r>
      <w:r>
        <w:rPr>
          <w:rFonts w:ascii="Times New Roman" w:hAnsi="Times New Roman" w:cs="Times New Roman" w:eastAsia="Times New Roman"/>
          <w:b/>
          <w:i w:val="0"/>
          <w:sz w:val="26"/>
        </w:rPr>
        <w:t>CDE CIC</w:t>
      </w:r>
      <w:r>
        <w:rPr>
          <w:rFonts w:ascii="Times New Roman" w:hAnsi="Times New Roman" w:cs="Times New Roman" w:eastAsia="Times New Roman"/>
          <w:b w:val="0"/>
          <w:i w:val="0"/>
          <w:sz w:val="26"/>
        </w:rPr>
        <w:t xml:space="preserve"> — Môi trường Dữ liệu Chung BIM "Make in Vietnam" đầu tiên, được thiết kế từ đầu theo nguyên tắc </w:t>
      </w:r>
      <w:r>
        <w:rPr>
          <w:rFonts w:ascii="Times New Roman" w:hAnsi="Times New Roman" w:cs="Times New Roman" w:eastAsia="Times New Roman"/>
          <w:b/>
          <w:i w:val="0"/>
          <w:sz w:val="26"/>
        </w:rPr>
        <w:t>Security by Design</w:t>
      </w:r>
      <w:r>
        <w:rPr>
          <w:rFonts w:ascii="Times New Roman" w:hAnsi="Times New Roman" w:cs="Times New Roman" w:eastAsia="Times New Roman"/>
          <w:b w:val="0"/>
          <w:i w:val="0"/>
          <w:sz w:val="26"/>
        </w:rPr>
        <w:t xml:space="preserve"> (Bảo mật từ trong thiết kế) nhằm đáp ứng QCVN 12:2026/BCA.</w:t>
      </w:r>
    </w:p>
    <w:p>
      <w:pPr>
        <w:spacing w:before="160" w:after="40" w:lineRule="auto" w:line="276"/>
        <w:jc w:val="left"/>
      </w:pPr>
      <w:r>
        <w:rPr>
          <w:rFonts w:ascii="Times New Roman" w:hAnsi="Times New Roman" w:cs="Times New Roman" w:eastAsia="Times New Roman"/>
          <w:b/>
          <w:i/>
          <w:sz w:val="26"/>
        </w:rPr>
        <w:t>Đặc điểm nổi bật:</w:t>
      </w:r>
    </w:p>
    <w:p>
      <w:pPr>
        <w:spacing w:before="200" w:after="60" w:lineRule="auto" w:line="276"/>
        <w:jc w:val="left"/>
      </w:pPr>
      <w:r>
        <w:rPr>
          <w:rFonts w:ascii="Times New Roman" w:hAnsi="Times New Roman" w:cs="Times New Roman" w:eastAsia="Times New Roman"/>
          <w:b/>
          <w:i w:val="0"/>
          <w:sz w:val="26"/>
        </w:rPr>
        <w:t>3. Đề xuất Ban sử dụng CDE CIC — Phân hệ 1 + 2</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20" w:after="20" w:line="276" w:lineRule="auto"/>
              <w:jc w:val="center"/>
            </w:pPr>
            <w:r>
              <w:rPr>
                <w:rFonts w:ascii="Times New Roman" w:hAnsi="Times New Roman" w:cs="Times New Roman" w:eastAsia="Times New Roman"/>
                <w:b/>
                <w:i w:val="0"/>
                <w:sz w:val="22"/>
              </w:rPr>
              <w:t>Tiêu chí</w:t>
            </w:r>
          </w:p>
        </w:tc>
        <w:tc>
          <w:tcPr>
            <w:tcW w:type="dxa" w:w="3120"/>
          </w:tcPr>
          <w:p>
            <w:pPr>
              <w:spacing w:before="20" w:after="20" w:line="276" w:lineRule="auto"/>
              <w:jc w:val="center"/>
            </w:pPr>
            <w:r>
              <w:rPr>
                <w:rFonts w:ascii="Times New Roman" w:hAnsi="Times New Roman" w:cs="Times New Roman" w:eastAsia="Times New Roman"/>
                <w:b/>
                <w:i w:val="0"/>
                <w:sz w:val="22"/>
              </w:rPr>
              <w:t>CDE CIC</w:t>
            </w:r>
          </w:p>
        </w:tc>
        <w:tc>
          <w:tcPr>
            <w:tcW w:type="dxa" w:w="3120"/>
          </w:tcPr>
          <w:p>
            <w:pPr>
              <w:spacing w:before="20" w:after="20" w:line="276" w:lineRule="auto"/>
              <w:jc w:val="center"/>
            </w:pPr>
            <w:r>
              <w:rPr>
                <w:rFonts w:ascii="Times New Roman" w:hAnsi="Times New Roman" w:cs="Times New Roman" w:eastAsia="Times New Roman"/>
                <w:b/>
                <w:i w:val="0"/>
                <w:sz w:val="22"/>
              </w:rPr>
              <w:t>CDE nước ngoài (ACC, Trimble Connect, BIMPlus...)</w:t>
            </w:r>
          </w:p>
        </w:tc>
      </w:tr>
      <w:tr>
        <w:tc>
          <w:tcPr>
            <w:tcW w:type="dxa" w:w="3120"/>
          </w:tcPr>
          <w:p>
            <w:pPr>
              <w:spacing w:before="20" w:after="20" w:line="276" w:lineRule="auto"/>
              <w:jc w:val="left"/>
            </w:pPr>
            <w:r>
              <w:rPr>
                <w:rFonts w:ascii="Times New Roman" w:hAnsi="Times New Roman" w:cs="Times New Roman" w:eastAsia="Times New Roman"/>
                <w:b/>
                <w:i w:val="0"/>
                <w:sz w:val="22"/>
              </w:rPr>
              <w:t>Máy chủ đặt tại Việt Nam</w:t>
            </w:r>
            <w:r>
              <w:rPr>
                <w:rFonts w:ascii="Times New Roman" w:hAnsi="Times New Roman" w:cs="Times New Roman" w:eastAsia="Times New Roman"/>
                <w:b w:val="0"/>
                <w:i w:val="0"/>
                <w:sz w:val="22"/>
              </w:rPr>
              <w:t xml:space="preserve"> (QCVN 12, Đ.2.2.16.1.4)</w:t>
            </w:r>
          </w:p>
        </w:tc>
        <w:tc>
          <w:tcPr>
            <w:tcW w:type="dxa" w:w="3120"/>
          </w:tcPr>
          <w:p>
            <w:pPr>
              <w:spacing w:before="20" w:after="20" w:line="276" w:lineRule="auto"/>
              <w:jc w:val="left"/>
            </w:pPr>
            <w:r>
              <w:rPr>
                <w:rFonts w:ascii="Times New Roman" w:hAnsi="Times New Roman" w:cs="Times New Roman" w:eastAsia="Times New Roman"/>
                <w:b w:val="0"/>
                <w:i w:val="0"/>
                <w:sz w:val="22"/>
              </w:rPr>
              <w:t>✅ Viettel Cloud / VNPT — Tier III</w:t>
            </w:r>
          </w:p>
        </w:tc>
        <w:tc>
          <w:tcPr>
            <w:tcW w:type="dxa" w:w="3120"/>
          </w:tcPr>
          <w:p>
            <w:pPr>
              <w:spacing w:before="20" w:after="20" w:line="276" w:lineRule="auto"/>
              <w:jc w:val="left"/>
            </w:pPr>
            <w:r>
              <w:rPr>
                <w:rFonts w:ascii="Times New Roman" w:hAnsi="Times New Roman" w:cs="Times New Roman" w:eastAsia="Times New Roman"/>
                <w:b w:val="0"/>
                <w:i w:val="0"/>
                <w:sz w:val="22"/>
              </w:rPr>
              <w:t>❌ Máy chủ nước ngoài</w:t>
            </w:r>
          </w:p>
        </w:tc>
      </w:tr>
      <w:tr>
        <w:tc>
          <w:tcPr>
            <w:tcW w:type="dxa" w:w="3120"/>
          </w:tcPr>
          <w:p>
            <w:pPr>
              <w:spacing w:before="20" w:after="20" w:line="276" w:lineRule="auto"/>
              <w:jc w:val="left"/>
            </w:pPr>
            <w:r>
              <w:rPr>
                <w:rFonts w:ascii="Times New Roman" w:hAnsi="Times New Roman" w:cs="Times New Roman" w:eastAsia="Times New Roman"/>
                <w:b/>
                <w:i w:val="0"/>
                <w:sz w:val="22"/>
              </w:rPr>
              <w:t>Tuân thủ 22 tiêu chí QCVN 12</w:t>
            </w:r>
          </w:p>
        </w:tc>
        <w:tc>
          <w:tcPr>
            <w:tcW w:type="dxa" w:w="3120"/>
          </w:tcPr>
          <w:p>
            <w:pPr>
              <w:spacing w:before="20" w:after="20" w:line="276" w:lineRule="auto"/>
              <w:jc w:val="left"/>
            </w:pPr>
            <w:r>
              <w:rPr>
                <w:rFonts w:ascii="Times New Roman" w:hAnsi="Times New Roman" w:cs="Times New Roman" w:eastAsia="Times New Roman"/>
                <w:b w:val="0"/>
                <w:i w:val="0"/>
                <w:sz w:val="22"/>
              </w:rPr>
              <w:t>✅ Thiết kế kiến trúc Security by Design</w:t>
            </w:r>
          </w:p>
        </w:tc>
        <w:tc>
          <w:tcPr>
            <w:tcW w:type="dxa" w:w="3120"/>
          </w:tcPr>
          <w:p>
            <w:pPr>
              <w:spacing w:before="20" w:after="20" w:line="276" w:lineRule="auto"/>
              <w:jc w:val="left"/>
            </w:pPr>
            <w:r>
              <w:rPr>
                <w:rFonts w:ascii="Times New Roman" w:hAnsi="Times New Roman" w:cs="Times New Roman" w:eastAsia="Times New Roman"/>
                <w:b w:val="0"/>
                <w:i w:val="0"/>
                <w:sz w:val="22"/>
              </w:rPr>
              <w:t>❌ Không điều chỉnh cho VN</w:t>
            </w:r>
          </w:p>
        </w:tc>
      </w:tr>
      <w:tr>
        <w:tc>
          <w:tcPr>
            <w:tcW w:type="dxa" w:w="3120"/>
          </w:tcPr>
          <w:p>
            <w:pPr>
              <w:spacing w:before="20" w:after="20" w:line="276" w:lineRule="auto"/>
              <w:jc w:val="left"/>
            </w:pPr>
            <w:r>
              <w:rPr>
                <w:rFonts w:ascii="Times New Roman" w:hAnsi="Times New Roman" w:cs="Times New Roman" w:eastAsia="Times New Roman"/>
                <w:b/>
                <w:i w:val="0"/>
                <w:sz w:val="22"/>
              </w:rPr>
              <w:t>Chuẩn ISO 19650</w:t>
            </w:r>
            <w:r>
              <w:rPr>
                <w:rFonts w:ascii="Times New Roman" w:hAnsi="Times New Roman" w:cs="Times New Roman" w:eastAsia="Times New Roman"/>
                <w:b w:val="0"/>
                <w:i w:val="0"/>
                <w:sz w:val="22"/>
              </w:rPr>
              <w:t xml:space="preserve"> (4 vùng trạng thái: WIP → Shared → Published → Archive)</w:t>
            </w:r>
          </w:p>
        </w:tc>
        <w:tc>
          <w:tcPr>
            <w:tcW w:type="dxa" w:w="3120"/>
          </w:tcPr>
          <w:p>
            <w:pPr>
              <w:spacing w:before="20" w:after="20" w:line="276" w:lineRule="auto"/>
              <w:jc w:val="left"/>
            </w:pPr>
            <w:r>
              <w:rPr>
                <w:rFonts w:ascii="Times New Roman" w:hAnsi="Times New Roman" w:cs="Times New Roman" w:eastAsia="Times New Roman"/>
                <w:b w:val="0"/>
                <w:i w:val="0"/>
                <w:sz w:val="22"/>
              </w:rPr>
              <w:t>✅ Đầy đủ 4 vùng + 7 tiêu chí CDE</w:t>
            </w:r>
          </w:p>
        </w:tc>
        <w:tc>
          <w:tcPr>
            <w:tcW w:type="dxa" w:w="3120"/>
          </w:tcPr>
          <w:p>
            <w:pPr>
              <w:spacing w:before="20" w:after="20" w:line="276" w:lineRule="auto"/>
              <w:jc w:val="left"/>
            </w:pPr>
            <w:r>
              <w:rPr>
                <w:rFonts w:ascii="Times New Roman" w:hAnsi="Times New Roman" w:cs="Times New Roman" w:eastAsia="Times New Roman"/>
                <w:b w:val="0"/>
                <w:i w:val="0"/>
                <w:sz w:val="22"/>
              </w:rPr>
              <w:t>✅ Có (nhưng không bản địa hóa nghiệp vụ VN)</w:t>
            </w:r>
          </w:p>
        </w:tc>
      </w:tr>
      <w:tr>
        <w:tc>
          <w:tcPr>
            <w:tcW w:type="dxa" w:w="3120"/>
          </w:tcPr>
          <w:p>
            <w:pPr>
              <w:spacing w:before="20" w:after="20" w:line="276" w:lineRule="auto"/>
              <w:jc w:val="left"/>
            </w:pPr>
            <w:r>
              <w:rPr>
                <w:rFonts w:ascii="Times New Roman" w:hAnsi="Times New Roman" w:cs="Times New Roman" w:eastAsia="Times New Roman"/>
                <w:b/>
                <w:i w:val="0"/>
                <w:sz w:val="22"/>
              </w:rPr>
              <w:t>Định dạng mở IFC 4.0+</w:t>
            </w:r>
          </w:p>
        </w:tc>
        <w:tc>
          <w:tcPr>
            <w:tcW w:type="dxa" w:w="3120"/>
          </w:tcPr>
          <w:p>
            <w:pPr>
              <w:spacing w:before="20" w:after="20" w:line="276" w:lineRule="auto"/>
              <w:jc w:val="left"/>
            </w:pPr>
            <w:r>
              <w:rPr>
                <w:rFonts w:ascii="Times New Roman" w:hAnsi="Times New Roman" w:cs="Times New Roman" w:eastAsia="Times New Roman"/>
                <w:b w:val="0"/>
                <w:i w:val="0"/>
                <w:sz w:val="22"/>
              </w:rPr>
              <w:t>✅ Engine OpenBIM tự chủ mã nguồn (ThatOpen + xeokit)</w:t>
            </w:r>
          </w:p>
        </w:tc>
        <w:tc>
          <w:tcPr>
            <w:tcW w:type="dxa" w:w="3120"/>
          </w:tcPr>
          <w:p>
            <w:pPr>
              <w:spacing w:before="20" w:after="20" w:line="276" w:lineRule="auto"/>
              <w:jc w:val="left"/>
            </w:pPr>
            <w:r>
              <w:rPr>
                <w:rFonts w:ascii="Times New Roman" w:hAnsi="Times New Roman" w:cs="Times New Roman" w:eastAsia="Times New Roman"/>
                <w:b w:val="0"/>
                <w:i w:val="0"/>
                <w:sz w:val="22"/>
              </w:rPr>
              <w:t>⚠️ Ưu tiên định dạng đóng (.rvt, .nwd)</w:t>
            </w:r>
          </w:p>
        </w:tc>
      </w:tr>
      <w:tr>
        <w:tc>
          <w:tcPr>
            <w:tcW w:type="dxa" w:w="3120"/>
          </w:tcPr>
          <w:p>
            <w:pPr>
              <w:spacing w:before="20" w:after="20" w:line="276" w:lineRule="auto"/>
              <w:jc w:val="left"/>
            </w:pPr>
            <w:r>
              <w:rPr>
                <w:rFonts w:ascii="Times New Roman" w:hAnsi="Times New Roman" w:cs="Times New Roman" w:eastAsia="Times New Roman"/>
                <w:b/>
                <w:i w:val="0"/>
                <w:sz w:val="22"/>
              </w:rPr>
              <w:t>Liên thông CSDL quốc gia</w:t>
            </w:r>
            <w:r>
              <w:rPr>
                <w:rFonts w:ascii="Times New Roman" w:hAnsi="Times New Roman" w:cs="Times New Roman" w:eastAsia="Times New Roman"/>
                <w:b w:val="0"/>
                <w:i w:val="0"/>
                <w:sz w:val="22"/>
              </w:rPr>
              <w:t xml:space="preserve"> (NDXP, mã dự án 13 ký tự theo TT 24/2025/TT-BXD)</w:t>
            </w:r>
          </w:p>
        </w:tc>
        <w:tc>
          <w:tcPr>
            <w:tcW w:type="dxa" w:w="3120"/>
          </w:tcPr>
          <w:p>
            <w:pPr>
              <w:spacing w:before="20" w:after="20" w:line="276" w:lineRule="auto"/>
              <w:jc w:val="left"/>
            </w:pPr>
            <w:r>
              <w:rPr>
                <w:rFonts w:ascii="Times New Roman" w:hAnsi="Times New Roman" w:cs="Times New Roman" w:eastAsia="Times New Roman"/>
                <w:b w:val="0"/>
                <w:i w:val="0"/>
                <w:sz w:val="22"/>
              </w:rPr>
              <w:t>✅ Tích hợp API sẵn</w:t>
            </w:r>
          </w:p>
        </w:tc>
        <w:tc>
          <w:tcPr>
            <w:tcW w:type="dxa" w:w="3120"/>
          </w:tcPr>
          <w:p>
            <w:pPr>
              <w:spacing w:before="20" w:after="20" w:line="276" w:lineRule="auto"/>
              <w:jc w:val="left"/>
            </w:pPr>
            <w:r>
              <w:rPr>
                <w:rFonts w:ascii="Times New Roman" w:hAnsi="Times New Roman" w:cs="Times New Roman" w:eastAsia="Times New Roman"/>
                <w:b w:val="0"/>
                <w:i w:val="0"/>
                <w:sz w:val="22"/>
              </w:rPr>
              <w:t>❌ Không hỗ trợ</w:t>
            </w:r>
          </w:p>
        </w:tc>
      </w:tr>
      <w:tr>
        <w:tc>
          <w:tcPr>
            <w:tcW w:type="dxa" w:w="3120"/>
          </w:tcPr>
          <w:p>
            <w:pPr>
              <w:spacing w:before="20" w:after="20" w:line="276" w:lineRule="auto"/>
              <w:jc w:val="left"/>
            </w:pPr>
            <w:r>
              <w:rPr>
                <w:rFonts w:ascii="Times New Roman" w:hAnsi="Times New Roman" w:cs="Times New Roman" w:eastAsia="Times New Roman"/>
                <w:b/>
                <w:i w:val="0"/>
                <w:sz w:val="22"/>
              </w:rPr>
              <w:t>Mã hóa, MFA, RBAC, SIEM, WORM</w:t>
            </w:r>
            <w:r>
              <w:rPr>
                <w:rFonts w:ascii="Times New Roman" w:hAnsi="Times New Roman" w:cs="Times New Roman" w:eastAsia="Times New Roman"/>
                <w:b w:val="0"/>
                <w:i w:val="0"/>
                <w:sz w:val="22"/>
              </w:rPr>
              <w:t xml:space="preserve"> (QCVN 12 Đ.2.2.7, 2.2.9, 2.2.22)</w:t>
            </w:r>
          </w:p>
        </w:tc>
        <w:tc>
          <w:tcPr>
            <w:tcW w:type="dxa" w:w="3120"/>
          </w:tcPr>
          <w:p>
            <w:pPr>
              <w:spacing w:before="20" w:after="20" w:line="276" w:lineRule="auto"/>
              <w:jc w:val="left"/>
            </w:pPr>
            <w:r>
              <w:rPr>
                <w:rFonts w:ascii="Times New Roman" w:hAnsi="Times New Roman" w:cs="Times New Roman" w:eastAsia="Times New Roman"/>
                <w:b w:val="0"/>
                <w:i w:val="0"/>
                <w:sz w:val="22"/>
              </w:rPr>
              <w:t>✅ Đầy đủ</w:t>
            </w:r>
          </w:p>
        </w:tc>
        <w:tc>
          <w:tcPr>
            <w:tcW w:type="dxa" w:w="3120"/>
          </w:tcPr>
          <w:p>
            <w:pPr>
              <w:spacing w:before="20" w:after="20" w:line="276" w:lineRule="auto"/>
              <w:jc w:val="left"/>
            </w:pPr>
            <w:r>
              <w:rPr>
                <w:rFonts w:ascii="Times New Roman" w:hAnsi="Times New Roman" w:cs="Times New Roman" w:eastAsia="Times New Roman"/>
                <w:b w:val="0"/>
                <w:i w:val="0"/>
                <w:sz w:val="22"/>
              </w:rPr>
              <w:t>⚠️ Có MFA, RBAC nhưng không WORM/SIEM theo chuẩn VN</w:t>
            </w:r>
          </w:p>
        </w:tc>
      </w:tr>
      <w:tr>
        <w:tc>
          <w:tcPr>
            <w:tcW w:type="dxa" w:w="3120"/>
          </w:tcPr>
          <w:p>
            <w:pPr>
              <w:spacing w:before="20" w:after="20" w:line="276" w:lineRule="auto"/>
              <w:jc w:val="left"/>
            </w:pPr>
            <w:r>
              <w:rPr>
                <w:rFonts w:ascii="Times New Roman" w:hAnsi="Times New Roman" w:cs="Times New Roman" w:eastAsia="Times New Roman"/>
                <w:b/>
                <w:i w:val="0"/>
                <w:sz w:val="22"/>
              </w:rPr>
              <w:t>Dấu thời gian (Timestamping)</w:t>
            </w:r>
            <w:r>
              <w:rPr>
                <w:rFonts w:ascii="Times New Roman" w:hAnsi="Times New Roman" w:cs="Times New Roman" w:eastAsia="Times New Roman"/>
                <w:b w:val="0"/>
                <w:i w:val="0"/>
                <w:sz w:val="22"/>
              </w:rPr>
              <w:t xml:space="preserve"> (QCVN 12 Đ.2.2.22)</w:t>
            </w:r>
          </w:p>
        </w:tc>
        <w:tc>
          <w:tcPr>
            <w:tcW w:type="dxa" w:w="3120"/>
          </w:tcPr>
          <w:p>
            <w:pPr>
              <w:spacing w:before="20" w:after="20" w:line="276" w:lineRule="auto"/>
              <w:jc w:val="left"/>
            </w:pPr>
            <w:r>
              <w:rPr>
                <w:rFonts w:ascii="Times New Roman" w:hAnsi="Times New Roman" w:cs="Times New Roman" w:eastAsia="Times New Roman"/>
                <w:b w:val="0"/>
                <w:i w:val="0"/>
                <w:sz w:val="22"/>
              </w:rPr>
              <w:t>✅ UTC chuẩn xác, Audit Trail bất biến</w:t>
            </w:r>
          </w:p>
        </w:tc>
        <w:tc>
          <w:tcPr>
            <w:tcW w:type="dxa" w:w="3120"/>
          </w:tcPr>
          <w:p>
            <w:pPr>
              <w:spacing w:before="20" w:after="20" w:line="276" w:lineRule="auto"/>
              <w:jc w:val="left"/>
            </w:pPr>
            <w:r>
              <w:rPr>
                <w:rFonts w:ascii="Times New Roman" w:hAnsi="Times New Roman" w:cs="Times New Roman" w:eastAsia="Times New Roman"/>
                <w:b w:val="0"/>
                <w:i w:val="0"/>
                <w:sz w:val="22"/>
              </w:rPr>
              <w:t>⚠️ Có nhưng không chứng nhận theo pháp luật VN</w:t>
            </w:r>
          </w:p>
        </w:tc>
      </w:tr>
      <w:tr>
        <w:tc>
          <w:tcPr>
            <w:tcW w:type="dxa" w:w="3120"/>
          </w:tcPr>
          <w:p>
            <w:pPr>
              <w:spacing w:before="20" w:after="20" w:line="276" w:lineRule="auto"/>
              <w:jc w:val="left"/>
            </w:pPr>
            <w:r>
              <w:rPr>
                <w:rFonts w:ascii="Times New Roman" w:hAnsi="Times New Roman" w:cs="Times New Roman" w:eastAsia="Times New Roman"/>
                <w:b/>
                <w:i w:val="0"/>
                <w:sz w:val="22"/>
              </w:rPr>
              <w:t>Hỗ trợ tiếng Việt &amp; nghiệp vụ BEP/EIR nội địa</w:t>
            </w:r>
          </w:p>
        </w:tc>
        <w:tc>
          <w:tcPr>
            <w:tcW w:type="dxa" w:w="3120"/>
          </w:tcPr>
          <w:p>
            <w:pPr>
              <w:spacing w:before="20" w:after="20" w:line="276" w:lineRule="auto"/>
              <w:jc w:val="left"/>
            </w:pPr>
            <w:r>
              <w:rPr>
                <w:rFonts w:ascii="Times New Roman" w:hAnsi="Times New Roman" w:cs="Times New Roman" w:eastAsia="Times New Roman"/>
                <w:b w:val="0"/>
                <w:i w:val="0"/>
                <w:sz w:val="22"/>
              </w:rPr>
              <w:t>✅ Hoàn toàn</w:t>
            </w:r>
          </w:p>
        </w:tc>
        <w:tc>
          <w:tcPr>
            <w:tcW w:type="dxa" w:w="3120"/>
          </w:tcPr>
          <w:p>
            <w:pPr>
              <w:spacing w:before="20" w:after="20" w:line="276" w:lineRule="auto"/>
              <w:jc w:val="left"/>
            </w:pPr>
            <w:r>
              <w:rPr>
                <w:rFonts w:ascii="Times New Roman" w:hAnsi="Times New Roman" w:cs="Times New Roman" w:eastAsia="Times New Roman"/>
                <w:b w:val="0"/>
                <w:i w:val="0"/>
                <w:sz w:val="22"/>
              </w:rPr>
              <w:t>❌ Giao diện tiếng Anh, không bản địa hóa</w:t>
            </w:r>
          </w:p>
        </w:tc>
      </w:tr>
      <w:tr>
        <w:tc>
          <w:tcPr>
            <w:tcW w:type="dxa" w:w="3120"/>
          </w:tcPr>
          <w:p>
            <w:pPr>
              <w:spacing w:before="20" w:after="20" w:line="276" w:lineRule="auto"/>
              <w:jc w:val="left"/>
            </w:pPr>
            <w:r>
              <w:rPr>
                <w:rFonts w:ascii="Times New Roman" w:hAnsi="Times New Roman" w:cs="Times New Roman" w:eastAsia="Times New Roman"/>
                <w:b/>
                <w:i w:val="0"/>
                <w:sz w:val="22"/>
              </w:rPr>
              <w:t>Mô hình chi phí</w:t>
            </w:r>
          </w:p>
        </w:tc>
        <w:tc>
          <w:tcPr>
            <w:tcW w:type="dxa" w:w="3120"/>
          </w:tcPr>
          <w:p>
            <w:pPr>
              <w:spacing w:before="20" w:after="20" w:line="276" w:lineRule="auto"/>
              <w:jc w:val="center"/>
            </w:pPr>
            <w:r>
              <w:rPr>
                <w:rFonts w:ascii="Times New Roman" w:hAnsi="Times New Roman" w:cs="Times New Roman" w:eastAsia="Times New Roman"/>
                <w:b/>
                <w:i w:val="0"/>
                <w:sz w:val="22"/>
              </w:rPr>
              <w:t>Tách riêng</w:t>
            </w:r>
            <w:r>
              <w:rPr>
                <w:rFonts w:ascii="Times New Roman" w:hAnsi="Times New Roman" w:cs="Times New Roman" w:eastAsia="Times New Roman"/>
                <w:b w:val="0"/>
                <w:i w:val="0"/>
                <w:sz w:val="22"/>
              </w:rPr>
              <w:t>: Hạ tầng (Ban chi trả) + Phần mềm CDE (~150 triệu/năm) — không tính theo đầu user</w:t>
            </w:r>
          </w:p>
        </w:tc>
        <w:tc>
          <w:tcPr>
            <w:tcW w:type="dxa" w:w="3120"/>
          </w:tcPr>
          <w:p>
            <w:pPr>
              <w:spacing w:before="20" w:after="20" w:line="276" w:lineRule="auto"/>
              <w:jc w:val="center"/>
            </w:pPr>
            <w:r>
              <w:rPr>
                <w:rFonts w:ascii="Times New Roman" w:hAnsi="Times New Roman" w:cs="Times New Roman" w:eastAsia="Times New Roman"/>
                <w:b w:val="0"/>
                <w:i w:val="0"/>
                <w:sz w:val="22"/>
              </w:rPr>
              <w:t>Đắt — tính theo user (1,5–2,5 triệu VNĐ/user/tháng × số user)</w:t>
            </w:r>
          </w:p>
        </w:tc>
      </w:tr>
    </w:tbl>
    <w:p>
      <w:pPr>
        <w:spacing w:before="40" w:after="40" w:lineRule="auto" w:line="276"/>
        <w:ind w:firstLine="720"/>
        <w:jc w:val="both"/>
      </w:pPr>
      <w:r>
        <w:rPr>
          <w:rFonts w:ascii="Times New Roman" w:hAnsi="Times New Roman" w:cs="Times New Roman" w:eastAsia="Times New Roman"/>
          <w:b w:val="0"/>
          <w:i w:val="0"/>
          <w:sz w:val="26"/>
        </w:rPr>
        <w:t xml:space="preserve">Chúng tôi đề xuất Ban triển khai nền tảng CDE CIC với </w:t>
      </w:r>
      <w:r>
        <w:rPr>
          <w:rFonts w:ascii="Times New Roman" w:hAnsi="Times New Roman" w:cs="Times New Roman" w:eastAsia="Times New Roman"/>
          <w:b/>
          <w:i w:val="0"/>
          <w:sz w:val="26"/>
        </w:rPr>
        <w:t>02 phân hệ lõi</w:t>
      </w:r>
      <w:r>
        <w:rPr>
          <w:rFonts w:ascii="Times New Roman" w:hAnsi="Times New Roman" w:cs="Times New Roman" w:eastAsia="Times New Roman"/>
          <w:b w:val="0"/>
          <w:i w:val="0"/>
          <w:sz w:val="26"/>
        </w:rPr>
        <w:t xml:space="preserve"> trong giai đoạn đầu, đáp ứng đầy đủ yêu cầu pháp lý và nghiệp vụ:</w:t>
      </w:r>
    </w:p>
    <w:p>
      <w:pPr>
        <w:spacing w:before="160" w:after="40" w:lineRule="auto" w:line="276"/>
        <w:jc w:val="left"/>
      </w:pPr>
      <w:r>
        <w:rPr>
          <w:rFonts w:ascii="Times New Roman" w:hAnsi="Times New Roman" w:cs="Times New Roman" w:eastAsia="Times New Roman"/>
          <w:b/>
          <w:i/>
          <w:sz w:val="26"/>
        </w:rPr>
        <w:t>Phân hệ 1: Quản lý Tài liệu và Luồng Phê duyệt (Document &amp; Workflow Management)</w:t>
      </w:r>
    </w:p>
    <w:p>
      <w:pPr>
        <w:spacing w:before="40" w:after="40" w:lineRule="auto" w:line="276"/>
        <w:ind w:firstLine="720"/>
        <w:jc w:val="both"/>
      </w:pPr>
      <w:r>
        <w:rPr>
          <w:rFonts w:ascii="Times New Roman" w:hAnsi="Times New Roman" w:cs="Times New Roman" w:eastAsia="Times New Roman"/>
          <w:b w:val="0"/>
          <w:i w:val="0"/>
          <w:sz w:val="26"/>
        </w:rPr>
        <w:t>Module lõi của CDE theo ISO 19650, cung cấp:</w:t>
      </w:r>
    </w:p>
    <w:p>
      <w:pPr>
        <w:spacing w:before="20" w:after="20"/>
        <w:ind w:left="360"/>
        <w:jc w:val="both"/>
      </w:pPr>
      <w:r>
        <w:rPr>
          <w:rFonts w:ascii="Times New Roman" w:hAnsi="Times New Roman" w:cs="Times New Roman" w:eastAsia="Times New Roman"/>
          <w:b/>
          <w:i w:val="0"/>
          <w:sz w:val="26"/>
        </w:rPr>
        <w:t xml:space="preserve">• **Quản lý vòng đời tài liệu 4 trạng thái**: </w:t>
      </w:r>
      <w:r>
        <w:rPr>
          <w:rFonts w:ascii="Times New Roman" w:hAnsi="Times New Roman" w:cs="Times New Roman" w:eastAsia="Times New Roman"/>
          <w:b w:val="0"/>
          <w:i w:val="0"/>
          <w:sz w:val="26"/>
        </w:rPr>
        <w:t>WIP (S0) → Shared (S1) → Published (S2) → Archive (S3) với kiểm soát cổng duyệt (Gate 1, Gate 2) rõ ràng.</w:t>
      </w:r>
    </w:p>
    <w:p>
      <w:pPr>
        <w:spacing w:before="20" w:after="20"/>
        <w:ind w:left="360"/>
        <w:jc w:val="both"/>
      </w:pPr>
      <w:r>
        <w:rPr>
          <w:rFonts w:ascii="Times New Roman" w:hAnsi="Times New Roman" w:cs="Times New Roman" w:eastAsia="Times New Roman"/>
          <w:b/>
          <w:i w:val="0"/>
          <w:sz w:val="26"/>
        </w:rPr>
        <w:t xml:space="preserve">• **Đặt tên tài liệu chuẩn ISO 19650**: </w:t>
      </w:r>
      <w:r>
        <w:rPr>
          <w:rFonts w:ascii="Times New Roman" w:hAnsi="Times New Roman" w:cs="Times New Roman" w:eastAsia="Times New Roman"/>
          <w:b w:val="0"/>
          <w:i w:val="0"/>
          <w:sz w:val="26"/>
        </w:rPr>
        <w:t>`[Dự án]-[Đơn vị]-[Khối]-[Tầng]-[Loại]-[Bộ môn]-[Số hiệu]`.</w:t>
      </w:r>
    </w:p>
    <w:p>
      <w:pPr>
        <w:spacing w:before="20" w:after="20"/>
        <w:ind w:left="360"/>
        <w:jc w:val="both"/>
      </w:pPr>
      <w:r>
        <w:rPr>
          <w:rFonts w:ascii="Times New Roman" w:hAnsi="Times New Roman" w:cs="Times New Roman" w:eastAsia="Times New Roman"/>
          <w:b/>
          <w:i w:val="0"/>
          <w:sz w:val="26"/>
        </w:rPr>
        <w:t xml:space="preserve">• **Quản lý phiên bản tự động**: </w:t>
      </w:r>
      <w:r>
        <w:rPr>
          <w:rFonts w:ascii="Times New Roman" w:hAnsi="Times New Roman" w:cs="Times New Roman" w:eastAsia="Times New Roman"/>
          <w:b w:val="0"/>
          <w:i w:val="0"/>
          <w:sz w:val="26"/>
        </w:rPr>
        <w:t>Tăng revision P01→P02... (bản nháp) → C01, C02... (bản chính thức) khi xuất bản.</w:t>
      </w:r>
    </w:p>
    <w:p>
      <w:pPr>
        <w:spacing w:before="20" w:after="20"/>
        <w:ind w:left="360"/>
        <w:jc w:val="both"/>
      </w:pPr>
      <w:r>
        <w:rPr>
          <w:rFonts w:ascii="Times New Roman" w:hAnsi="Times New Roman" w:cs="Times New Roman" w:eastAsia="Times New Roman"/>
          <w:b/>
          <w:i w:val="0"/>
          <w:sz w:val="26"/>
        </w:rPr>
        <w:t xml:space="preserve">• **Lịch sử phiên bản hoàn chỉnh**: </w:t>
      </w:r>
      <w:r>
        <w:rPr>
          <w:rFonts w:ascii="Times New Roman" w:hAnsi="Times New Roman" w:cs="Times New Roman" w:eastAsia="Times New Roman"/>
          <w:b w:val="0"/>
          <w:i w:val="0"/>
          <w:sz w:val="26"/>
        </w:rPr>
        <w:t>Snapshot mỗi lần tải lên/đổi trạng thái/thay đổi revision, tạo Audit Trail bất biến đáp ứng QCVN 12 (Mục 2.2.22 — Dấu thời gian).</w:t>
      </w:r>
    </w:p>
    <w:p>
      <w:pPr>
        <w:spacing w:before="20" w:after="20"/>
        <w:ind w:left="360"/>
        <w:jc w:val="both"/>
      </w:pPr>
      <w:r>
        <w:rPr>
          <w:rFonts w:ascii="Times New Roman" w:hAnsi="Times New Roman" w:cs="Times New Roman" w:eastAsia="Times New Roman"/>
          <w:b/>
          <w:i w:val="0"/>
          <w:sz w:val="26"/>
        </w:rPr>
        <w:t xml:space="preserve">• **Phân quyền theo vai trò (RBAC)**: </w:t>
      </w:r>
      <w:r>
        <w:rPr>
          <w:rFonts w:ascii="Times New Roman" w:hAnsi="Times New Roman" w:cs="Times New Roman" w:eastAsia="Times New Roman"/>
          <w:b w:val="0"/>
          <w:i w:val="0"/>
          <w:sz w:val="26"/>
        </w:rPr>
        <w:t>Author / Checker / Approver / Manager / Viewer — gate duyệt/phát hành/lưu trữ phân quyền rõ ràng, đáp ứng QCVN 12 (Mục 2.2.7).</w:t>
      </w:r>
    </w:p>
    <w:p>
      <w:pPr>
        <w:spacing w:before="20" w:after="20"/>
        <w:ind w:left="360"/>
        <w:jc w:val="both"/>
      </w:pPr>
      <w:r>
        <w:rPr>
          <w:rFonts w:ascii="Times New Roman" w:hAnsi="Times New Roman" w:cs="Times New Roman" w:eastAsia="Times New Roman"/>
          <w:b/>
          <w:i w:val="0"/>
          <w:sz w:val="26"/>
        </w:rPr>
        <w:t xml:space="preserve">• **Upload file thật + Hash SHA-256**: </w:t>
      </w:r>
      <w:r>
        <w:rPr>
          <w:rFonts w:ascii="Times New Roman" w:hAnsi="Times New Roman" w:cs="Times New Roman" w:eastAsia="Times New Roman"/>
          <w:b w:val="0"/>
          <w:i w:val="0"/>
          <w:sz w:val="26"/>
        </w:rPr>
        <w:t>Mỗi tài liệu được băm SHA-256 để bảo vệ tính toàn vẹn, đáp ứng QCVN 12 (Mục 2.2.5.4.2).</w:t>
      </w:r>
    </w:p>
    <w:p>
      <w:pPr>
        <w:spacing w:before="20" w:after="20"/>
        <w:ind w:left="360"/>
        <w:jc w:val="both"/>
      </w:pPr>
      <w:r>
        <w:rPr>
          <w:rFonts w:ascii="Times New Roman" w:hAnsi="Times New Roman" w:cs="Times New Roman" w:eastAsia="Times New Roman"/>
          <w:b/>
          <w:i w:val="0"/>
          <w:sz w:val="26"/>
        </w:rPr>
        <w:t xml:space="preserve">• **Kế hoạch bàn giao thông tin (MIDP/TIDP)**: </w:t>
      </w:r>
      <w:r>
        <w:rPr>
          <w:rFonts w:ascii="Times New Roman" w:hAnsi="Times New Roman" w:cs="Times New Roman" w:eastAsia="Times New Roman"/>
          <w:b w:val="0"/>
          <w:i w:val="0"/>
          <w:sz w:val="26"/>
        </w:rPr>
        <w:t>Quản lý nhiệm vụ bàn giao theo bộ môn, định dạng, mốc thời gian, thời hạn, phụ trách — cảnh báo trễ hạn tự động.</w:t>
      </w:r>
    </w:p>
    <w:p>
      <w:pPr>
        <w:spacing w:before="20" w:after="20"/>
        <w:ind w:left="360"/>
        <w:jc w:val="both"/>
      </w:pPr>
      <w:r>
        <w:rPr>
          <w:rFonts w:ascii="Times New Roman" w:hAnsi="Times New Roman" w:cs="Times New Roman" w:eastAsia="Times New Roman"/>
          <w:b/>
          <w:i w:val="0"/>
          <w:sz w:val="26"/>
        </w:rPr>
        <w:t xml:space="preserve">• **Mã hóa dữ liệu** </w:t>
      </w:r>
      <w:r>
        <w:rPr>
          <w:rFonts w:ascii="Times New Roman" w:hAnsi="Times New Roman" w:cs="Times New Roman" w:eastAsia="Times New Roman"/>
          <w:b w:val="0"/>
          <w:i w:val="0"/>
          <w:sz w:val="26"/>
        </w:rPr>
        <w:t>lưu trữ và truyền tải, đáp ứng QCVN 12 (Mục 2.2.16.2).</w:t>
      </w:r>
    </w:p>
    <w:p>
      <w:pPr>
        <w:spacing w:before="160" w:after="40" w:lineRule="auto" w:line="276"/>
        <w:jc w:val="left"/>
      </w:pPr>
      <w:r>
        <w:rPr>
          <w:rFonts w:ascii="Times New Roman" w:hAnsi="Times New Roman" w:cs="Times New Roman" w:eastAsia="Times New Roman"/>
          <w:b/>
          <w:i/>
          <w:sz w:val="26"/>
        </w:rPr>
        <w:t>Phân hệ 2: Trình xem và Phối hợp Mô hình 3D (BIM 3D/IFC Viewer &amp; Coordination)</w:t>
      </w:r>
    </w:p>
    <w:p>
      <w:pPr>
        <w:spacing w:before="40" w:after="40" w:lineRule="auto" w:line="276"/>
        <w:ind w:firstLine="720"/>
        <w:jc w:val="both"/>
      </w:pPr>
      <w:r>
        <w:rPr>
          <w:rFonts w:ascii="Times New Roman" w:hAnsi="Times New Roman" w:cs="Times New Roman" w:eastAsia="Times New Roman"/>
          <w:b w:val="0"/>
          <w:i w:val="0"/>
          <w:sz w:val="26"/>
        </w:rPr>
        <w:t>Hỗ trợ đắc lực cho công tác trực quan hóa và phối hợp mô hình BIM 3D trực tiếp trên trình duyệt Web:</w:t>
      </w:r>
    </w:p>
    <w:p>
      <w:pPr>
        <w:spacing w:before="20" w:after="20"/>
        <w:ind w:left="360"/>
        <w:jc w:val="both"/>
      </w:pPr>
      <w:r>
        <w:rPr>
          <w:rFonts w:ascii="Times New Roman" w:hAnsi="Times New Roman" w:cs="Times New Roman" w:eastAsia="Times New Roman"/>
          <w:b/>
          <w:i w:val="0"/>
          <w:sz w:val="26"/>
        </w:rPr>
        <w:t xml:space="preserve">• **BIM Viewer trên trình duyệt Web** </w:t>
      </w:r>
      <w:r>
        <w:rPr>
          <w:rFonts w:ascii="Times New Roman" w:hAnsi="Times New Roman" w:cs="Times New Roman" w:eastAsia="Times New Roman"/>
          <w:b w:val="0"/>
          <w:i w:val="0"/>
          <w:sz w:val="26"/>
        </w:rPr>
        <w:t xml:space="preserve">(không cần cài đặt phần mềm): Đọc mượt mà định dạng chuẩn mở </w:t>
      </w:r>
      <w:r>
        <w:rPr>
          <w:rFonts w:ascii="Times New Roman" w:hAnsi="Times New Roman" w:cs="Times New Roman" w:eastAsia="Times New Roman"/>
          <w:b/>
          <w:i w:val="0"/>
          <w:sz w:val="26"/>
        </w:rPr>
        <w:t>IFC 4.0+</w:t>
      </w:r>
      <w:r>
        <w:rPr>
          <w:rFonts w:ascii="Times New Roman" w:hAnsi="Times New Roman" w:cs="Times New Roman" w:eastAsia="Times New Roman"/>
          <w:b w:val="0"/>
          <w:i w:val="0"/>
          <w:sz w:val="26"/>
        </w:rPr>
        <w:t xml:space="preserve"> trên engine OpenBIM tự chủ mã nguồn (ThatOpen Engine / WebGL).</w:t>
      </w:r>
    </w:p>
    <w:p>
      <w:pPr>
        <w:spacing w:before="20" w:after="20"/>
        <w:ind w:left="360"/>
        <w:jc w:val="both"/>
      </w:pPr>
      <w:r>
        <w:rPr>
          <w:rFonts w:ascii="Times New Roman" w:hAnsi="Times New Roman" w:cs="Times New Roman" w:eastAsia="Times New Roman"/>
          <w:b/>
          <w:i w:val="0"/>
          <w:sz w:val="26"/>
        </w:rPr>
        <w:t xml:space="preserve">• **Navigation đầy đủ**: </w:t>
      </w:r>
      <w:r>
        <w:rPr>
          <w:rFonts w:ascii="Times New Roman" w:hAnsi="Times New Roman" w:cs="Times New Roman" w:eastAsia="Times New Roman"/>
          <w:b w:val="0"/>
          <w:i w:val="0"/>
          <w:sz w:val="26"/>
        </w:rPr>
        <w:t>Orbit, pan, zoom, section planes, chế độ Bay (WASD + Q/E + Shift 2x).</w:t>
      </w:r>
    </w:p>
    <w:p>
      <w:pPr>
        <w:spacing w:before="20" w:after="20"/>
        <w:ind w:left="360"/>
        <w:jc w:val="both"/>
      </w:pPr>
      <w:r>
        <w:rPr>
          <w:rFonts w:ascii="Times New Roman" w:hAnsi="Times New Roman" w:cs="Times New Roman" w:eastAsia="Times New Roman"/>
          <w:b/>
          <w:i w:val="0"/>
          <w:sz w:val="26"/>
        </w:rPr>
        <w:t xml:space="preserve">• **Phối hợp đa mô hình (Model Federation)**: </w:t>
      </w:r>
      <w:r>
        <w:rPr>
          <w:rFonts w:ascii="Times New Roman" w:hAnsi="Times New Roman" w:cs="Times New Roman" w:eastAsia="Times New Roman"/>
          <w:b w:val="0"/>
          <w:i w:val="0"/>
          <w:sz w:val="26"/>
        </w:rPr>
        <w:t>Tải nhiều model IFC cùng lúc, nhóm theo bộ môn, bật/tắt từng model.</w:t>
      </w:r>
    </w:p>
    <w:p>
      <w:pPr>
        <w:spacing w:before="20" w:after="20"/>
        <w:ind w:left="360"/>
        <w:jc w:val="both"/>
      </w:pPr>
      <w:r>
        <w:rPr>
          <w:rFonts w:ascii="Times New Roman" w:hAnsi="Times New Roman" w:cs="Times New Roman" w:eastAsia="Times New Roman"/>
          <w:b/>
          <w:i w:val="0"/>
          <w:sz w:val="26"/>
        </w:rPr>
        <w:t xml:space="preserve">• **Quản lý vấn đề kiểu BCF (Issues)**: </w:t>
      </w:r>
      <w:r>
        <w:rPr>
          <w:rFonts w:ascii="Times New Roman" w:hAnsi="Times New Roman" w:cs="Times New Roman" w:eastAsia="Times New Roman"/>
          <w:b w:val="0"/>
          <w:i w:val="0"/>
          <w:sz w:val="26"/>
        </w:rPr>
        <w:t>Tạo issue gắn viewpoint (camera + ảnh thumbnail), gán người phụ trách, workflow trạng thái Open → Đang xử lý → Đã xử lý → Đã đóng. Xuất/nhập BCF 2.1.</w:t>
      </w:r>
    </w:p>
    <w:p>
      <w:pPr>
        <w:spacing w:before="20" w:after="20"/>
        <w:ind w:left="360"/>
        <w:jc w:val="both"/>
      </w:pPr>
      <w:r>
        <w:rPr>
          <w:rFonts w:ascii="Times New Roman" w:hAnsi="Times New Roman" w:cs="Times New Roman" w:eastAsia="Times New Roman"/>
          <w:b/>
          <w:i w:val="0"/>
          <w:sz w:val="26"/>
        </w:rPr>
        <w:t xml:space="preserve">• **Lưu/khôi phục Viewpoint**: </w:t>
      </w:r>
      <w:r>
        <w:rPr>
          <w:rFonts w:ascii="Times New Roman" w:hAnsi="Times New Roman" w:cs="Times New Roman" w:eastAsia="Times New Roman"/>
          <w:b w:val="0"/>
          <w:i w:val="0"/>
          <w:sz w:val="26"/>
        </w:rPr>
        <w:t>Camera + ẩn/hiện model + screenshot lưu trữ đám mây.</w:t>
      </w:r>
    </w:p>
    <w:p>
      <w:pPr>
        <w:spacing w:before="20" w:after="20"/>
        <w:ind w:left="360"/>
        <w:jc w:val="both"/>
      </w:pPr>
      <w:r>
        <w:rPr>
          <w:rFonts w:ascii="Times New Roman" w:hAnsi="Times New Roman" w:cs="Times New Roman" w:eastAsia="Times New Roman"/>
          <w:b/>
          <w:i w:val="0"/>
          <w:sz w:val="26"/>
        </w:rPr>
        <w:t xml:space="preserve">• **Kiểm tra thuộc tính cấu kiện**: </w:t>
      </w:r>
      <w:r>
        <w:rPr>
          <w:rFonts w:ascii="Times New Roman" w:hAnsi="Times New Roman" w:cs="Times New Roman" w:eastAsia="Times New Roman"/>
          <w:b w:val="0"/>
          <w:i w:val="0"/>
          <w:sz w:val="26"/>
        </w:rPr>
        <w:t>Chọn đối tượng, xem toàn bộ Property Set, đo đạc khoảng cách.</w:t>
      </w:r>
    </w:p>
    <w:p>
      <w:pPr>
        <w:spacing w:before="200" w:after="60" w:lineRule="auto" w:line="276"/>
        <w:jc w:val="left"/>
      </w:pPr>
      <w:r>
        <w:rPr>
          <w:rFonts w:ascii="Times New Roman" w:hAnsi="Times New Roman" w:cs="Times New Roman" w:eastAsia="Times New Roman"/>
          <w:b/>
          <w:i w:val="0"/>
          <w:sz w:val="26"/>
        </w:rPr>
        <w:t>4. Chi phí dự kiến CDE CIC (Phân hệ 1 + 2)</w:t>
      </w:r>
    </w:p>
    <w:p>
      <w:pPr>
        <w:spacing w:before="40" w:after="40" w:lineRule="auto" w:line="276"/>
        <w:ind w:firstLine="720"/>
        <w:jc w:val="both"/>
      </w:pPr>
      <w:r>
        <w:rPr>
          <w:rFonts w:ascii="Times New Roman" w:hAnsi="Times New Roman" w:cs="Times New Roman" w:eastAsia="Times New Roman"/>
          <w:b w:val="0"/>
          <w:i w:val="0"/>
          <w:sz w:val="26"/>
        </w:rPr>
        <w:t xml:space="preserve">CDE CIC áp dụng mô hình chi phí </w:t>
      </w:r>
      <w:r>
        <w:rPr>
          <w:rFonts w:ascii="Times New Roman" w:hAnsi="Times New Roman" w:cs="Times New Roman" w:eastAsia="Times New Roman"/>
          <w:b/>
          <w:i w:val="0"/>
          <w:sz w:val="26"/>
        </w:rPr>
        <w:t>tách riêng hạ tầng và phần mềm</w:t>
      </w:r>
      <w:r>
        <w:rPr>
          <w:rFonts w:ascii="Times New Roman" w:hAnsi="Times New Roman" w:cs="Times New Roman" w:eastAsia="Times New Roman"/>
          <w:b w:val="0"/>
          <w:i w:val="0"/>
          <w:sz w:val="26"/>
        </w:rPr>
        <w:t>, không tính theo đầu người dùng (user), cụ thể:</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spacing w:before="20" w:after="20" w:line="276" w:lineRule="auto"/>
              <w:jc w:val="center"/>
            </w:pPr>
            <w:r>
              <w:rPr>
                <w:rFonts w:ascii="Times New Roman" w:hAnsi="Times New Roman" w:cs="Times New Roman" w:eastAsia="Times New Roman"/>
                <w:b/>
                <w:i w:val="0"/>
                <w:sz w:val="22"/>
              </w:rPr>
              <w:t>STT</w:t>
            </w:r>
          </w:p>
        </w:tc>
        <w:tc>
          <w:tcPr>
            <w:tcW w:type="dxa" w:w="1872"/>
          </w:tcPr>
          <w:p>
            <w:pPr>
              <w:spacing w:before="20" w:after="20" w:line="276" w:lineRule="auto"/>
              <w:jc w:val="center"/>
            </w:pPr>
            <w:r>
              <w:rPr>
                <w:rFonts w:ascii="Times New Roman" w:hAnsi="Times New Roman" w:cs="Times New Roman" w:eastAsia="Times New Roman"/>
                <w:b/>
                <w:i w:val="0"/>
                <w:sz w:val="22"/>
              </w:rPr>
              <w:t>Hạng mục</w:t>
            </w:r>
          </w:p>
        </w:tc>
        <w:tc>
          <w:tcPr>
            <w:tcW w:type="dxa" w:w="1872"/>
          </w:tcPr>
          <w:p>
            <w:pPr>
              <w:spacing w:before="20" w:after="20" w:line="276" w:lineRule="auto"/>
              <w:jc w:val="center"/>
            </w:pPr>
            <w:r>
              <w:rPr>
                <w:rFonts w:ascii="Times New Roman" w:hAnsi="Times New Roman" w:cs="Times New Roman" w:eastAsia="Times New Roman"/>
                <w:b/>
                <w:i w:val="0"/>
                <w:sz w:val="22"/>
              </w:rPr>
              <w:t>Nội dung</w:t>
            </w:r>
          </w:p>
        </w:tc>
        <w:tc>
          <w:tcPr>
            <w:tcW w:type="dxa" w:w="1872"/>
          </w:tcPr>
          <w:p>
            <w:pPr>
              <w:spacing w:before="20" w:after="20" w:line="276" w:lineRule="auto"/>
              <w:jc w:val="center"/>
            </w:pPr>
            <w:r>
              <w:rPr>
                <w:rFonts w:ascii="Times New Roman" w:hAnsi="Times New Roman" w:cs="Times New Roman" w:eastAsia="Times New Roman"/>
                <w:b/>
                <w:i w:val="0"/>
                <w:sz w:val="22"/>
              </w:rPr>
              <w:t>Chi phí dự kiến (VNĐ/năm)</w:t>
            </w:r>
          </w:p>
        </w:tc>
        <w:tc>
          <w:tcPr>
            <w:tcW w:type="dxa" w:w="1872"/>
          </w:tcPr>
          <w:p>
            <w:pPr>
              <w:spacing w:before="20" w:after="20" w:line="276" w:lineRule="auto"/>
              <w:jc w:val="center"/>
            </w:pPr>
            <w:r>
              <w:rPr>
                <w:rFonts w:ascii="Times New Roman" w:hAnsi="Times New Roman" w:cs="Times New Roman" w:eastAsia="Times New Roman"/>
                <w:b/>
                <w:i w:val="0"/>
                <w:sz w:val="22"/>
              </w:rPr>
              <w:t>Ghi chú</w:t>
            </w:r>
          </w:p>
        </w:tc>
      </w:tr>
      <w:tr>
        <w:tc>
          <w:tcPr>
            <w:tcW w:type="dxa" w:w="1872"/>
          </w:tcPr>
          <w:p>
            <w:pPr>
              <w:spacing w:before="20" w:after="20" w:line="276" w:lineRule="auto"/>
              <w:jc w:val="center"/>
            </w:pPr>
            <w:r>
              <w:rPr>
                <w:rFonts w:ascii="Times New Roman" w:hAnsi="Times New Roman" w:cs="Times New Roman" w:eastAsia="Times New Roman"/>
                <w:b w:val="0"/>
                <w:i w:val="0"/>
                <w:sz w:val="22"/>
              </w:rPr>
              <w:t>A</w:t>
            </w:r>
          </w:p>
        </w:tc>
        <w:tc>
          <w:tcPr>
            <w:tcW w:type="dxa" w:w="1872"/>
          </w:tcPr>
          <w:p>
            <w:pPr>
              <w:spacing w:before="20" w:after="20" w:line="276" w:lineRule="auto"/>
              <w:jc w:val="left"/>
            </w:pPr>
            <w:r>
              <w:rPr>
                <w:rFonts w:ascii="Times New Roman" w:hAnsi="Times New Roman" w:cs="Times New Roman" w:eastAsia="Times New Roman"/>
                <w:b/>
                <w:i w:val="0"/>
                <w:sz w:val="22"/>
              </w:rPr>
              <w:t>Phần hạ tầng (Infrastructure)</w:t>
            </w:r>
          </w:p>
        </w:tc>
        <w:tc>
          <w:tcPr>
            <w:tcW w:type="dxa" w:w="1872"/>
          </w:tcPr>
          <w:p>
            <w:pPr>
              <w:spacing w:before="20" w:after="20" w:line="276" w:lineRule="auto"/>
              <w:jc w:val="left"/>
            </w:pPr>
            <w:r>
              <w:rPr>
                <w:rFonts w:ascii="Times New Roman" w:hAnsi="Times New Roman" w:cs="Times New Roman" w:eastAsia="Times New Roman"/>
                <w:b w:val="0"/>
                <w:i w:val="0"/>
                <w:sz w:val="22"/>
              </w:rPr>
              <w:t>Máy chủ đám mây đặt tại Việt Nam (Viettel Cloud / VNPT — Tier III), dung lượng lưu trữ, băng thông, sao lưu dự phòng, chứng chỉ SSL/TLS</w:t>
            </w:r>
          </w:p>
        </w:tc>
        <w:tc>
          <w:tcPr>
            <w:tcW w:type="dxa" w:w="1872"/>
          </w:tcPr>
          <w:p>
            <w:pPr>
              <w:spacing w:before="20" w:after="20" w:line="276" w:lineRule="auto"/>
              <w:jc w:val="left"/>
            </w:pPr>
            <w:r>
              <w:rPr>
                <w:rFonts w:ascii="Times New Roman" w:hAnsi="Times New Roman" w:cs="Times New Roman" w:eastAsia="Times New Roman"/>
                <w:b/>
                <w:i w:val="0"/>
                <w:sz w:val="22"/>
              </w:rPr>
              <w:t>Do Ban chi trả trực tiếp</w:t>
            </w:r>
          </w:p>
        </w:tc>
        <w:tc>
          <w:tcPr>
            <w:tcW w:type="dxa" w:w="1872"/>
          </w:tcPr>
          <w:p>
            <w:pPr>
              <w:spacing w:before="20" w:after="20" w:line="276" w:lineRule="auto"/>
              <w:jc w:val="center"/>
            </w:pPr>
            <w:r>
              <w:rPr>
                <w:rFonts w:ascii="Times New Roman" w:hAnsi="Times New Roman" w:cs="Times New Roman" w:eastAsia="Times New Roman"/>
                <w:b w:val="0"/>
                <w:i w:val="0"/>
                <w:sz w:val="22"/>
              </w:rPr>
              <w:t>Ban ký hợp đồng trực tiếp với nhà cung cấp hạ tầng Cloud. Chi phí tùy theo quy mô dung lượng, số lượng dự án và số lượng user truy cập thực tế (Ban sẽ chủ động nâng cấp gói hạ tầng Cloud khi số lượng người dùng tăng lên, dự kiến ban đầu từ 50–100 triệu/năm).</w:t>
            </w:r>
          </w:p>
        </w:tc>
      </w:tr>
      <w:tr>
        <w:tc>
          <w:tcPr>
            <w:tcW w:type="dxa" w:w="1872"/>
          </w:tcPr>
          <w:p>
            <w:pPr>
              <w:spacing w:before="20" w:after="20" w:line="276" w:lineRule="auto"/>
              <w:jc w:val="center"/>
            </w:pPr>
            <w:r>
              <w:rPr>
                <w:rFonts w:ascii="Times New Roman" w:hAnsi="Times New Roman" w:cs="Times New Roman" w:eastAsia="Times New Roman"/>
                <w:b w:val="0"/>
                <w:i w:val="0"/>
                <w:sz w:val="22"/>
              </w:rPr>
              <w:t>B</w:t>
            </w:r>
          </w:p>
        </w:tc>
        <w:tc>
          <w:tcPr>
            <w:tcW w:type="dxa" w:w="1872"/>
          </w:tcPr>
          <w:p>
            <w:pPr>
              <w:spacing w:before="20" w:after="20" w:line="276" w:lineRule="auto"/>
              <w:jc w:val="left"/>
            </w:pPr>
            <w:r>
              <w:rPr>
                <w:rFonts w:ascii="Times New Roman" w:hAnsi="Times New Roman" w:cs="Times New Roman" w:eastAsia="Times New Roman"/>
                <w:b/>
                <w:i w:val="0"/>
                <w:sz w:val="22"/>
              </w:rPr>
              <w:t>Phần mềm CDE CIC (Phân hệ 1 + 2)</w:t>
            </w:r>
          </w:p>
        </w:tc>
        <w:tc>
          <w:tcPr>
            <w:tcW w:type="dxa" w:w="1872"/>
          </w:tcPr>
          <w:p>
            <w:pPr>
              <w:spacing w:before="20" w:after="20" w:line="276" w:lineRule="auto"/>
              <w:jc w:val="left"/>
            </w:pPr>
            <w:r>
              <w:rPr>
                <w:rFonts w:ascii="Times New Roman" w:hAnsi="Times New Roman" w:cs="Times New Roman" w:eastAsia="Times New Roman"/>
                <w:b w:val="0"/>
                <w:i w:val="0"/>
                <w:sz w:val="22"/>
              </w:rPr>
              <w:t xml:space="preserve">Giấy phép sử dụng nền tảng CDE CIC bao gồm Phân hệ 1 (Quản lý Tài liệu &amp; Phê duyệt) và Phân hệ 2 (BIM Viewer &amp; Coordination) — </w:t>
            </w:r>
            <w:r>
              <w:rPr>
                <w:rFonts w:ascii="Times New Roman" w:hAnsi="Times New Roman" w:cs="Times New Roman" w:eastAsia="Times New Roman"/>
                <w:b/>
                <w:i w:val="0"/>
                <w:sz w:val="22"/>
              </w:rPr>
              <w:t>không giới hạn số lượng người dùng</w:t>
            </w:r>
          </w:p>
        </w:tc>
        <w:tc>
          <w:tcPr>
            <w:tcW w:type="dxa" w:w="1872"/>
          </w:tcPr>
          <w:p>
            <w:pPr>
              <w:spacing w:before="20" w:after="20" w:line="276" w:lineRule="auto"/>
              <w:jc w:val="left"/>
            </w:pPr>
            <w:r>
              <w:rPr>
                <w:rFonts w:ascii="Times New Roman" w:hAnsi="Times New Roman" w:cs="Times New Roman" w:eastAsia="Times New Roman"/>
                <w:b/>
                <w:i w:val="0"/>
                <w:sz w:val="22"/>
              </w:rPr>
              <w:t>150.000.000</w:t>
            </w:r>
          </w:p>
        </w:tc>
        <w:tc>
          <w:tcPr>
            <w:tcW w:type="dxa" w:w="1872"/>
          </w:tcPr>
          <w:p>
            <w:pPr>
              <w:spacing w:before="20" w:after="20" w:line="276" w:lineRule="auto"/>
              <w:jc w:val="left"/>
            </w:pPr>
            <w:r>
              <w:rPr>
                <w:rFonts w:ascii="Times New Roman" w:hAnsi="Times New Roman" w:cs="Times New Roman" w:eastAsia="Times New Roman"/>
                <w:b w:val="0"/>
                <w:i w:val="0"/>
                <w:sz w:val="22"/>
              </w:rPr>
              <w:t>Thuê bao 1 năm. Bao gồm triển khai, cấu hình, đào tạo và hỗ trợ kỹ thuật.</w:t>
            </w:r>
          </w:p>
        </w:tc>
      </w:tr>
      <w:tr>
        <w:tc>
          <w:tcPr>
            <w:tcW w:type="dxa" w:w="1872"/>
          </w:tcPr>
          <w:p>
            <w:pPr>
              <w:spacing w:before="20" w:after="20" w:line="276" w:lineRule="auto"/>
              <w:jc w:val="center"/>
            </w:pPr>
          </w:p>
        </w:tc>
        <w:tc>
          <w:tcPr>
            <w:tcW w:type="dxa" w:w="1872"/>
          </w:tcPr>
          <w:p>
            <w:pPr>
              <w:spacing w:before="20" w:after="20" w:line="276" w:lineRule="auto"/>
              <w:jc w:val="left"/>
            </w:pPr>
            <w:r>
              <w:rPr>
                <w:rFonts w:ascii="Times New Roman" w:hAnsi="Times New Roman" w:cs="Times New Roman" w:eastAsia="Times New Roman"/>
                <w:b/>
                <w:i w:val="0"/>
                <w:sz w:val="22"/>
              </w:rPr>
              <w:t>Tổng chi phí phần mềm CDE CIC</w:t>
            </w:r>
          </w:p>
        </w:tc>
        <w:tc>
          <w:tcPr>
            <w:tcW w:type="dxa" w:w="1872"/>
          </w:tcPr>
          <w:p>
            <w:pPr>
              <w:spacing w:before="20" w:after="20" w:line="276" w:lineRule="auto"/>
              <w:jc w:val="left"/>
            </w:pPr>
          </w:p>
        </w:tc>
        <w:tc>
          <w:tcPr>
            <w:tcW w:type="dxa" w:w="1872"/>
          </w:tcPr>
          <w:p>
            <w:pPr>
              <w:spacing w:before="20" w:after="20" w:line="276" w:lineRule="auto"/>
              <w:jc w:val="left"/>
            </w:pPr>
            <w:r>
              <w:rPr>
                <w:rFonts w:ascii="Times New Roman" w:hAnsi="Times New Roman" w:cs="Times New Roman" w:eastAsia="Times New Roman"/>
                <w:b/>
                <w:i w:val="0"/>
                <w:sz w:val="22"/>
              </w:rPr>
              <w:t>150.000.000</w:t>
            </w:r>
          </w:p>
        </w:tc>
        <w:tc>
          <w:tcPr>
            <w:tcW w:type="dxa" w:w="1872"/>
          </w:tcPr>
          <w:p>
            <w:pPr>
              <w:spacing w:before="20" w:after="20" w:line="276" w:lineRule="auto"/>
              <w:jc w:val="left"/>
            </w:pPr>
          </w:p>
        </w:tc>
      </w:tr>
    </w:tbl>
    <w:p>
      <w:pPr>
        <w:spacing w:before="40" w:after="40"/>
        <w:ind w:left="720"/>
        <w:jc w:val="both"/>
      </w:pPr>
      <w:r>
        <w:rPr>
          <w:rFonts w:ascii="Times New Roman" w:hAnsi="Times New Roman" w:cs="Times New Roman" w:eastAsia="Times New Roman"/>
          <w:b w:val="0"/>
          <w:i/>
          <w:sz w:val="24"/>
        </w:rPr>
        <w:t>Khái toán chi phí hạ tầng Cloud khi nâng cấp (Cho quy mô 100 user và 1 TB lưu trữ SSD):</w:t>
      </w: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r>
        <w:rPr>
          <w:rFonts w:ascii="Times New Roman" w:hAnsi="Times New Roman" w:cs="Times New Roman" w:eastAsia="Times New Roman"/>
          <w:b w:val="0"/>
          <w:i/>
          <w:sz w:val="24"/>
        </w:rPr>
        <w:t>Để giúp Ban dễ định lượng chi phí tự chi trả khi mở rộng quy mô, dưới đây là khái toán dịch vụ thuê đám mây trong nước (Viettel Cloud / VNPT Cloud đạt chuẩn Tier III) phục vụ cho 100 user truy cập đồng thời và 1 TB dung lượng lưu trữ SSD:</w:t>
      </w:r>
    </w:p>
    <w:p>
      <w:pPr>
        <w:spacing w:before="40" w:after="40"/>
        <w:ind w:left="720"/>
        <w:jc w:val="both"/>
      </w:pPr>
      <w:r>
        <w:rPr>
          <w:rFonts w:ascii="Times New Roman" w:hAnsi="Times New Roman" w:cs="Times New Roman" w:eastAsia="Times New Roman"/>
          <w:b w:val="0"/>
          <w:i/>
          <w:sz w:val="24"/>
        </w:rPr>
        <w:t>* Máy chủ ảo (Cloud Server - VM): Cấu hình 8 vCPU / 32GB RAM / 100GB SSD hệ thống (vận hành luồng phê duyệt và BIM Viewer Web mượt mà): ~3.000.000 – 4.500.000 VNĐ/tháng.</w:t>
      </w:r>
    </w:p>
    <w:p>
      <w:pPr>
        <w:spacing w:before="40" w:after="40"/>
        <w:ind w:left="720"/>
        <w:jc w:val="both"/>
      </w:pPr>
      <w:r>
        <w:rPr>
          <w:rFonts w:ascii="Times New Roman" w:hAnsi="Times New Roman" w:cs="Times New Roman" w:eastAsia="Times New Roman"/>
          <w:b w:val="0"/>
          <w:i/>
          <w:sz w:val="24"/>
        </w:rPr>
        <w:t>* Dung lượng lưu trữ SSD/Object Storage (1 TB): Lưu trữ các tệp IFC gốc, bản vẽ và tài liệu dự án: ~800.000 – 1.200.000 VNĐ/tháng.</w:t>
      </w:r>
    </w:p>
    <w:p>
      <w:pPr>
        <w:spacing w:before="40" w:after="40"/>
        <w:ind w:left="720"/>
        <w:jc w:val="both"/>
      </w:pPr>
      <w:r>
        <w:rPr>
          <w:rFonts w:ascii="Times New Roman" w:hAnsi="Times New Roman" w:cs="Times New Roman" w:eastAsia="Times New Roman"/>
          <w:b w:val="0"/>
          <w:i/>
          <w:sz w:val="24"/>
        </w:rPr>
        <w:t>* Băng thông &amp; Sao lưu (Bandwidth &amp; Backup): Sao lưu tự động hằng ngày và đường truyền mạng trong nước tốc độ cao: ~800.000 – 1.500.000 VNĐ/tháng.</w:t>
      </w:r>
    </w:p>
    <w:p>
      <w:pPr>
        <w:spacing w:before="40" w:after="40"/>
        <w:ind w:left="720"/>
        <w:jc w:val="both"/>
      </w:pPr>
      <w:r>
        <w:rPr>
          <w:rFonts w:ascii="Times New Roman" w:hAnsi="Times New Roman" w:cs="Times New Roman" w:eastAsia="Times New Roman"/>
          <w:b w:val="0"/>
          <w:i/>
          <w:sz w:val="24"/>
        </w:rPr>
        <w:t>* Tổng chi phí hạ tầng dự kiến: Khoảng 4.600.000 – 7.200.000 VNĐ/tháng (tương đương khoảng 55.000.000 – 86.000.000 VNĐ/năm).</w:t>
      </w:r>
    </w:p>
    <w:p>
      <w:pPr>
        <w:spacing w:before="40" w:after="40"/>
        <w:ind w:left="720"/>
        <w:jc w:val="both"/>
      </w:pPr>
      <w:r>
        <w:rPr>
          <w:rFonts w:ascii="Times New Roman" w:hAnsi="Times New Roman" w:cs="Times New Roman" w:eastAsia="Times New Roman"/>
          <w:b w:val="0"/>
          <w:i/>
          <w:sz w:val="24"/>
        </w:rPr>
        <w:t>Ưu điểm mô hình chi phí CDE CIC so với CDE nước ngoài:</w:t>
      </w: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r>
        <w:rPr>
          <w:rFonts w:ascii="Times New Roman" w:hAnsi="Times New Roman" w:cs="Times New Roman" w:eastAsia="Times New Roman"/>
          <w:b w:val="0"/>
          <w:i/>
          <w:sz w:val="24"/>
        </w:rPr>
        <w:t>Với mô hình không giới hạn user về mặt bản quyền phần mềm, chi phí CDE CIC không tăng khi Ban mở rộng số nhân sự sử dụng (việc mở rộng quy mô phục vụ người dùng sẽ do Ban chủ động nâng cấp hạ tầng Cloud khi cần thiết), trong khi CDE nước ngoài tăng tuyến tính theo số user.</w:t>
      </w:r>
    </w:p>
    <w:p>
      <w:pPr>
        <w:spacing w:before="200" w:after="60" w:lineRule="auto" w:line="276"/>
        <w:jc w:val="left"/>
      </w:pPr>
      <w:r>
        <w:rPr>
          <w:rFonts w:ascii="Times New Roman" w:hAnsi="Times New Roman" w:cs="Times New Roman" w:eastAsia="Times New Roman"/>
          <w:b/>
          <w:i w:val="0"/>
          <w:sz w:val="26"/>
        </w:rPr>
        <w:t>5. Lợi ích khi Ban sử dụng CDE CIC</w:t>
      </w:r>
    </w:p>
    <w:p>
      <w:pPr>
        <w:spacing w:before="40" w:after="40"/>
        <w:ind w:left="360"/>
        <w:jc w:val="both"/>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Tuân thủ pháp luật:</w:t>
      </w:r>
      <w:r>
        <w:rPr>
          <w:rFonts w:ascii="Times New Roman" w:hAnsi="Times New Roman" w:cs="Times New Roman" w:eastAsia="Times New Roman"/>
          <w:b w:val="0"/>
          <w:i w:val="0"/>
          <w:sz w:val="26"/>
        </w:rPr>
        <w:t xml:space="preserve"> Đáp ứng đầy đủ QCVN 12:2026/BCA — điều kiện tiên quyết để vận hành CDE tại cơ quan nhà nước từ 01/07/2026.</w:t>
      </w:r>
    </w:p>
    <w:p>
      <w:pPr>
        <w:spacing w:before="40" w:after="40"/>
        <w:ind w:left="360"/>
        <w:jc w:val="both"/>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Tiết kiệm chi phí:</w:t>
      </w:r>
      <w:r>
        <w:rPr>
          <w:rFonts w:ascii="Times New Roman" w:hAnsi="Times New Roman" w:cs="Times New Roman" w:eastAsia="Times New Roman"/>
          <w:b w:val="0"/>
          <w:i w:val="0"/>
          <w:sz w:val="26"/>
        </w:rPr>
        <w:t xml:space="preserve"> Chi phí bản quyền phần mềm CDE nội địa trọn gói theo năm tiết kiệm khoảng 60–80% so với giải pháp CDE nước ngoài tính theo đầu người dùng (user).</w:t>
      </w:r>
    </w:p>
    <w:p>
      <w:pPr>
        <w:spacing w:before="40" w:after="40"/>
        <w:ind w:left="360"/>
        <w:jc w:val="both"/>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Bảo vệ chủ quyền dữ liệu:</w:t>
      </w:r>
      <w:r>
        <w:rPr>
          <w:rFonts w:ascii="Times New Roman" w:hAnsi="Times New Roman" w:cs="Times New Roman" w:eastAsia="Times New Roman"/>
          <w:b w:val="0"/>
          <w:i w:val="0"/>
          <w:sz w:val="26"/>
        </w:rPr>
        <w:t xml:space="preserve"> Toàn bộ hồ sơ thiết kế, bản vẽ hoàn công, mô hình BIM được lưu trữ trên máy chủ trong lãnh thổ Việt Nam.</w:t>
      </w:r>
    </w:p>
    <w:p>
      <w:pPr>
        <w:spacing w:before="40" w:after="40"/>
        <w:ind w:left="360"/>
        <w:jc w:val="both"/>
      </w:pPr>
      <w:r>
        <w:rPr>
          <w:rFonts w:ascii="Times New Roman" w:hAnsi="Times New Roman" w:cs="Times New Roman" w:eastAsia="Times New Roman"/>
          <w:b/>
          <w:i w:val="0"/>
          <w:sz w:val="26"/>
        </w:rPr>
        <w:t xml:space="preserve">4. </w:t>
      </w:r>
      <w:r>
        <w:rPr>
          <w:rFonts w:ascii="Times New Roman" w:hAnsi="Times New Roman" w:cs="Times New Roman" w:eastAsia="Times New Roman"/>
          <w:b/>
          <w:i w:val="0"/>
          <w:sz w:val="26"/>
        </w:rPr>
        <w:t>Bản địa hóa nghiệp vụ:</w:t>
      </w:r>
      <w:r>
        <w:rPr>
          <w:rFonts w:ascii="Times New Roman" w:hAnsi="Times New Roman" w:cs="Times New Roman" w:eastAsia="Times New Roman"/>
          <w:b w:val="0"/>
          <w:i w:val="0"/>
          <w:sz w:val="26"/>
        </w:rPr>
        <w:t xml:space="preserve"> Giao diện tiếng Việt, quy trình phê duyệt phù hợp thực tiễn Ban QLDA, tích hợp sẵn biểu mẫu BEP/EIR đang áp dụng tại Việt Nam.</w:t>
      </w:r>
    </w:p>
    <w:p>
      <w:pPr>
        <w:spacing w:before="40" w:after="40"/>
        <w:ind w:left="360"/>
        <w:jc w:val="both"/>
      </w:pPr>
      <w:r>
        <w:rPr>
          <w:rFonts w:ascii="Times New Roman" w:hAnsi="Times New Roman" w:cs="Times New Roman" w:eastAsia="Times New Roman"/>
          <w:b/>
          <w:i w:val="0"/>
          <w:sz w:val="26"/>
        </w:rPr>
        <w:t xml:space="preserve">5. </w:t>
      </w:r>
      <w:r>
        <w:rPr>
          <w:rFonts w:ascii="Times New Roman" w:hAnsi="Times New Roman" w:cs="Times New Roman" w:eastAsia="Times New Roman"/>
          <w:b/>
          <w:i w:val="0"/>
          <w:sz w:val="26"/>
        </w:rPr>
        <w:t>Hỗ trợ kỹ thuật trực tiếp:</w:t>
      </w:r>
      <w:r>
        <w:rPr>
          <w:rFonts w:ascii="Times New Roman" w:hAnsi="Times New Roman" w:cs="Times New Roman" w:eastAsia="Times New Roman"/>
          <w:b w:val="0"/>
          <w:i w:val="0"/>
          <w:sz w:val="26"/>
        </w:rPr>
        <w:t xml:space="preserve"> Đội ngũ CIC hỗ trợ tại chỗ, đào tạo trực tiếp, giải quyết vấn đề nhanh chóng — không phụ thuộc vào support quốc tế múi giờ khác.</w:t>
      </w:r>
    </w:p>
    <w:p>
      <w:pPr>
        <w:spacing w:before="40" w:after="40"/>
        <w:ind w:left="360"/>
        <w:jc w:val="both"/>
      </w:pPr>
      <w:r>
        <w:rPr>
          <w:rFonts w:ascii="Times New Roman" w:hAnsi="Times New Roman" w:cs="Times New Roman" w:eastAsia="Times New Roman"/>
          <w:b/>
          <w:i w:val="0"/>
          <w:sz w:val="26"/>
        </w:rPr>
        <w:t xml:space="preserve">6. </w:t>
      </w:r>
      <w:r>
        <w:rPr>
          <w:rFonts w:ascii="Times New Roman" w:hAnsi="Times New Roman" w:cs="Times New Roman" w:eastAsia="Times New Roman"/>
          <w:b/>
          <w:i w:val="0"/>
          <w:sz w:val="26"/>
        </w:rPr>
        <w:t>Ưu tiên mua sắm công:</w:t>
      </w:r>
      <w:r>
        <w:rPr>
          <w:rFonts w:ascii="Times New Roman" w:hAnsi="Times New Roman" w:cs="Times New Roman" w:eastAsia="Times New Roman"/>
          <w:b w:val="0"/>
          <w:i w:val="0"/>
          <w:sz w:val="26"/>
        </w:rPr>
        <w:t xml:space="preserve"> CDE CIC hướng tới chứng nhận "Sản phẩm công nghệ số trọng điểm" theo TT 31/2025/TT-BKHCN, được ưu tiên khi sử dụng vốn ngân sách nhà nước (Điều 31 Luật Công nghiệp Công nghệ số).</w:t>
      </w:r>
    </w:p>
    <w:p>
      <w:pPr>
        <w:spacing w:before="280" w:after="80" w:lineRule="auto" w:line="276"/>
        <w:jc w:val="left"/>
      </w:pPr>
      <w:r>
        <w:rPr>
          <w:rFonts w:ascii="Times New Roman" w:hAnsi="Times New Roman" w:cs="Times New Roman" w:eastAsia="Times New Roman"/>
          <w:b/>
          <w:i w:val="0"/>
          <w:sz w:val="26"/>
        </w:rPr>
        <w:t>VI. CHI PHÍ KHÁI TOÁN SƠ BỘ TỔNG HỢP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spacing w:before="20" w:after="20" w:line="276" w:lineRule="auto"/>
              <w:jc w:val="center"/>
            </w:pPr>
            <w:r>
              <w:rPr>
                <w:rFonts w:ascii="Times New Roman" w:hAnsi="Times New Roman" w:cs="Times New Roman" w:eastAsia="Times New Roman"/>
                <w:b/>
                <w:i w:val="0"/>
                <w:sz w:val="22"/>
              </w:rPr>
              <w:t>STT</w:t>
            </w:r>
          </w:p>
        </w:tc>
        <w:tc>
          <w:tcPr>
            <w:tcW w:type="dxa" w:w="1872"/>
          </w:tcPr>
          <w:p>
            <w:pPr>
              <w:spacing w:before="20" w:after="20" w:line="276" w:lineRule="auto"/>
              <w:jc w:val="center"/>
            </w:pPr>
            <w:r>
              <w:rPr>
                <w:rFonts w:ascii="Times New Roman" w:hAnsi="Times New Roman" w:cs="Times New Roman" w:eastAsia="Times New Roman"/>
                <w:b/>
                <w:i w:val="0"/>
                <w:sz w:val="22"/>
              </w:rPr>
              <w:t>Nội dung</w:t>
            </w:r>
          </w:p>
        </w:tc>
        <w:tc>
          <w:tcPr>
            <w:tcW w:type="dxa" w:w="1872"/>
          </w:tcPr>
          <w:p>
            <w:pPr>
              <w:spacing w:before="20" w:after="20" w:line="276" w:lineRule="auto"/>
              <w:jc w:val="center"/>
            </w:pPr>
            <w:r>
              <w:rPr>
                <w:rFonts w:ascii="Times New Roman" w:hAnsi="Times New Roman" w:cs="Times New Roman" w:eastAsia="Times New Roman"/>
                <w:b/>
                <w:i w:val="0"/>
                <w:sz w:val="22"/>
              </w:rPr>
              <w:t>Giá trị (VNĐ)</w:t>
            </w:r>
          </w:p>
        </w:tc>
        <w:tc>
          <w:tcPr>
            <w:tcW w:type="dxa" w:w="1872"/>
          </w:tcPr>
          <w:p>
            <w:pPr>
              <w:spacing w:before="20" w:after="20" w:line="276" w:lineRule="auto"/>
              <w:jc w:val="center"/>
            </w:pPr>
            <w:r>
              <w:rPr>
                <w:rFonts w:ascii="Times New Roman" w:hAnsi="Times New Roman" w:cs="Times New Roman" w:eastAsia="Times New Roman"/>
                <w:b/>
                <w:i w:val="0"/>
                <w:sz w:val="22"/>
              </w:rPr>
              <w:t>Số lượng</w:t>
            </w:r>
          </w:p>
        </w:tc>
        <w:tc>
          <w:tcPr>
            <w:tcW w:type="dxa" w:w="1872"/>
          </w:tcPr>
          <w:p>
            <w:pPr>
              <w:spacing w:before="20" w:after="20" w:line="276" w:lineRule="auto"/>
              <w:jc w:val="center"/>
            </w:pPr>
            <w:r>
              <w:rPr>
                <w:rFonts w:ascii="Times New Roman" w:hAnsi="Times New Roman" w:cs="Times New Roman" w:eastAsia="Times New Roman"/>
                <w:b/>
                <w:i w:val="0"/>
                <w:sz w:val="22"/>
              </w:rPr>
              <w:t>Tổng hợp (VNĐ)</w:t>
            </w:r>
          </w:p>
        </w:tc>
      </w:tr>
      <w:tr>
        <w:tc>
          <w:tcPr>
            <w:tcW w:type="dxa" w:w="1872"/>
          </w:tcPr>
          <w:p>
            <w:pPr>
              <w:spacing w:before="20" w:after="20" w:line="276" w:lineRule="auto"/>
              <w:jc w:val="center"/>
            </w:pPr>
            <w:r>
              <w:rPr>
                <w:rFonts w:ascii="Times New Roman" w:hAnsi="Times New Roman" w:cs="Times New Roman" w:eastAsia="Times New Roman"/>
                <w:b w:val="0"/>
                <w:i w:val="0"/>
                <w:sz w:val="22"/>
              </w:rPr>
              <w:t>1</w:t>
            </w:r>
          </w:p>
        </w:tc>
        <w:tc>
          <w:tcPr>
            <w:tcW w:type="dxa" w:w="1872"/>
          </w:tcPr>
          <w:p>
            <w:pPr>
              <w:spacing w:before="20" w:after="20" w:line="276" w:lineRule="auto"/>
              <w:jc w:val="left"/>
            </w:pPr>
            <w:r>
              <w:rPr>
                <w:rFonts w:ascii="Times New Roman" w:hAnsi="Times New Roman" w:cs="Times New Roman" w:eastAsia="Times New Roman"/>
                <w:b w:val="0"/>
                <w:i w:val="0"/>
                <w:sz w:val="22"/>
              </w:rPr>
              <w:t>Máy tính</w:t>
            </w:r>
          </w:p>
        </w:tc>
        <w:tc>
          <w:tcPr>
            <w:tcW w:type="dxa" w:w="1872"/>
          </w:tcPr>
          <w:p>
            <w:pPr>
              <w:spacing w:before="20" w:after="20" w:line="276" w:lineRule="auto"/>
              <w:jc w:val="center"/>
            </w:pPr>
            <w:r>
              <w:rPr>
                <w:rFonts w:ascii="Times New Roman" w:hAnsi="Times New Roman" w:cs="Times New Roman" w:eastAsia="Times New Roman"/>
                <w:b w:val="0"/>
                <w:i w:val="0"/>
                <w:sz w:val="22"/>
              </w:rPr>
              <w:t>70.000.000</w:t>
            </w:r>
          </w:p>
        </w:tc>
        <w:tc>
          <w:tcPr>
            <w:tcW w:type="dxa" w:w="1872"/>
          </w:tcPr>
          <w:p>
            <w:pPr>
              <w:spacing w:before="20" w:after="20" w:line="276" w:lineRule="auto"/>
              <w:jc w:val="center"/>
            </w:pPr>
            <w:r>
              <w:rPr>
                <w:rFonts w:ascii="Times New Roman" w:hAnsi="Times New Roman" w:cs="Times New Roman" w:eastAsia="Times New Roman"/>
                <w:b w:val="0"/>
                <w:i w:val="0"/>
                <w:sz w:val="22"/>
              </w:rPr>
              <w:t>10</w:t>
            </w:r>
          </w:p>
        </w:tc>
        <w:tc>
          <w:tcPr>
            <w:tcW w:type="dxa" w:w="1872"/>
          </w:tcPr>
          <w:p>
            <w:pPr>
              <w:spacing w:before="20" w:after="20" w:line="276" w:lineRule="auto"/>
              <w:jc w:val="center"/>
            </w:pPr>
            <w:r>
              <w:rPr>
                <w:rFonts w:ascii="Times New Roman" w:hAnsi="Times New Roman" w:cs="Times New Roman" w:eastAsia="Times New Roman"/>
                <w:b w:val="0"/>
                <w:i w:val="0"/>
                <w:sz w:val="22"/>
              </w:rPr>
              <w:t>700.000.000</w:t>
            </w:r>
          </w:p>
        </w:tc>
      </w:tr>
      <w:tr>
        <w:tc>
          <w:tcPr>
            <w:tcW w:type="dxa" w:w="1872"/>
          </w:tcPr>
          <w:p>
            <w:pPr>
              <w:spacing w:before="20" w:after="20" w:line="276" w:lineRule="auto"/>
              <w:jc w:val="center"/>
            </w:pPr>
            <w:r>
              <w:rPr>
                <w:rFonts w:ascii="Times New Roman" w:hAnsi="Times New Roman" w:cs="Times New Roman" w:eastAsia="Times New Roman"/>
                <w:b w:val="0"/>
                <w:i w:val="0"/>
                <w:sz w:val="22"/>
              </w:rPr>
              <w:t>2</w:t>
            </w:r>
          </w:p>
        </w:tc>
        <w:tc>
          <w:tcPr>
            <w:tcW w:type="dxa" w:w="1872"/>
          </w:tcPr>
          <w:p>
            <w:pPr>
              <w:spacing w:before="20" w:after="20" w:line="276" w:lineRule="auto"/>
              <w:jc w:val="left"/>
            </w:pPr>
            <w:r>
              <w:rPr>
                <w:rFonts w:ascii="Times New Roman" w:hAnsi="Times New Roman" w:cs="Times New Roman" w:eastAsia="Times New Roman"/>
                <w:b w:val="0"/>
                <w:i w:val="0"/>
                <w:sz w:val="22"/>
              </w:rPr>
              <w:t>Phần mềm Autodesk AEC Collection (thuê bao 1 năm)</w:t>
            </w:r>
          </w:p>
        </w:tc>
        <w:tc>
          <w:tcPr>
            <w:tcW w:type="dxa" w:w="1872"/>
          </w:tcPr>
          <w:p>
            <w:pPr>
              <w:spacing w:before="20" w:after="20" w:line="276" w:lineRule="auto"/>
              <w:jc w:val="center"/>
            </w:pPr>
            <w:r>
              <w:rPr>
                <w:rFonts w:ascii="Times New Roman" w:hAnsi="Times New Roman" w:cs="Times New Roman" w:eastAsia="Times New Roman"/>
                <w:b w:val="0"/>
                <w:i w:val="0"/>
                <w:sz w:val="22"/>
              </w:rPr>
              <w:t>73.500.000</w:t>
            </w:r>
          </w:p>
        </w:tc>
        <w:tc>
          <w:tcPr>
            <w:tcW w:type="dxa" w:w="1872"/>
          </w:tcPr>
          <w:p>
            <w:pPr>
              <w:spacing w:before="20" w:after="20" w:line="276" w:lineRule="auto"/>
              <w:jc w:val="center"/>
            </w:pPr>
            <w:r>
              <w:rPr>
                <w:rFonts w:ascii="Times New Roman" w:hAnsi="Times New Roman" w:cs="Times New Roman" w:eastAsia="Times New Roman"/>
                <w:b w:val="0"/>
                <w:i w:val="0"/>
                <w:sz w:val="22"/>
              </w:rPr>
              <w:t>10</w:t>
            </w:r>
          </w:p>
        </w:tc>
        <w:tc>
          <w:tcPr>
            <w:tcW w:type="dxa" w:w="1872"/>
          </w:tcPr>
          <w:p>
            <w:pPr>
              <w:spacing w:before="20" w:after="20" w:line="276" w:lineRule="auto"/>
              <w:jc w:val="center"/>
            </w:pPr>
            <w:r>
              <w:rPr>
                <w:rFonts w:ascii="Times New Roman" w:hAnsi="Times New Roman" w:cs="Times New Roman" w:eastAsia="Times New Roman"/>
                <w:b w:val="0"/>
                <w:i w:val="0"/>
                <w:sz w:val="22"/>
              </w:rPr>
              <w:t>730.500.000</w:t>
            </w:r>
          </w:p>
        </w:tc>
      </w:tr>
      <w:tr>
        <w:tc>
          <w:tcPr>
            <w:tcW w:type="dxa" w:w="1872"/>
          </w:tcPr>
          <w:p>
            <w:pPr>
              <w:spacing w:before="20" w:after="20" w:line="276" w:lineRule="auto"/>
              <w:jc w:val="center"/>
            </w:pPr>
            <w:r>
              <w:rPr>
                <w:rFonts w:ascii="Times New Roman" w:hAnsi="Times New Roman" w:cs="Times New Roman" w:eastAsia="Times New Roman"/>
                <w:b w:val="0"/>
                <w:i w:val="0"/>
                <w:sz w:val="22"/>
              </w:rPr>
              <w:t>3</w:t>
            </w:r>
          </w:p>
        </w:tc>
        <w:tc>
          <w:tcPr>
            <w:tcW w:type="dxa" w:w="1872"/>
          </w:tcPr>
          <w:p>
            <w:pPr>
              <w:spacing w:before="20" w:after="20" w:line="276" w:lineRule="auto"/>
              <w:jc w:val="left"/>
            </w:pPr>
            <w:r>
              <w:rPr>
                <w:rFonts w:ascii="Times New Roman" w:hAnsi="Times New Roman" w:cs="Times New Roman" w:eastAsia="Times New Roman"/>
                <w:b w:val="0"/>
                <w:i w:val="0"/>
                <w:sz w:val="22"/>
              </w:rPr>
              <w:t>Phần mềm CDE CIC — Phân hệ 1 + 2 (thuê bao 1 năm, không giới hạn user)</w:t>
            </w:r>
          </w:p>
        </w:tc>
        <w:tc>
          <w:tcPr>
            <w:tcW w:type="dxa" w:w="1872"/>
          </w:tcPr>
          <w:p>
            <w:pPr>
              <w:spacing w:before="20" w:after="20" w:line="276" w:lineRule="auto"/>
              <w:jc w:val="center"/>
            </w:pPr>
            <w:r>
              <w:rPr>
                <w:rFonts w:ascii="Times New Roman" w:hAnsi="Times New Roman" w:cs="Times New Roman" w:eastAsia="Times New Roman"/>
                <w:b w:val="0"/>
                <w:i w:val="0"/>
                <w:sz w:val="22"/>
              </w:rPr>
              <w:t>150.000.000</w:t>
            </w:r>
          </w:p>
        </w:tc>
        <w:tc>
          <w:tcPr>
            <w:tcW w:type="dxa" w:w="1872"/>
          </w:tcPr>
          <w:p>
            <w:pPr>
              <w:spacing w:before="20" w:after="20" w:line="276" w:lineRule="auto"/>
              <w:jc w:val="left"/>
            </w:pPr>
            <w:r>
              <w:rPr>
                <w:rFonts w:ascii="Times New Roman" w:hAnsi="Times New Roman" w:cs="Times New Roman" w:eastAsia="Times New Roman"/>
                <w:b w:val="0"/>
                <w:i w:val="0"/>
                <w:sz w:val="22"/>
              </w:rPr>
              <w:t>1 gói</w:t>
            </w:r>
          </w:p>
        </w:tc>
        <w:tc>
          <w:tcPr>
            <w:tcW w:type="dxa" w:w="1872"/>
          </w:tcPr>
          <w:p>
            <w:pPr>
              <w:spacing w:before="20" w:after="20" w:line="276" w:lineRule="auto"/>
              <w:jc w:val="center"/>
            </w:pPr>
            <w:r>
              <w:rPr>
                <w:rFonts w:ascii="Times New Roman" w:hAnsi="Times New Roman" w:cs="Times New Roman" w:eastAsia="Times New Roman"/>
                <w:b w:val="0"/>
                <w:i w:val="0"/>
                <w:sz w:val="22"/>
              </w:rPr>
              <w:t>150.000.000</w:t>
            </w:r>
          </w:p>
        </w:tc>
      </w:tr>
      <w:tr>
        <w:tc>
          <w:tcPr>
            <w:tcW w:type="dxa" w:w="1872"/>
          </w:tcPr>
          <w:p>
            <w:pPr>
              <w:spacing w:before="20" w:after="20" w:line="276" w:lineRule="auto"/>
              <w:jc w:val="center"/>
            </w:pPr>
            <w:r>
              <w:rPr>
                <w:rFonts w:ascii="Times New Roman" w:hAnsi="Times New Roman" w:cs="Times New Roman" w:eastAsia="Times New Roman"/>
                <w:b w:val="0"/>
                <w:i w:val="0"/>
                <w:sz w:val="22"/>
              </w:rPr>
              <w:t>4</w:t>
            </w:r>
          </w:p>
        </w:tc>
        <w:tc>
          <w:tcPr>
            <w:tcW w:type="dxa" w:w="1872"/>
          </w:tcPr>
          <w:p>
            <w:pPr>
              <w:spacing w:before="20" w:after="20" w:line="276" w:lineRule="auto"/>
              <w:jc w:val="left"/>
            </w:pPr>
            <w:r>
              <w:rPr>
                <w:rFonts w:ascii="Times New Roman" w:hAnsi="Times New Roman" w:cs="Times New Roman" w:eastAsia="Times New Roman"/>
                <w:b w:val="0"/>
                <w:i w:val="0"/>
                <w:sz w:val="22"/>
              </w:rPr>
              <w:t>Hạ tầng Cloud CDE (Viettel Cloud / VNPT, thuê bao 1 năm)</w:t>
            </w:r>
          </w:p>
        </w:tc>
        <w:tc>
          <w:tcPr>
            <w:tcW w:type="dxa" w:w="1872"/>
          </w:tcPr>
          <w:p>
            <w:pPr>
              <w:spacing w:before="20" w:after="20" w:line="276" w:lineRule="auto"/>
              <w:jc w:val="left"/>
            </w:pPr>
            <w:r>
              <w:rPr>
                <w:rFonts w:ascii="Times New Roman" w:hAnsi="Times New Roman" w:cs="Times New Roman" w:eastAsia="Times New Roman"/>
                <w:b w:val="0"/>
                <w:i/>
                <w:sz w:val="22"/>
              </w:rPr>
              <w:t>(Theo nhà cung cấp)</w:t>
            </w:r>
          </w:p>
        </w:tc>
        <w:tc>
          <w:tcPr>
            <w:tcW w:type="dxa" w:w="1872"/>
          </w:tcPr>
          <w:p>
            <w:pPr>
              <w:spacing w:before="20" w:after="20" w:line="276" w:lineRule="auto"/>
              <w:jc w:val="left"/>
            </w:pPr>
            <w:r>
              <w:rPr>
                <w:rFonts w:ascii="Times New Roman" w:hAnsi="Times New Roman" w:cs="Times New Roman" w:eastAsia="Times New Roman"/>
                <w:b w:val="0"/>
                <w:i w:val="0"/>
                <w:sz w:val="22"/>
              </w:rPr>
              <w:t>1 gói</w:t>
            </w:r>
          </w:p>
        </w:tc>
        <w:tc>
          <w:tcPr>
            <w:tcW w:type="dxa" w:w="1872"/>
          </w:tcPr>
          <w:p>
            <w:pPr>
              <w:spacing w:before="20" w:after="20" w:line="276" w:lineRule="auto"/>
              <w:jc w:val="center"/>
            </w:pPr>
            <w:r>
              <w:rPr>
                <w:rFonts w:ascii="Times New Roman" w:hAnsi="Times New Roman" w:cs="Times New Roman" w:eastAsia="Times New Roman"/>
                <w:b w:val="0"/>
                <w:i/>
                <w:sz w:val="22"/>
              </w:rPr>
              <w:t>(Dự kiến 50–100 triệu)</w:t>
            </w:r>
          </w:p>
        </w:tc>
      </w:tr>
      <w:tr>
        <w:tc>
          <w:tcPr>
            <w:tcW w:type="dxa" w:w="1872"/>
          </w:tcPr>
          <w:p>
            <w:pPr>
              <w:spacing w:before="20" w:after="20" w:line="276" w:lineRule="auto"/>
              <w:jc w:val="center"/>
            </w:pPr>
          </w:p>
        </w:tc>
        <w:tc>
          <w:tcPr>
            <w:tcW w:type="dxa" w:w="1872"/>
          </w:tcPr>
          <w:p>
            <w:pPr>
              <w:spacing w:before="20" w:after="20" w:line="276" w:lineRule="auto"/>
              <w:jc w:val="left"/>
            </w:pPr>
            <w:r>
              <w:rPr>
                <w:rFonts w:ascii="Times New Roman" w:hAnsi="Times New Roman" w:cs="Times New Roman" w:eastAsia="Times New Roman"/>
                <w:b/>
                <w:i w:val="0"/>
                <w:sz w:val="22"/>
              </w:rPr>
              <w:t>Tổng (chưa bao gồm hạ tầng Cloud)</w:t>
            </w:r>
          </w:p>
        </w:tc>
        <w:tc>
          <w:tcPr>
            <w:tcW w:type="dxa" w:w="1872"/>
          </w:tcPr>
          <w:p>
            <w:pPr>
              <w:spacing w:before="20" w:after="20" w:line="276" w:lineRule="auto"/>
              <w:jc w:val="left"/>
            </w:pPr>
          </w:p>
        </w:tc>
        <w:tc>
          <w:tcPr>
            <w:tcW w:type="dxa" w:w="1872"/>
          </w:tcPr>
          <w:p>
            <w:pPr>
              <w:spacing w:before="20" w:after="20" w:line="276" w:lineRule="auto"/>
              <w:jc w:val="left"/>
            </w:pPr>
          </w:p>
        </w:tc>
        <w:tc>
          <w:tcPr>
            <w:tcW w:type="dxa" w:w="1872"/>
          </w:tcPr>
          <w:p>
            <w:pPr>
              <w:spacing w:before="20" w:after="20" w:line="276" w:lineRule="auto"/>
              <w:jc w:val="left"/>
            </w:pPr>
            <w:r>
              <w:rPr>
                <w:rFonts w:ascii="Times New Roman" w:hAnsi="Times New Roman" w:cs="Times New Roman" w:eastAsia="Times New Roman"/>
                <w:b/>
                <w:i w:val="0"/>
                <w:sz w:val="22"/>
              </w:rPr>
              <w:t>1.580.500.000</w:t>
            </w:r>
          </w:p>
        </w:tc>
      </w:tr>
      <w:tr>
        <w:tc>
          <w:tcPr>
            <w:tcW w:type="dxa" w:w="1872"/>
          </w:tcPr>
          <w:p>
            <w:pPr>
              <w:spacing w:before="20" w:after="20" w:line="276" w:lineRule="auto"/>
              <w:jc w:val="center"/>
            </w:pPr>
          </w:p>
        </w:tc>
        <w:tc>
          <w:tcPr>
            <w:tcW w:type="dxa" w:w="1872"/>
          </w:tcPr>
          <w:p>
            <w:pPr>
              <w:spacing w:before="20" w:after="20" w:line="276" w:lineRule="auto"/>
              <w:jc w:val="left"/>
            </w:pPr>
            <w:r>
              <w:rPr>
                <w:rFonts w:ascii="Times New Roman" w:hAnsi="Times New Roman" w:cs="Times New Roman" w:eastAsia="Times New Roman"/>
                <w:b/>
                <w:i w:val="0"/>
                <w:sz w:val="22"/>
              </w:rPr>
              <w:t>Tổng dự kiến (bao gồm hạ tầng Cloud)</w:t>
            </w:r>
          </w:p>
        </w:tc>
        <w:tc>
          <w:tcPr>
            <w:tcW w:type="dxa" w:w="1872"/>
          </w:tcPr>
          <w:p>
            <w:pPr>
              <w:spacing w:before="20" w:after="20" w:line="276" w:lineRule="auto"/>
              <w:jc w:val="left"/>
            </w:pPr>
          </w:p>
        </w:tc>
        <w:tc>
          <w:tcPr>
            <w:tcW w:type="dxa" w:w="1872"/>
          </w:tcPr>
          <w:p>
            <w:pPr>
              <w:spacing w:before="20" w:after="20" w:line="276" w:lineRule="auto"/>
              <w:jc w:val="left"/>
            </w:pPr>
          </w:p>
        </w:tc>
        <w:tc>
          <w:tcPr>
            <w:tcW w:type="dxa" w:w="1872"/>
          </w:tcPr>
          <w:p>
            <w:pPr>
              <w:spacing w:before="20" w:after="20" w:line="276" w:lineRule="auto"/>
              <w:jc w:val="left"/>
            </w:pPr>
            <w:r>
              <w:rPr>
                <w:rFonts w:ascii="Times New Roman" w:hAnsi="Times New Roman" w:cs="Times New Roman" w:eastAsia="Times New Roman"/>
                <w:b/>
                <w:i w:val="0"/>
                <w:sz w:val="22"/>
              </w:rPr>
              <w:t>~1.630.500.000 – 1.680.500.000</w:t>
            </w:r>
          </w:p>
        </w:tc>
      </w:tr>
    </w:tbl>
    <w:p>
      <w:pPr>
        <w:spacing w:before="40" w:after="40"/>
        <w:ind w:left="720"/>
        <w:jc w:val="both"/>
      </w:pPr>
      <w:r>
        <w:rPr>
          <w:rFonts w:ascii="Times New Roman" w:hAnsi="Times New Roman" w:cs="Times New Roman" w:eastAsia="Times New Roman"/>
          <w:b w:val="0"/>
          <w:i/>
          <w:sz w:val="24"/>
        </w:rPr>
        <w:t>Kiến nghị: Ban Giám đốc xem xét, phê duyệt phương án triển khai đồng bộ:</w:t>
      </w:r>
    </w:p>
    <w:p>
      <w:pPr>
        <w:spacing w:before="40" w:after="40"/>
        <w:ind w:left="720"/>
        <w:jc w:val="both"/>
      </w:pPr>
      <w:r>
        <w:rPr>
          <w:rFonts w:ascii="Times New Roman" w:hAnsi="Times New Roman" w:cs="Times New Roman" w:eastAsia="Times New Roman"/>
          <w:b w:val="0"/>
          <w:i/>
          <w:sz w:val="24"/>
        </w:rPr>
        <w:t>1. Phần cứng: 10 máy tính cấu hình BIM.</w:t>
      </w:r>
    </w:p>
    <w:p>
      <w:pPr>
        <w:spacing w:before="40" w:after="40"/>
        <w:ind w:left="720"/>
        <w:jc w:val="both"/>
      </w:pPr>
      <w:r>
        <w:rPr>
          <w:rFonts w:ascii="Times New Roman" w:hAnsi="Times New Roman" w:cs="Times New Roman" w:eastAsia="Times New Roman"/>
          <w:b w:val="0"/>
          <w:i/>
          <w:sz w:val="24"/>
        </w:rPr>
        <w:t>2. Phần mềm tạo lập mô hình: 10 license Autodesk AEC Collection.</w:t>
      </w:r>
    </w:p>
    <w:p>
      <w:pPr>
        <w:spacing w:before="40" w:after="40"/>
        <w:ind w:left="720"/>
        <w:jc w:val="both"/>
      </w:pPr>
      <w:r>
        <w:rPr>
          <w:rFonts w:ascii="Times New Roman" w:hAnsi="Times New Roman" w:cs="Times New Roman" w:eastAsia="Times New Roman"/>
          <w:b w:val="0"/>
          <w:i/>
          <w:sz w:val="24"/>
        </w:rPr>
        <w:t>3. Nền tảng CDE CIC (Phân hệ 1 + 2): Bản quyền phần mềm quản lý tài liệu và BIM Viewer — không giới hạn user, đáp ứng QCVN 12:2026/BCA (việc mở rộng số lượng user sẽ do Ban chủ động nâng cấp hạ tầng Cloud khi cần thiết).</w:t>
      </w:r>
    </w:p>
    <w:p>
      <w:pPr>
        <w:spacing w:before="40" w:after="40"/>
        <w:ind w:left="720"/>
        <w:jc w:val="both"/>
      </w:pPr>
      <w:r>
        <w:rPr>
          <w:rFonts w:ascii="Times New Roman" w:hAnsi="Times New Roman" w:cs="Times New Roman" w:eastAsia="Times New Roman"/>
          <w:b w:val="0"/>
          <w:i/>
          <w:sz w:val="24"/>
        </w:rPr>
        <w:t>4. Hạ tầng Cloud: Máy chủ đặt tại Việt Nam — đáp ứng yêu cầu chủ quyền dữ liệu theo Điều 2.2.16.1.4 QCVN 12.</w:t>
      </w: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r>
        <w:rPr>
          <w:rFonts w:ascii="Times New Roman" w:hAnsi="Times New Roman" w:cs="Times New Roman" w:eastAsia="Times New Roman"/>
          <w:b w:val="0"/>
          <w:i/>
          <w:sz w:val="24"/>
        </w:rPr>
        <w:t>Phương án này đảm bảo tuân thủ đầy đủ pháp luật về BIM và an ninh mạng ngay khi các quy định có hiệu lực từ 01/07/2026.</w:t>
      </w:r>
    </w:p>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535"/>
        <w:gridCol w:w="4819"/>
      </w:tblGrid>
      <w:tr>
        <w:tc>
          <w:tcPr>
            <w:tcW w:type="dxa" w:w="4680"/>
          </w:tcPr>
          <w:p/>
        </w:tc>
        <w:tc>
          <w:tcPr>
            <w:tcW w:type="dxa" w:w="4680"/>
          </w:tcPr>
          <w:p>
            <w:pPr>
              <w:jc w:val="center"/>
            </w:pPr>
            <w:r>
              <w:rPr>
                <w:rFonts w:ascii="Times New Roman" w:hAnsi="Times New Roman" w:cs="Times New Roman" w:eastAsia="Times New Roman"/>
                <w:b/>
                <w:i w:val="0"/>
                <w:sz w:val="23"/>
              </w:rPr>
              <w:t>CÔNG TY CỔ PHẦN CÔNG NGHỆ VÀ TƯ VẤN CIC</w:t>
            </w:r>
          </w:p>
          <w:p>
            <w:pPr>
              <w:jc w:val="center"/>
            </w:pPr>
            <w:r>
              <w:rPr>
                <w:rFonts w:ascii="Times New Roman" w:hAnsi="Times New Roman" w:cs="Times New Roman" w:eastAsia="Times New Roman"/>
                <w:b w:val="0"/>
                <w:i/>
                <w:sz w:val="23"/>
              </w:rPr>
              <w:t>(Ký tên, đóng dấu)</w:t>
            </w:r>
          </w:p>
        </w:tc>
      </w:tr>
    </w:tbl>
    <w:sectPr>
      <w:footnotePr/>
      <w:endnotePr/>
      <w:type w:val="nextPage"/>
      <w:pgSz w:h="15840" w:orient="portrait" w:w="12240"/>
      <w:pgMar w:top="568"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SimSun">
    <w:panose1 w:val="0201060003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76" w:lineRule="auto"/>
        <w:ind/>
        <w:rPr/>
      </w:pPr>
      <w:r>
        <w:separator/>
      </w:r>
      <w:r/>
    </w:p>
  </w:footnote>
  <w:footnote w:type="continuationSeparator" w:id="0">
    <w:p>
      <w:pPr>
        <w:pBdr/>
        <w:spacing w:after="0" w:before="0" w:line="276"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2EC447"/>
    <w:lvl w:ilvl="0">
      <w:isLgl w:val="false"/>
      <w:lvlJc w:val="left"/>
      <w:lvlText w:val="%1."/>
      <w:numFmt w:val="decimal"/>
      <w:pPr>
        <w:pBdr/>
        <w:spacing/>
        <w:ind/>
      </w:pPr>
      <w:rPr/>
      <w:start w:val="4"/>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BD1D1DCE"/>
    <w:lvl w:ilvl="0">
      <w:isLgl w:val="false"/>
      <w:lvlJc w:val="left"/>
      <w:lvlText w:val="%1."/>
      <w:numFmt w:val="decimal"/>
      <w:pPr>
        <w:pBdr/>
        <w:spacing/>
        <w:ind/>
      </w:pPr>
      <w:rPr/>
      <w:start w:val="2"/>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left" w:leader="none" w:pos="1080"/>
        </w:tabs>
        <w:spacing/>
        <w:ind w:hanging="360" w:left="1080"/>
      </w:pPr>
      <w:pStyle w:val="75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left" w:leader="none" w:pos="720"/>
        </w:tabs>
        <w:spacing/>
        <w:ind w:hanging="360" w:left="720"/>
      </w:pPr>
      <w:pStyle w:val="75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2"/>
    <w:lvl w:ilvl="0">
      <w:isLgl w:val="false"/>
      <w:lvlJc w:val="left"/>
      <w:lvlText w:val=""/>
      <w:numFmt w:val="bullet"/>
      <w:pPr>
        <w:pBdr/>
        <w:tabs>
          <w:tab w:val="left" w:leader="none" w:pos="1080"/>
        </w:tabs>
        <w:spacing/>
        <w:ind w:hanging="360" w:left="1080"/>
      </w:pPr>
      <w:pStyle w:val="75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3"/>
    <w:lvl w:ilvl="0">
      <w:isLgl w:val="false"/>
      <w:lvlJc w:val="left"/>
      <w:lvlText w:val=""/>
      <w:numFmt w:val="bullet"/>
      <w:pPr>
        <w:pBdr/>
        <w:tabs>
          <w:tab w:val="left" w:leader="none" w:pos="720"/>
        </w:tabs>
        <w:spacing/>
        <w:ind w:hanging="360" w:left="720"/>
      </w:pPr>
      <w:pStyle w:val="74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8"/>
    <w:lvl w:ilvl="0">
      <w:isLgl w:val="false"/>
      <w:lvlJc w:val="left"/>
      <w:lvlText w:val="%1."/>
      <w:numFmt w:val="decimal"/>
      <w:pPr>
        <w:pBdr/>
        <w:tabs>
          <w:tab w:val="left" w:leader="none" w:pos="360"/>
        </w:tabs>
        <w:spacing/>
        <w:ind w:hanging="360" w:left="360"/>
      </w:pPr>
      <w:pStyle w:val="75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9"/>
    <w:lvl w:ilvl="0">
      <w:isLgl w:val="false"/>
      <w:lvlJc w:val="left"/>
      <w:lvlText w:val=""/>
      <w:numFmt w:val="bullet"/>
      <w:pPr>
        <w:pBdr/>
        <w:tabs>
          <w:tab w:val="left" w:leader="none" w:pos="360"/>
        </w:tabs>
        <w:spacing/>
        <w:ind w:hanging="360" w:left="36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41F63B12"/>
    <w:lvl w:ilvl="0">
      <w:isLgl w:val="false"/>
      <w:lvlJc w:val="left"/>
      <w:lvlText w:val="-"/>
      <w:numFmt w:val="bullet"/>
      <w:pPr>
        <w:pBdr/>
        <w:spacing/>
        <w:ind w:hanging="360" w:left="720"/>
      </w:pPr>
      <w:rPr>
        <w:rFonts w:hint="default"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81">
    <w:name w:val="footnote text"/>
    <w:basedOn w:val="725"/>
    <w:link w:val="182"/>
    <w:uiPriority w:val="99"/>
    <w:semiHidden/>
    <w:unhideWhenUsed/>
    <w:pPr>
      <w:pBdr/>
      <w:spacing w:after="0" w:line="240" w:lineRule="auto"/>
      <w:ind/>
    </w:pPr>
    <w:rPr>
      <w:sz w:val="20"/>
      <w:szCs w:val="20"/>
    </w:rPr>
  </w:style>
  <w:style w:type="character" w:styleId="182">
    <w:name w:val="Footnote Text Char"/>
    <w:basedOn w:val="735"/>
    <w:link w:val="181"/>
    <w:uiPriority w:val="99"/>
    <w:semiHidden/>
    <w:pPr>
      <w:pBdr/>
      <w:spacing/>
      <w:ind/>
    </w:pPr>
    <w:rPr>
      <w:sz w:val="20"/>
      <w:szCs w:val="20"/>
    </w:rPr>
  </w:style>
  <w:style w:type="character" w:styleId="183">
    <w:name w:val="footnote reference"/>
    <w:basedOn w:val="735"/>
    <w:uiPriority w:val="99"/>
    <w:semiHidden/>
    <w:unhideWhenUsed/>
    <w:pPr>
      <w:pBdr/>
      <w:spacing/>
      <w:ind/>
    </w:pPr>
    <w:rPr>
      <w:vertAlign w:val="superscript"/>
    </w:rPr>
  </w:style>
  <w:style w:type="paragraph" w:styleId="184">
    <w:name w:val="endnote text"/>
    <w:basedOn w:val="725"/>
    <w:link w:val="185"/>
    <w:uiPriority w:val="99"/>
    <w:semiHidden/>
    <w:unhideWhenUsed/>
    <w:pPr>
      <w:pBdr/>
      <w:spacing w:after="0" w:line="240" w:lineRule="auto"/>
      <w:ind/>
    </w:pPr>
    <w:rPr>
      <w:sz w:val="20"/>
      <w:szCs w:val="20"/>
    </w:rPr>
  </w:style>
  <w:style w:type="character" w:styleId="185">
    <w:name w:val="Endnote Text Char"/>
    <w:basedOn w:val="735"/>
    <w:link w:val="184"/>
    <w:uiPriority w:val="99"/>
    <w:semiHidden/>
    <w:pPr>
      <w:pBdr/>
      <w:spacing/>
      <w:ind/>
    </w:pPr>
    <w:rPr>
      <w:sz w:val="20"/>
      <w:szCs w:val="20"/>
    </w:rPr>
  </w:style>
  <w:style w:type="character" w:styleId="186">
    <w:name w:val="endnote reference"/>
    <w:basedOn w:val="735"/>
    <w:uiPriority w:val="99"/>
    <w:semiHidden/>
    <w:unhideWhenUsed/>
    <w:pPr>
      <w:pBdr/>
      <w:spacing/>
      <w:ind/>
    </w:pPr>
    <w:rPr>
      <w:vertAlign w:val="superscript"/>
    </w:rPr>
  </w:style>
  <w:style w:type="character" w:styleId="188">
    <w:name w:val="FollowedHyperlink"/>
    <w:basedOn w:val="735"/>
    <w:uiPriority w:val="99"/>
    <w:semiHidden/>
    <w:unhideWhenUsed/>
    <w:pPr>
      <w:pBdr/>
      <w:spacing/>
      <w:ind/>
    </w:pPr>
    <w:rPr>
      <w:color w:val="954f72" w:themeColor="followedHyperlink"/>
      <w:u w:val="single"/>
    </w:rPr>
  </w:style>
  <w:style w:type="paragraph" w:styleId="189">
    <w:name w:val="toc 1"/>
    <w:basedOn w:val="725"/>
    <w:next w:val="725"/>
    <w:uiPriority w:val="39"/>
    <w:unhideWhenUsed/>
    <w:pPr>
      <w:pBdr/>
      <w:spacing w:after="100"/>
      <w:ind/>
    </w:pPr>
  </w:style>
  <w:style w:type="paragraph" w:styleId="190">
    <w:name w:val="toc 2"/>
    <w:basedOn w:val="725"/>
    <w:next w:val="725"/>
    <w:uiPriority w:val="39"/>
    <w:unhideWhenUsed/>
    <w:pPr>
      <w:pBdr/>
      <w:spacing w:after="100"/>
      <w:ind w:left="220"/>
    </w:pPr>
  </w:style>
  <w:style w:type="paragraph" w:styleId="191">
    <w:name w:val="toc 3"/>
    <w:basedOn w:val="725"/>
    <w:next w:val="725"/>
    <w:uiPriority w:val="39"/>
    <w:unhideWhenUsed/>
    <w:pPr>
      <w:pBdr/>
      <w:spacing w:after="100"/>
      <w:ind w:left="440"/>
    </w:pPr>
  </w:style>
  <w:style w:type="paragraph" w:styleId="192">
    <w:name w:val="toc 4"/>
    <w:basedOn w:val="725"/>
    <w:next w:val="725"/>
    <w:uiPriority w:val="39"/>
    <w:unhideWhenUsed/>
    <w:pPr>
      <w:pBdr/>
      <w:spacing w:after="100"/>
      <w:ind w:left="660"/>
    </w:pPr>
  </w:style>
  <w:style w:type="paragraph" w:styleId="193">
    <w:name w:val="toc 5"/>
    <w:basedOn w:val="725"/>
    <w:next w:val="725"/>
    <w:uiPriority w:val="39"/>
    <w:unhideWhenUsed/>
    <w:pPr>
      <w:pBdr/>
      <w:spacing w:after="100"/>
      <w:ind w:left="880"/>
    </w:pPr>
  </w:style>
  <w:style w:type="paragraph" w:styleId="194">
    <w:name w:val="toc 6"/>
    <w:basedOn w:val="725"/>
    <w:next w:val="725"/>
    <w:uiPriority w:val="39"/>
    <w:unhideWhenUsed/>
    <w:pPr>
      <w:pBdr/>
      <w:spacing w:after="100"/>
      <w:ind w:left="1100"/>
    </w:pPr>
  </w:style>
  <w:style w:type="paragraph" w:styleId="195">
    <w:name w:val="toc 7"/>
    <w:basedOn w:val="725"/>
    <w:next w:val="725"/>
    <w:uiPriority w:val="39"/>
    <w:unhideWhenUsed/>
    <w:pPr>
      <w:pBdr/>
      <w:spacing w:after="100"/>
      <w:ind w:left="1320"/>
    </w:pPr>
  </w:style>
  <w:style w:type="paragraph" w:styleId="196">
    <w:name w:val="toc 8"/>
    <w:basedOn w:val="725"/>
    <w:next w:val="725"/>
    <w:uiPriority w:val="39"/>
    <w:unhideWhenUsed/>
    <w:pPr>
      <w:pBdr/>
      <w:spacing w:after="100"/>
      <w:ind w:left="1540"/>
    </w:pPr>
  </w:style>
  <w:style w:type="paragraph" w:styleId="197">
    <w:name w:val="toc 9"/>
    <w:basedOn w:val="725"/>
    <w:next w:val="725"/>
    <w:uiPriority w:val="39"/>
    <w:unhideWhenUsed/>
    <w:pPr>
      <w:pBdr/>
      <w:spacing w:after="100"/>
      <w:ind w:left="1760"/>
    </w:pPr>
  </w:style>
  <w:style w:type="character" w:styleId="198">
    <w:name w:val="Placeholder Text"/>
    <w:basedOn w:val="735"/>
    <w:uiPriority w:val="99"/>
    <w:semiHidden/>
    <w:pPr>
      <w:pBdr/>
      <w:spacing/>
      <w:ind/>
    </w:pPr>
    <w:rPr>
      <w:color w:val="666666"/>
    </w:rPr>
  </w:style>
  <w:style w:type="paragraph" w:styleId="209">
    <w:name w:val="table of figures"/>
    <w:basedOn w:val="725"/>
    <w:next w:val="725"/>
    <w:uiPriority w:val="99"/>
    <w:unhideWhenUsed/>
    <w:pPr>
      <w:pBdr/>
      <w:spacing w:after="0" w:afterAutospacing="0"/>
      <w:ind/>
    </w:pPr>
  </w:style>
  <w:style w:type="paragraph" w:styleId="725" w:default="1">
    <w:name w:val="Normal"/>
    <w:uiPriority w:val="0"/>
    <w:qFormat/>
    <w:pPr>
      <w:pBdr/>
      <w:spacing w:after="200" w:line="276" w:lineRule="auto"/>
      <w:ind/>
    </w:pPr>
    <w:rPr>
      <w:rFonts w:ascii="Times New Roman" w:hAnsi="Times New Roman" w:eastAsiaTheme="minorEastAsia" w:cstheme="minorBidi"/>
      <w:color w:val="222222"/>
      <w:sz w:val="26"/>
      <w:szCs w:val="22"/>
      <w:lang w:val="en-US" w:eastAsia="en-US" w:bidi="ar-SA"/>
    </w:rPr>
  </w:style>
  <w:style w:type="paragraph" w:styleId="726">
    <w:name w:val="Heading 1"/>
    <w:basedOn w:val="725"/>
    <w:next w:val="725"/>
    <w:link w:val="863"/>
    <w:uiPriority w:val="9"/>
    <w:qFormat/>
    <w:pPr>
      <w:keepNext w:val="true"/>
      <w:keepLines w:val="true"/>
      <w:pBdr/>
      <w:spacing w:after="60" w:before="60" w:line="288" w:lineRule="auto"/>
      <w:ind/>
      <w:outlineLvl w:val="0"/>
    </w:pPr>
    <w:rPr>
      <w:rFonts w:eastAsiaTheme="majorEastAsia" w:cstheme="majorBidi"/>
      <w:b/>
      <w:bCs/>
      <w:color w:val="000000" w:themeColor="text1"/>
      <w:sz w:val="28"/>
      <w:szCs w:val="28"/>
      <w14:textFill>
        <w14:solidFill>
          <w14:schemeClr w14:val="tx1"/>
        </w14:solidFill>
      </w14:textFill>
    </w:rPr>
  </w:style>
  <w:style w:type="paragraph" w:styleId="727">
    <w:name w:val="Heading 2"/>
    <w:basedOn w:val="725"/>
    <w:next w:val="725"/>
    <w:link w:val="864"/>
    <w:uiPriority w:val="9"/>
    <w:unhideWhenUsed/>
    <w:qFormat/>
    <w:pPr>
      <w:keepNext w:val="true"/>
      <w:keepLines w:val="true"/>
      <w:pBdr/>
      <w:spacing w:after="60" w:before="60" w:line="288" w:lineRule="auto"/>
      <w:ind/>
      <w:outlineLvl w:val="1"/>
    </w:pPr>
    <w:rPr>
      <w:rFonts w:eastAsiaTheme="majorEastAsia" w:cstheme="majorBidi"/>
      <w:b/>
      <w:bCs/>
      <w:color w:val="auto"/>
      <w:szCs w:val="26"/>
    </w:rPr>
  </w:style>
  <w:style w:type="paragraph" w:styleId="728">
    <w:name w:val="Heading 3"/>
    <w:basedOn w:val="725"/>
    <w:next w:val="725"/>
    <w:link w:val="86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29">
    <w:name w:val="Heading 4"/>
    <w:basedOn w:val="725"/>
    <w:next w:val="725"/>
    <w:link w:val="875"/>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30">
    <w:name w:val="Heading 5"/>
    <w:basedOn w:val="725"/>
    <w:next w:val="725"/>
    <w:link w:val="876"/>
    <w:uiPriority w:val="9"/>
    <w:semiHidden/>
    <w:unhideWhenUsed/>
    <w:qFormat/>
    <w:pPr>
      <w:keepNext w:val="true"/>
      <w:keepLines w:val="true"/>
      <w:pBdr/>
      <w:spacing w:after="0" w:before="200"/>
      <w:ind/>
      <w:outlineLvl w:val="4"/>
    </w:pPr>
    <w:rPr>
      <w:rFonts w:asciiTheme="majorHAnsi" w:hAnsiTheme="majorHAnsi" w:eastAsiaTheme="majorEastAsia" w:cstheme="majorBidi"/>
      <w:color w:val="254061" w:themeColor="accent1" w:themeShade="80"/>
    </w:rPr>
  </w:style>
  <w:style w:type="paragraph" w:styleId="731">
    <w:name w:val="Heading 6"/>
    <w:basedOn w:val="725"/>
    <w:next w:val="725"/>
    <w:link w:val="877"/>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54061" w:themeColor="accent1" w:themeShade="80"/>
    </w:rPr>
  </w:style>
  <w:style w:type="paragraph" w:styleId="732">
    <w:name w:val="Heading 7"/>
    <w:basedOn w:val="725"/>
    <w:next w:val="725"/>
    <w:link w:val="878"/>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33">
    <w:name w:val="Heading 8"/>
    <w:basedOn w:val="725"/>
    <w:next w:val="725"/>
    <w:link w:val="879"/>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734">
    <w:name w:val="Heading 9"/>
    <w:basedOn w:val="725"/>
    <w:next w:val="725"/>
    <w:link w:val="880"/>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735" w:default="1">
    <w:name w:val="Default Paragraph Font"/>
    <w:uiPriority w:val="1"/>
    <w:unhideWhenUsed/>
    <w:pPr>
      <w:pBdr/>
      <w:spacing/>
      <w:ind/>
    </w:pPr>
  </w:style>
  <w:style w:type="table" w:styleId="73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Body Text"/>
    <w:basedOn w:val="725"/>
    <w:link w:val="869"/>
    <w:uiPriority w:val="99"/>
    <w:unhideWhenUsed/>
    <w:pPr>
      <w:pBdr/>
      <w:spacing w:after="120"/>
      <w:ind/>
    </w:pPr>
  </w:style>
  <w:style w:type="paragraph" w:styleId="738">
    <w:name w:val="Body Text 2"/>
    <w:basedOn w:val="725"/>
    <w:link w:val="870"/>
    <w:uiPriority w:val="99"/>
    <w:unhideWhenUsed/>
    <w:pPr>
      <w:pBdr/>
      <w:spacing w:after="120" w:line="480" w:lineRule="auto"/>
      <w:ind/>
    </w:pPr>
  </w:style>
  <w:style w:type="paragraph" w:styleId="739">
    <w:name w:val="Body Text 3"/>
    <w:basedOn w:val="725"/>
    <w:link w:val="871"/>
    <w:uiPriority w:val="99"/>
    <w:unhideWhenUsed/>
    <w:pPr>
      <w:pBdr/>
      <w:spacing w:after="120"/>
      <w:ind/>
    </w:pPr>
    <w:rPr>
      <w:sz w:val="16"/>
      <w:szCs w:val="16"/>
    </w:rPr>
  </w:style>
  <w:style w:type="paragraph" w:styleId="740">
    <w:name w:val="Caption"/>
    <w:basedOn w:val="725"/>
    <w:next w:val="725"/>
    <w:uiPriority w:val="35"/>
    <w:semiHidden/>
    <w:unhideWhenUsed/>
    <w:qFormat/>
    <w:pPr>
      <w:pBdr/>
      <w:spacing w:line="240" w:lineRule="auto"/>
      <w:ind/>
    </w:pPr>
    <w:rPr>
      <w:b/>
      <w:bCs/>
      <w:color w:val="4f81bd" w:themeColor="accent1"/>
      <w:sz w:val="18"/>
      <w:szCs w:val="18"/>
      <w14:textFill>
        <w14:solidFill>
          <w14:schemeClr w14:val="accent1"/>
        </w14:solidFill>
      </w14:textFill>
    </w:rPr>
  </w:style>
  <w:style w:type="character" w:styleId="741">
    <w:name w:val="Emphasis"/>
    <w:basedOn w:val="735"/>
    <w:uiPriority w:val="20"/>
    <w:qFormat/>
    <w:pPr>
      <w:pBdr/>
      <w:spacing/>
      <w:ind/>
    </w:pPr>
    <w:rPr>
      <w:i/>
      <w:iCs/>
    </w:rPr>
  </w:style>
  <w:style w:type="paragraph" w:styleId="742">
    <w:name w:val="Footer"/>
    <w:basedOn w:val="725"/>
    <w:link w:val="861"/>
    <w:uiPriority w:val="99"/>
    <w:unhideWhenUsed/>
    <w:pPr>
      <w:pBdr/>
      <w:tabs>
        <w:tab w:val="center" w:leader="none" w:pos="4680"/>
        <w:tab w:val="right" w:leader="none" w:pos="9360"/>
      </w:tabs>
      <w:spacing w:after="0" w:line="240" w:lineRule="auto"/>
      <w:ind/>
    </w:pPr>
  </w:style>
  <w:style w:type="paragraph" w:styleId="743">
    <w:name w:val="Header"/>
    <w:basedOn w:val="725"/>
    <w:link w:val="860"/>
    <w:uiPriority w:val="99"/>
    <w:unhideWhenUsed/>
    <w:pPr>
      <w:pBdr/>
      <w:tabs>
        <w:tab w:val="center" w:leader="none" w:pos="4680"/>
        <w:tab w:val="right" w:leader="none" w:pos="9360"/>
      </w:tabs>
      <w:spacing w:after="0" w:line="240" w:lineRule="auto"/>
      <w:ind/>
    </w:pPr>
  </w:style>
  <w:style w:type="character" w:styleId="744">
    <w:name w:val="Hyperlink"/>
    <w:basedOn w:val="735"/>
    <w:uiPriority w:val="99"/>
    <w:unhideWhenUsed/>
    <w:qFormat/>
    <w:pPr>
      <w:pBdr/>
      <w:spacing/>
      <w:ind/>
    </w:pPr>
    <w:rPr>
      <w:color w:val="0000ff" w:themeColor="hyperlink"/>
      <w:u w:val="single"/>
      <w14:textFill>
        <w14:solidFill>
          <w14:schemeClr w14:val="hlink"/>
        </w14:solidFill>
      </w14:textFill>
    </w:rPr>
  </w:style>
  <w:style w:type="paragraph" w:styleId="745">
    <w:name w:val="List"/>
    <w:basedOn w:val="725"/>
    <w:uiPriority w:val="99"/>
    <w:unhideWhenUsed/>
    <w:pPr>
      <w:pBdr/>
      <w:spacing/>
      <w:ind w:hanging="360" w:left="360"/>
      <w:contextualSpacing w:val="true"/>
    </w:pPr>
  </w:style>
  <w:style w:type="paragraph" w:styleId="746">
    <w:name w:val="List 2"/>
    <w:basedOn w:val="725"/>
    <w:uiPriority w:val="99"/>
    <w:unhideWhenUsed/>
    <w:pPr>
      <w:pBdr/>
      <w:spacing/>
      <w:ind w:hanging="360" w:left="720"/>
      <w:contextualSpacing w:val="true"/>
    </w:pPr>
  </w:style>
  <w:style w:type="paragraph" w:styleId="747">
    <w:name w:val="List 3"/>
    <w:basedOn w:val="725"/>
    <w:uiPriority w:val="99"/>
    <w:unhideWhenUsed/>
    <w:pPr>
      <w:pBdr/>
      <w:spacing/>
      <w:ind w:hanging="360" w:left="1080"/>
      <w:contextualSpacing w:val="true"/>
    </w:pPr>
  </w:style>
  <w:style w:type="paragraph" w:styleId="748">
    <w:name w:val="List Bullet"/>
    <w:basedOn w:val="725"/>
    <w:uiPriority w:val="99"/>
    <w:unhideWhenUsed/>
    <w:pPr>
      <w:numPr>
        <w:ilvl w:val="0"/>
        <w:numId w:val="1"/>
      </w:numPr>
      <w:pBdr/>
      <w:spacing/>
      <w:ind/>
      <w:contextualSpacing w:val="true"/>
    </w:pPr>
  </w:style>
  <w:style w:type="paragraph" w:styleId="749">
    <w:name w:val="List Bullet 2"/>
    <w:basedOn w:val="725"/>
    <w:uiPriority w:val="99"/>
    <w:unhideWhenUsed/>
    <w:pPr>
      <w:numPr>
        <w:ilvl w:val="0"/>
        <w:numId w:val="2"/>
      </w:numPr>
      <w:pBdr/>
      <w:spacing/>
      <w:ind/>
      <w:contextualSpacing w:val="true"/>
    </w:pPr>
  </w:style>
  <w:style w:type="paragraph" w:styleId="750">
    <w:name w:val="List Bullet 3"/>
    <w:basedOn w:val="725"/>
    <w:uiPriority w:val="99"/>
    <w:unhideWhenUsed/>
    <w:pPr>
      <w:numPr>
        <w:ilvl w:val="0"/>
        <w:numId w:val="3"/>
      </w:numPr>
      <w:pBdr/>
      <w:spacing/>
      <w:ind/>
      <w:contextualSpacing w:val="true"/>
    </w:pPr>
  </w:style>
  <w:style w:type="paragraph" w:styleId="751">
    <w:name w:val="List Continue"/>
    <w:basedOn w:val="725"/>
    <w:uiPriority w:val="99"/>
    <w:unhideWhenUsed/>
    <w:pPr>
      <w:pBdr/>
      <w:spacing w:after="120"/>
      <w:ind w:left="360"/>
      <w:contextualSpacing w:val="true"/>
    </w:pPr>
  </w:style>
  <w:style w:type="paragraph" w:styleId="752">
    <w:name w:val="List Continue 2"/>
    <w:basedOn w:val="725"/>
    <w:uiPriority w:val="99"/>
    <w:unhideWhenUsed/>
    <w:pPr>
      <w:pBdr/>
      <w:spacing w:after="120"/>
      <w:ind w:left="720"/>
      <w:contextualSpacing w:val="true"/>
    </w:pPr>
  </w:style>
  <w:style w:type="paragraph" w:styleId="753">
    <w:name w:val="List Continue 3"/>
    <w:basedOn w:val="725"/>
    <w:uiPriority w:val="99"/>
    <w:unhideWhenUsed/>
    <w:pPr>
      <w:pBdr/>
      <w:spacing w:after="120"/>
      <w:ind w:left="1080"/>
      <w:contextualSpacing w:val="true"/>
    </w:pPr>
  </w:style>
  <w:style w:type="paragraph" w:styleId="754">
    <w:name w:val="List Number"/>
    <w:basedOn w:val="725"/>
    <w:uiPriority w:val="99"/>
    <w:unhideWhenUsed/>
    <w:pPr>
      <w:numPr>
        <w:ilvl w:val="0"/>
        <w:numId w:val="4"/>
      </w:numPr>
      <w:pBdr/>
      <w:spacing/>
      <w:ind/>
      <w:contextualSpacing w:val="true"/>
    </w:pPr>
  </w:style>
  <w:style w:type="paragraph" w:styleId="755">
    <w:name w:val="List Number 2"/>
    <w:basedOn w:val="725"/>
    <w:uiPriority w:val="99"/>
    <w:unhideWhenUsed/>
    <w:pPr>
      <w:numPr>
        <w:ilvl w:val="0"/>
        <w:numId w:val="5"/>
      </w:numPr>
      <w:pBdr/>
      <w:spacing/>
      <w:ind/>
      <w:contextualSpacing w:val="true"/>
    </w:pPr>
  </w:style>
  <w:style w:type="paragraph" w:styleId="756">
    <w:name w:val="List Number 3"/>
    <w:basedOn w:val="725"/>
    <w:uiPriority w:val="99"/>
    <w:unhideWhenUsed/>
    <w:pPr>
      <w:numPr>
        <w:ilvl w:val="0"/>
        <w:numId w:val="6"/>
      </w:numPr>
      <w:pBdr/>
      <w:spacing/>
      <w:ind/>
      <w:contextualSpacing w:val="true"/>
    </w:pPr>
  </w:style>
  <w:style w:type="paragraph" w:styleId="757">
    <w:name w:val="macro"/>
    <w:link w:val="872"/>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ascii="Courier" w:hAnsi="Courier" w:eastAsiaTheme="minorEastAsia" w:cstheme="minorBidi"/>
      <w:sz w:val="20"/>
      <w:szCs w:val="20"/>
      <w:lang w:val="en-US" w:eastAsia="en-US" w:bidi="ar-SA"/>
    </w:rPr>
  </w:style>
  <w:style w:type="character" w:styleId="758">
    <w:name w:val="Strong"/>
    <w:basedOn w:val="735"/>
    <w:uiPriority w:val="22"/>
    <w:qFormat/>
    <w:pPr>
      <w:pBdr/>
      <w:spacing/>
      <w:ind/>
    </w:pPr>
    <w:rPr>
      <w:b/>
      <w:bCs/>
    </w:rPr>
  </w:style>
  <w:style w:type="paragraph" w:styleId="759">
    <w:name w:val="Subtitle"/>
    <w:basedOn w:val="725"/>
    <w:next w:val="725"/>
    <w:link w:val="867"/>
    <w:uiPriority w:val="11"/>
    <w:qFormat/>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760">
    <w:name w:val="Table Grid"/>
    <w:basedOn w:val="73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1">
    <w:name w:val="Title"/>
    <w:basedOn w:val="725"/>
    <w:next w:val="725"/>
    <w:link w:val="86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75e" w:themeColor="text2" w:themeShade="BF"/>
      <w:spacing w:val="5"/>
      <w:sz w:val="52"/>
      <w:szCs w:val="52"/>
    </w:rPr>
  </w:style>
  <w:style w:type="table" w:styleId="762">
    <w:name w:val="Light Shading"/>
    <w:basedOn w:val="736"/>
    <w:uiPriority w:val="60"/>
    <w:pPr>
      <w:pBdr/>
      <w:spacing w:after="0" w:line="240" w:lineRule="auto"/>
      <w:ind/>
    </w:pPr>
    <w:rPr>
      <w:color w:val="000000" w:themeColor="text1" w:themeShade="BF"/>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left w:val="none" w:color="000000" w:sz="4" w:space="0"/>
          <w:right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Shading Accent 1"/>
    <w:basedOn w:val="736"/>
    <w:uiPriority w:val="60"/>
    <w:pPr>
      <w:pBdr/>
      <w:spacing w:after="0" w:line="240" w:lineRule="auto"/>
      <w:ind/>
    </w:pPr>
    <w:rPr>
      <w:color w:val="376092" w:themeColor="accent1" w:themeShade="BF"/>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Accent 2"/>
    <w:basedOn w:val="736"/>
    <w:uiPriority w:val="60"/>
    <w:pPr>
      <w:pBdr/>
      <w:spacing w:after="0" w:line="240" w:lineRule="auto"/>
      <w:ind/>
    </w:pPr>
    <w:rPr>
      <w:color w:val="953735" w:themeColor="accent2" w:themeShade="BF"/>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3"/>
    <w:basedOn w:val="736"/>
    <w:uiPriority w:val="60"/>
    <w:pPr>
      <w:pBdr/>
      <w:spacing w:after="0" w:line="240" w:lineRule="auto"/>
      <w:ind/>
    </w:pPr>
    <w:rPr>
      <w:color w:val="77933c" w:themeColor="accent3" w:themeShade="BF"/>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4"/>
    <w:basedOn w:val="736"/>
    <w:uiPriority w:val="60"/>
    <w:pPr>
      <w:pBdr/>
      <w:spacing w:after="0" w:line="240" w:lineRule="auto"/>
      <w:ind/>
    </w:pPr>
    <w:rPr>
      <w:color w:val="604a7b" w:themeColor="accent4" w:themeShade="BF"/>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5"/>
    <w:basedOn w:val="736"/>
    <w:uiPriority w:val="60"/>
    <w:pPr>
      <w:pBdr/>
      <w:spacing w:after="0" w:line="240" w:lineRule="auto"/>
      <w:ind/>
    </w:pPr>
    <w:rPr>
      <w:color w:val="31859c" w:themeColor="accent5" w:themeShade="BF"/>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6"/>
    <w:basedOn w:val="736"/>
    <w:uiPriority w:val="60"/>
    <w:pPr>
      <w:pBdr/>
      <w:spacing w:after="0" w:line="240" w:lineRule="auto"/>
      <w:ind/>
    </w:pPr>
    <w:rPr>
      <w:color w:val="e46c0a" w:themeColor="accent6" w:themeShade="BF"/>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w:basedOn w:val="736"/>
    <w:uiPriority w:val="61"/>
    <w:pPr>
      <w:pBdr/>
      <w:spacing w:after="0" w:line="240" w:lineRule="auto"/>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List Accent 1"/>
    <w:basedOn w:val="736"/>
    <w:uiPriority w:val="61"/>
    <w:pPr>
      <w:pBdr/>
      <w:spacing w:after="0" w:line="240" w:lineRule="auto"/>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Accent 2"/>
    <w:basedOn w:val="736"/>
    <w:uiPriority w:val="61"/>
    <w:pPr>
      <w:pBdr/>
      <w:spacing w:after="0" w:line="240" w:lineRule="auto"/>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3"/>
    <w:basedOn w:val="736"/>
    <w:uiPriority w:val="61"/>
    <w:pPr>
      <w:pBdr/>
      <w:spacing w:after="0" w:line="240" w:lineRule="auto"/>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4"/>
    <w:basedOn w:val="736"/>
    <w:uiPriority w:val="61"/>
    <w:pPr>
      <w:pBdr/>
      <w:spacing w:after="0" w:line="240" w:lineRule="auto"/>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5"/>
    <w:basedOn w:val="736"/>
    <w:uiPriority w:val="61"/>
    <w:pPr>
      <w:pBdr/>
      <w:spacing w:after="0" w:line="240" w:lineRule="auto"/>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6"/>
    <w:basedOn w:val="736"/>
    <w:uiPriority w:val="61"/>
    <w:pPr>
      <w:pBdr/>
      <w:spacing w:after="0" w:line="240" w:lineRule="auto"/>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w:basedOn w:val="736"/>
    <w:uiPriority w:val="62"/>
    <w:pPr>
      <w:pBdr/>
      <w:spacing w:after="0" w:line="240" w:lineRule="auto"/>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Grid Accent 1"/>
    <w:basedOn w:val="736"/>
    <w:uiPriority w:val="62"/>
    <w:pPr>
      <w:pBdr/>
      <w:spacing w:after="0" w:line="240" w:lineRule="auto"/>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Accent 2"/>
    <w:basedOn w:val="736"/>
    <w:uiPriority w:val="62"/>
    <w:pPr>
      <w:pBdr/>
      <w:spacing w:after="0" w:line="240" w:lineRule="auto"/>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3"/>
    <w:basedOn w:val="736"/>
    <w:uiPriority w:val="62"/>
    <w:pPr>
      <w:pBdr/>
      <w:spacing w:after="0" w:line="240" w:lineRule="auto"/>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4"/>
    <w:basedOn w:val="736"/>
    <w:uiPriority w:val="62"/>
    <w:pPr>
      <w:pBdr/>
      <w:spacing w:after="0" w:line="240" w:lineRule="auto"/>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5"/>
    <w:basedOn w:val="736"/>
    <w:uiPriority w:val="62"/>
    <w:pPr>
      <w:pBdr/>
      <w:spacing w:after="0" w:line="240" w:lineRule="auto"/>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6"/>
    <w:basedOn w:val="736"/>
    <w:uiPriority w:val="62"/>
    <w:pPr>
      <w:pBdr/>
      <w:spacing w:after="0" w:line="240" w:lineRule="auto"/>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w:basedOn w:val="736"/>
    <w:uiPriority w:val="63"/>
    <w:pPr>
      <w:pBdr/>
      <w:spacing w:after="0" w:line="240" w:lineRule="auto"/>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1 Accent 1"/>
    <w:basedOn w:val="736"/>
    <w:uiPriority w:val="63"/>
    <w:pPr>
      <w:pBdr/>
      <w:spacing w:after="0" w:line="240" w:lineRule="auto"/>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Accent 2"/>
    <w:basedOn w:val="736"/>
    <w:uiPriority w:val="63"/>
    <w:pPr>
      <w:pBdr/>
      <w:spacing w:after="0" w:line="240" w:lineRule="auto"/>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3"/>
    <w:basedOn w:val="736"/>
    <w:uiPriority w:val="63"/>
    <w:pPr>
      <w:pBdr/>
      <w:spacing w:after="0" w:line="240" w:lineRule="auto"/>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4"/>
    <w:basedOn w:val="736"/>
    <w:uiPriority w:val="63"/>
    <w:pPr>
      <w:pBdr/>
      <w:spacing w:after="0" w:line="240" w:lineRule="auto"/>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5"/>
    <w:basedOn w:val="736"/>
    <w:uiPriority w:val="63"/>
    <w:pPr>
      <w:pBdr/>
      <w:spacing w:after="0" w:line="240" w:lineRule="auto"/>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6"/>
    <w:basedOn w:val="736"/>
    <w:uiPriority w:val="63"/>
    <w:pPr>
      <w:pBdr/>
      <w:spacing w:after="0" w:line="240" w:lineRule="auto"/>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2 Accent 1"/>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Accent 2"/>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3"/>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4"/>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5"/>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6"/>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w:basedOn w:val="736"/>
    <w:uiPriority w:val="65"/>
    <w:pPr>
      <w:pBdr/>
      <w:spacing w:after="0" w:line="240" w:lineRule="auto"/>
      <w:ind/>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1 Accent 1"/>
    <w:basedOn w:val="736"/>
    <w:uiPriority w:val="65"/>
    <w:pPr>
      <w:pBdr/>
      <w:spacing w:after="0" w:line="240" w:lineRule="auto"/>
      <w:ind/>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Accent 2"/>
    <w:basedOn w:val="736"/>
    <w:uiPriority w:val="65"/>
    <w:pPr>
      <w:pBdr/>
      <w:spacing w:after="0" w:line="240" w:lineRule="auto"/>
      <w:ind/>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3"/>
    <w:basedOn w:val="736"/>
    <w:uiPriority w:val="65"/>
    <w:pPr>
      <w:pBdr/>
      <w:spacing w:after="0" w:line="240" w:lineRule="auto"/>
      <w:ind/>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4"/>
    <w:basedOn w:val="736"/>
    <w:uiPriority w:val="65"/>
    <w:pPr>
      <w:pBdr/>
      <w:spacing w:after="0" w:line="240" w:lineRule="auto"/>
      <w:ind/>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5"/>
    <w:basedOn w:val="736"/>
    <w:uiPriority w:val="65"/>
    <w:pPr>
      <w:pBdr/>
      <w:spacing w:after="0" w:line="240" w:lineRule="auto"/>
      <w:ind/>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6"/>
    <w:basedOn w:val="736"/>
    <w:uiPriority w:val="65"/>
    <w:pPr>
      <w:pBdr/>
      <w:spacing w:after="0" w:line="240" w:lineRule="auto"/>
      <w:ind/>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bfbfbf" w:themeFill="text1" w:themeFillTint="3F"/>
        <w:tcBorders>
          <w:top w:val="none" w:color="000000" w:sz="4" w:space="0"/>
          <w:bottom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2 Accent 1"/>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Accent 2"/>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3"/>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4"/>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5"/>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6"/>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w:basedOn w:val="736"/>
    <w:uiPriority w:val="67"/>
    <w:pPr>
      <w:pBdr/>
      <w:spacing w:after="0" w:line="240" w:lineRule="auto"/>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f3f3f"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1 Accent 1"/>
    <w:basedOn w:val="736"/>
    <w:uiPriority w:val="67"/>
    <w:pPr>
      <w:pBdr/>
      <w:spacing w:after="0" w:line="240" w:lineRule="auto"/>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Accent 2"/>
    <w:basedOn w:val="736"/>
    <w:uiPriority w:val="67"/>
    <w:pPr>
      <w:pBdr/>
      <w:spacing w:after="0" w:line="240" w:lineRule="auto"/>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3"/>
    <w:basedOn w:val="736"/>
    <w:uiPriority w:val="67"/>
    <w:pPr>
      <w:pBdr/>
      <w:spacing w:after="0" w:line="240" w:lineRule="auto"/>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4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4"/>
    <w:basedOn w:val="736"/>
    <w:uiPriority w:val="67"/>
    <w:pPr>
      <w:pBdr/>
      <w:spacing w:after="0" w:line="240" w:lineRule="auto"/>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5"/>
    <w:basedOn w:val="736"/>
    <w:uiPriority w:val="67"/>
    <w:pPr>
      <w:pBdr/>
      <w:spacing w:after="0" w:line="240" w:lineRule="auto"/>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6"/>
    <w:basedOn w:val="736"/>
    <w:uiPriority w:val="67"/>
    <w:pPr>
      <w:pBdr/>
      <w:spacing w:after="0" w:line="240" w:lineRule="auto"/>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5e5e5" w:themeFill="tex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2 Accent 1"/>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2f8" w:themeFill="accen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Accent 2"/>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8eded" w:themeFill="accent2"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3"/>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5f8ee" w:themeFill="accent3"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4"/>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2eff5" w:themeFill="accent4"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5"/>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6f9" w:themeFill="accent5"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6"/>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ef4ec" w:themeFill="accent6"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3 Accent 1"/>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Accent 2"/>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3"/>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4"/>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5"/>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6"/>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Dark List Accent 1"/>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60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1"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Accent 2"/>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7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3"/>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7"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4"/>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0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5"/>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6"/>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w:basedOn w:val="736"/>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Shading Accent 1"/>
    <w:basedOn w:val="736"/>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b4d74" w:themeFill="accen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Accent 2"/>
    <w:basedOn w:val="736"/>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3"/>
    <w:basedOn w:val="736"/>
    <w:uiPriority w:val="71"/>
    <w:pPr>
      <w:pBdr/>
      <w:spacing w:after="0" w:line="240" w:lineRule="auto"/>
      <w:ind/>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4"/>
    <w:basedOn w:val="736"/>
    <w:uiPriority w:val="71"/>
    <w:pPr>
      <w:pBdr/>
      <w:spacing w:after="0" w:line="240" w:lineRule="auto"/>
      <w:ind/>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c3a62" w:themeFill="accent4"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5"/>
    <w:basedOn w:val="736"/>
    <w:uiPriority w:val="71"/>
    <w:pPr>
      <w:pBdr/>
      <w:spacing w:after="0" w:line="240" w:lineRule="auto"/>
      <w:ind/>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6"/>
    <w:basedOn w:val="736"/>
    <w:uiPriority w:val="71"/>
    <w:pPr>
      <w:pBdr/>
      <w:spacing w:after="0" w:line="240" w:lineRule="auto"/>
      <w:ind/>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b65607" w:themeFill="accent6"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e5e5e5"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bfbfbf"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List Accent 1"/>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Accent 2"/>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3"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3"/>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4"/>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2eff5"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5"/>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0"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f3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6"/>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5d1"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Grid Accent 1"/>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Accent 2"/>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3"/>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4"/>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5"/>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6"/>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0" w:customStyle="1">
    <w:name w:val="Header Char"/>
    <w:basedOn w:val="735"/>
    <w:link w:val="743"/>
    <w:uiPriority w:val="99"/>
    <w:pPr>
      <w:pBdr/>
      <w:spacing/>
      <w:ind/>
    </w:pPr>
  </w:style>
  <w:style w:type="character" w:styleId="861" w:customStyle="1">
    <w:name w:val="Footer Char"/>
    <w:basedOn w:val="735"/>
    <w:link w:val="742"/>
    <w:uiPriority w:val="99"/>
    <w:pPr>
      <w:pBdr/>
      <w:spacing/>
      <w:ind/>
    </w:pPr>
  </w:style>
  <w:style w:type="paragraph" w:styleId="862">
    <w:name w:val="No Spacing"/>
    <w:uiPriority w:val="1"/>
    <w:qFormat/>
    <w:pPr>
      <w:pBdr/>
      <w:spacing w:after="0" w:line="240" w:lineRule="auto"/>
      <w:ind/>
    </w:pPr>
    <w:rPr>
      <w:rFonts w:asciiTheme="minorHAnsi" w:hAnsiTheme="minorHAnsi" w:eastAsiaTheme="minorEastAsia" w:cstheme="minorBidi"/>
      <w:sz w:val="22"/>
      <w:szCs w:val="22"/>
      <w:lang w:val="en-US" w:eastAsia="en-US" w:bidi="ar-SA"/>
    </w:rPr>
  </w:style>
  <w:style w:type="character" w:styleId="863" w:customStyle="1">
    <w:name w:val="Heading 1 Char"/>
    <w:basedOn w:val="735"/>
    <w:link w:val="726"/>
    <w:uiPriority w:val="9"/>
    <w:pPr>
      <w:pBdr/>
      <w:spacing/>
      <w:ind/>
    </w:pPr>
    <w:rPr>
      <w:rFonts w:ascii="Times New Roman" w:hAnsi="Times New Roman" w:eastAsiaTheme="majorEastAsia" w:cstheme="majorBidi"/>
      <w:b/>
      <w:bCs/>
      <w:color w:val="000000" w:themeColor="text1"/>
      <w:sz w:val="28"/>
      <w:szCs w:val="28"/>
      <w14:textFill>
        <w14:solidFill>
          <w14:schemeClr w14:val="tx1"/>
        </w14:solidFill>
      </w14:textFill>
    </w:rPr>
  </w:style>
  <w:style w:type="character" w:styleId="864" w:customStyle="1">
    <w:name w:val="Heading 2 Char"/>
    <w:basedOn w:val="735"/>
    <w:link w:val="727"/>
    <w:uiPriority w:val="9"/>
    <w:pPr>
      <w:pBdr/>
      <w:spacing/>
      <w:ind/>
    </w:pPr>
    <w:rPr>
      <w:rFonts w:ascii="Times New Roman" w:hAnsi="Times New Roman" w:eastAsiaTheme="majorEastAsia" w:cstheme="majorBidi"/>
      <w:b/>
      <w:bCs/>
      <w:sz w:val="26"/>
      <w:szCs w:val="26"/>
    </w:rPr>
  </w:style>
  <w:style w:type="character" w:styleId="865" w:customStyle="1">
    <w:name w:val="Heading 3 Char"/>
    <w:basedOn w:val="735"/>
    <w:link w:val="728"/>
    <w:uiPriority w:val="9"/>
    <w:pPr>
      <w:pBdr/>
      <w:spacing/>
      <w:ind/>
    </w:pPr>
    <w:rPr>
      <w:rFonts w:asciiTheme="majorHAnsi" w:hAnsiTheme="majorHAnsi" w:eastAsiaTheme="majorEastAsia" w:cstheme="majorBidi"/>
      <w:b/>
      <w:bCs/>
      <w:color w:val="4f81bd" w:themeColor="accent1"/>
      <w14:textFill>
        <w14:solidFill>
          <w14:schemeClr w14:val="accent1"/>
        </w14:solidFill>
      </w14:textFill>
    </w:rPr>
  </w:style>
  <w:style w:type="character" w:styleId="866" w:customStyle="1">
    <w:name w:val="Title Char"/>
    <w:basedOn w:val="735"/>
    <w:link w:val="761"/>
    <w:uiPriority w:val="10"/>
    <w:pPr>
      <w:pBdr/>
      <w:spacing/>
      <w:ind/>
    </w:pPr>
    <w:rPr>
      <w:rFonts w:asciiTheme="majorHAnsi" w:hAnsiTheme="majorHAnsi" w:eastAsiaTheme="majorEastAsia" w:cstheme="majorBidi"/>
      <w:color w:val="17375e" w:themeColor="text2" w:themeShade="BF"/>
      <w:spacing w:val="5"/>
      <w:sz w:val="52"/>
      <w:szCs w:val="52"/>
    </w:rPr>
  </w:style>
  <w:style w:type="character" w:styleId="867" w:customStyle="1">
    <w:name w:val="Subtitle Char"/>
    <w:basedOn w:val="735"/>
    <w:link w:val="759"/>
    <w:uiPriority w:val="11"/>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868">
    <w:name w:val="List Paragraph"/>
    <w:basedOn w:val="725"/>
    <w:uiPriority w:val="34"/>
    <w:qFormat/>
    <w:pPr>
      <w:pBdr/>
      <w:spacing/>
      <w:ind w:left="720"/>
      <w:contextualSpacing w:val="true"/>
    </w:pPr>
  </w:style>
  <w:style w:type="character" w:styleId="869" w:customStyle="1">
    <w:name w:val="Body Text Char"/>
    <w:basedOn w:val="735"/>
    <w:link w:val="737"/>
    <w:uiPriority w:val="99"/>
    <w:pPr>
      <w:pBdr/>
      <w:spacing/>
      <w:ind/>
    </w:pPr>
  </w:style>
  <w:style w:type="character" w:styleId="870" w:customStyle="1">
    <w:name w:val="Body Text 2 Char"/>
    <w:basedOn w:val="735"/>
    <w:link w:val="738"/>
    <w:uiPriority w:val="99"/>
    <w:pPr>
      <w:pBdr/>
      <w:spacing/>
      <w:ind/>
    </w:pPr>
  </w:style>
  <w:style w:type="character" w:styleId="871" w:customStyle="1">
    <w:name w:val="Body Text 3 Char"/>
    <w:basedOn w:val="735"/>
    <w:link w:val="739"/>
    <w:uiPriority w:val="99"/>
    <w:pPr>
      <w:pBdr/>
      <w:spacing/>
      <w:ind/>
    </w:pPr>
    <w:rPr>
      <w:sz w:val="16"/>
      <w:szCs w:val="16"/>
    </w:rPr>
  </w:style>
  <w:style w:type="character" w:styleId="872" w:customStyle="1">
    <w:name w:val="Macro Text Char"/>
    <w:basedOn w:val="735"/>
    <w:link w:val="757"/>
    <w:uiPriority w:val="99"/>
    <w:pPr>
      <w:pBdr/>
      <w:spacing/>
      <w:ind/>
    </w:pPr>
    <w:rPr>
      <w:rFonts w:ascii="Courier" w:hAnsi="Courier"/>
      <w:sz w:val="20"/>
      <w:szCs w:val="20"/>
    </w:rPr>
  </w:style>
  <w:style w:type="paragraph" w:styleId="873">
    <w:name w:val="Quote"/>
    <w:basedOn w:val="725"/>
    <w:next w:val="725"/>
    <w:link w:val="874"/>
    <w:uiPriority w:val="29"/>
    <w:qFormat/>
    <w:pPr>
      <w:pBdr/>
      <w:spacing/>
      <w:ind/>
    </w:pPr>
    <w:rPr>
      <w:i/>
      <w:iCs/>
      <w:color w:val="000000" w:themeColor="text1"/>
      <w14:textFill>
        <w14:solidFill>
          <w14:schemeClr w14:val="tx1"/>
        </w14:solidFill>
      </w14:textFill>
    </w:rPr>
  </w:style>
  <w:style w:type="character" w:styleId="874" w:customStyle="1">
    <w:name w:val="Quote Char"/>
    <w:basedOn w:val="735"/>
    <w:link w:val="873"/>
    <w:uiPriority w:val="29"/>
    <w:pPr>
      <w:pBdr/>
      <w:spacing/>
      <w:ind/>
    </w:pPr>
    <w:rPr>
      <w:i/>
      <w:iCs/>
      <w:color w:val="000000" w:themeColor="text1"/>
      <w14:textFill>
        <w14:solidFill>
          <w14:schemeClr w14:val="tx1"/>
        </w14:solidFill>
      </w14:textFill>
    </w:rPr>
  </w:style>
  <w:style w:type="character" w:styleId="875" w:customStyle="1">
    <w:name w:val="Heading 4 Char"/>
    <w:basedOn w:val="735"/>
    <w:link w:val="729"/>
    <w:uiPriority w:val="9"/>
    <w:semiHidden/>
    <w:pPr>
      <w:pBdr/>
      <w:spacing/>
      <w:ind/>
    </w:pPr>
    <w:rPr>
      <w:rFonts w:asciiTheme="majorHAnsi" w:hAnsiTheme="majorHAnsi" w:eastAsiaTheme="majorEastAsia" w:cstheme="majorBidi"/>
      <w:b/>
      <w:bCs/>
      <w:i/>
      <w:iCs/>
      <w:color w:val="4f81bd" w:themeColor="accent1"/>
      <w14:textFill>
        <w14:solidFill>
          <w14:schemeClr w14:val="accent1"/>
        </w14:solidFill>
      </w14:textFill>
    </w:rPr>
  </w:style>
  <w:style w:type="character" w:styleId="876" w:customStyle="1">
    <w:name w:val="Heading 5 Char"/>
    <w:basedOn w:val="735"/>
    <w:link w:val="730"/>
    <w:uiPriority w:val="9"/>
    <w:semiHidden/>
    <w:pPr>
      <w:pBdr/>
      <w:spacing/>
      <w:ind/>
    </w:pPr>
    <w:rPr>
      <w:rFonts w:asciiTheme="majorHAnsi" w:hAnsiTheme="majorHAnsi" w:eastAsiaTheme="majorEastAsia" w:cstheme="majorBidi"/>
      <w:color w:val="254061" w:themeColor="accent1" w:themeShade="80"/>
    </w:rPr>
  </w:style>
  <w:style w:type="character" w:styleId="877" w:customStyle="1">
    <w:name w:val="Heading 6 Char"/>
    <w:basedOn w:val="735"/>
    <w:link w:val="731"/>
    <w:uiPriority w:val="9"/>
    <w:semiHidden/>
    <w:pPr>
      <w:pBdr/>
      <w:spacing/>
      <w:ind/>
    </w:pPr>
    <w:rPr>
      <w:rFonts w:asciiTheme="majorHAnsi" w:hAnsiTheme="majorHAnsi" w:eastAsiaTheme="majorEastAsia" w:cstheme="majorBidi"/>
      <w:i/>
      <w:iCs/>
      <w:color w:val="254061" w:themeColor="accent1" w:themeShade="80"/>
    </w:rPr>
  </w:style>
  <w:style w:type="character" w:styleId="878" w:customStyle="1">
    <w:name w:val="Heading 7 Char"/>
    <w:basedOn w:val="735"/>
    <w:link w:val="732"/>
    <w:uiPriority w:val="9"/>
    <w:semiHidden/>
    <w:pPr>
      <w:pBdr/>
      <w:spacing/>
      <w:ind/>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879" w:customStyle="1">
    <w:name w:val="Heading 8 Char"/>
    <w:basedOn w:val="735"/>
    <w:link w:val="733"/>
    <w:uiPriority w:val="9"/>
    <w:semiHidden/>
    <w:pPr>
      <w:pBdr/>
      <w:spacing/>
      <w:ind/>
    </w:pPr>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880" w:customStyle="1">
    <w:name w:val="Heading 9 Char"/>
    <w:basedOn w:val="735"/>
    <w:link w:val="734"/>
    <w:uiPriority w:val="9"/>
    <w:semiHidden/>
    <w:pPr>
      <w:pBdr/>
      <w:spacing/>
      <w:ind/>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881">
    <w:name w:val="Intense Quote"/>
    <w:basedOn w:val="725"/>
    <w:next w:val="725"/>
    <w:link w:val="882"/>
    <w:uiPriority w:val="30"/>
    <w:qFormat/>
    <w:pPr>
      <w:pBdr>
        <w:bottom w:val="single" w:color="4f81bd" w:themeColor="accent1" w:sz="4" w:space="4"/>
      </w:pBdr>
      <w:spacing w:after="280" w:before="200"/>
      <w:ind w:right="936" w:left="936"/>
    </w:pPr>
    <w:rPr>
      <w:b/>
      <w:bCs/>
      <w:i/>
      <w:iCs/>
      <w:color w:val="4f81bd" w:themeColor="accent1"/>
      <w14:textFill>
        <w14:solidFill>
          <w14:schemeClr w14:val="accent1"/>
        </w14:solidFill>
      </w14:textFill>
    </w:rPr>
  </w:style>
  <w:style w:type="character" w:styleId="882" w:customStyle="1">
    <w:name w:val="Intense Quote Char"/>
    <w:basedOn w:val="735"/>
    <w:link w:val="881"/>
    <w:uiPriority w:val="30"/>
    <w:pPr>
      <w:pBdr/>
      <w:spacing/>
      <w:ind/>
    </w:pPr>
    <w:rPr>
      <w:b/>
      <w:bCs/>
      <w:i/>
      <w:iCs/>
      <w:color w:val="4f81bd" w:themeColor="accent1"/>
      <w14:textFill>
        <w14:solidFill>
          <w14:schemeClr w14:val="accent1"/>
        </w14:solidFill>
      </w14:textFill>
    </w:rPr>
  </w:style>
  <w:style w:type="character" w:styleId="883" w:customStyle="1">
    <w:name w:val="Subtle Emphasis"/>
    <w:basedOn w:val="735"/>
    <w:uiPriority w:val="19"/>
    <w:qFormat/>
    <w:pPr>
      <w:pBdr/>
      <w:spacing/>
      <w:ind/>
    </w:pPr>
    <w:rPr>
      <w:i/>
      <w:iCs/>
      <w:color w:val="808080" w:themeColor="text1" w:themeTint="80"/>
      <w14:textFill>
        <w14:solidFill>
          <w14:schemeClr w14:val="tx1">
            <w14:lumMod w14:val="50000"/>
            <w14:lumOff w14:val="50000"/>
          </w14:schemeClr>
        </w14:solidFill>
      </w14:textFill>
    </w:rPr>
  </w:style>
  <w:style w:type="character" w:styleId="884" w:customStyle="1">
    <w:name w:val="Intense Emphasis"/>
    <w:basedOn w:val="735"/>
    <w:uiPriority w:val="21"/>
    <w:qFormat/>
    <w:pPr>
      <w:pBdr/>
      <w:spacing/>
      <w:ind/>
    </w:pPr>
    <w:rPr>
      <w:b/>
      <w:bCs/>
      <w:i/>
      <w:iCs/>
      <w:color w:val="4f81bd" w:themeColor="accent1"/>
      <w14:textFill>
        <w14:solidFill>
          <w14:schemeClr w14:val="accent1"/>
        </w14:solidFill>
      </w14:textFill>
    </w:rPr>
  </w:style>
  <w:style w:type="character" w:styleId="885" w:customStyle="1">
    <w:name w:val="Subtle Reference"/>
    <w:basedOn w:val="735"/>
    <w:uiPriority w:val="31"/>
    <w:qFormat/>
    <w:pPr>
      <w:pBdr/>
      <w:spacing/>
      <w:ind/>
    </w:pPr>
    <w:rPr>
      <w:smallCaps/>
      <w:color w:val="c0504d" w:themeColor="accent2"/>
      <w:u w:val="single"/>
      <w14:textFill>
        <w14:solidFill>
          <w14:schemeClr w14:val="accent2"/>
        </w14:solidFill>
      </w14:textFill>
    </w:rPr>
  </w:style>
  <w:style w:type="character" w:styleId="886" w:customStyle="1">
    <w:name w:val="Intense Reference"/>
    <w:basedOn w:val="735"/>
    <w:uiPriority w:val="32"/>
    <w:qFormat/>
    <w:pPr>
      <w:pBdr/>
      <w:spacing/>
      <w:ind/>
    </w:pPr>
    <w:rPr>
      <w:b/>
      <w:bCs/>
      <w:smallCaps/>
      <w:color w:val="c0504d" w:themeColor="accent2"/>
      <w:spacing w:val="5"/>
      <w:u w:val="single"/>
      <w14:textFill>
        <w14:solidFill>
          <w14:schemeClr w14:val="accent2"/>
        </w14:solidFill>
      </w14:textFill>
    </w:rPr>
  </w:style>
  <w:style w:type="character" w:styleId="887" w:customStyle="1">
    <w:name w:val="Book Title"/>
    <w:basedOn w:val="735"/>
    <w:uiPriority w:val="33"/>
    <w:qFormat/>
    <w:pPr>
      <w:pBdr/>
      <w:spacing/>
      <w:ind/>
    </w:pPr>
    <w:rPr>
      <w:b/>
      <w:bCs/>
      <w:smallCaps/>
      <w:spacing w:val="5"/>
    </w:rPr>
  </w:style>
  <w:style w:type="paragraph" w:styleId="888" w:customStyle="1">
    <w:name w:val="TOC Heading"/>
    <w:basedOn w:val="726"/>
    <w:next w:val="725"/>
    <w:uiPriority w:val="39"/>
    <w:semiHidden/>
    <w:unhideWhenUsed/>
    <w:qFormat/>
    <w:pPr>
      <w:pBdr/>
      <w:spacing/>
      <w:ind/>
      <w:outlineLvl w:val="9"/>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65</cp:revision>
  <dcterms:created xsi:type="dcterms:W3CDTF">2013-12-23T23:15:00Z</dcterms:created>
  <dcterms:modified xsi:type="dcterms:W3CDTF">2026-06-15T01:42:40Z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eyJoZGlkIjoiYjYyNWEyZWIwMzE0MDczYzYzNWFhYmJkN2M4NmFmYTkiLCJ1c2VySWQiOiIxMzc0MzkzNTk0MjY4In0=</vt:lpwstr>
  </property>
  <property fmtid="{D5CDD505-2E9C-101B-9397-08002B2CF9AE}" pid="3" name="KSOProductBuildVer">
    <vt:lpwstr>1033-12.1.0.26372</vt:lpwstr>
  </property>
  <property fmtid="{D5CDD505-2E9C-101B-9397-08002B2CF9AE}" pid="4" name="ICV">
    <vt:lpwstr>66FA691538534582929495FD679AF026_12</vt:lpwstr>
  </property>
</Properties>
</file>