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000000"/>
          <w:sz w:val="22"/>
        </w:rPr>
        <w:t>CÔNG TY CỔ PHẦN TƯ VẤN CÔNG NGHỆ, THIẾT BỊ VÀ KIỂM ĐỊNH XÂY DỰNG – CIC</w:t>
      </w:r>
    </w:p>
    <w:p>
      <w:pPr>
        <w:spacing w:before="0" w:after="40"/>
        <w:jc w:val="center"/>
      </w:pPr>
      <w:r>
        <w:rPr>
          <w:rFonts w:ascii="Times New Roman" w:hAnsi="Times New Roman"/>
          <w:b/>
          <w:i w:val="0"/>
          <w:color w:val="000000"/>
          <w:sz w:val="22"/>
        </w:rPr>
        <w:t>TRUNG TÂM BIM VÀ DIGITAL TWINS</w:t>
      </w:r>
    </w:p>
    <w:p>
      <w:pPr>
        <w:spacing w:before="80" w:after="80"/>
        <w:pBdr>
          <w:bottom w:val="single" w:sz="8" w:space="1" w:color="1F5C99"/>
        </w:pBdr>
      </w:pPr>
    </w:p>
    <w:p/>
    <w:p>
      <w:pPr>
        <w:spacing w:before="480" w:after="80"/>
        <w:jc w:val="center"/>
      </w:pPr>
      <w:r>
        <w:rPr>
          <w:rFonts w:ascii="Times New Roman" w:hAnsi="Times New Roman"/>
          <w:b/>
          <w:i w:val="0"/>
          <w:color w:val="1F4E79"/>
          <w:sz w:val="40"/>
        </w:rPr>
        <w:t>QUY CHẾ THƯỞNG</w:t>
      </w:r>
    </w:p>
    <w:p>
      <w:pPr>
        <w:spacing w:before="0" w:after="80"/>
        <w:jc w:val="center"/>
      </w:pPr>
      <w:r>
        <w:rPr>
          <w:rFonts w:ascii="Times New Roman" w:hAnsi="Times New Roman"/>
          <w:b/>
          <w:i w:val="0"/>
          <w:color w:val="1F4E79"/>
          <w:sz w:val="32"/>
        </w:rPr>
        <w:t>GIAI ĐOẠN PHÁT TRIỂN DỰ ÁN BIM</w:t>
      </w:r>
    </w:p>
    <w:p>
      <w:pPr>
        <w:spacing w:before="0" w:after="160"/>
        <w:jc w:val="center"/>
      </w:pPr>
      <w:r>
        <w:rPr>
          <w:rFonts w:ascii="Times New Roman" w:hAnsi="Times New Roman"/>
          <w:b/>
          <w:i w:val="0"/>
          <w:color w:val="1F4E79"/>
          <w:sz w:val="32"/>
        </w:rPr>
        <w:t>NĂM 2026</w:t>
      </w:r>
    </w:p>
    <w:p>
      <w:pPr>
        <w:spacing w:before="0" w:after="120"/>
        <w:jc w:val="center"/>
      </w:pPr>
      <w:r>
        <w:rPr>
          <w:rFonts w:ascii="Times New Roman" w:hAnsi="Times New Roman"/>
          <w:b w:val="0"/>
          <w:i/>
          <w:color w:val="000000"/>
          <w:sz w:val="22"/>
        </w:rPr>
        <w:t>(Ban hành kèm theo Quyết định số ____/QĐ-CIC ngày ___/___/2026</w:t>
        <w:br/>
        <w:t>của Tổng Giám đốc Công ty Cổ phần Tư vấn Công nghệ, Thiết bị và Kiểm định Xây dựng)</w:t>
      </w:r>
    </w:p>
    <w:p>
      <w:pPr>
        <w:spacing w:before="80" w:after="80"/>
        <w:pBdr>
          <w:bottom w:val="single" w:sz="8" w:space="1" w:color="1F5C99"/>
        </w:pBdr>
      </w:pPr>
    </w:p>
    <w:tbl>
      <w:tblPr>
        <w:tblW w:type="auto" w:w="0"/>
        <w:jc w:val="center"/>
        <w:tblLook w:firstColumn="1" w:firstRow="1" w:lastColumn="0" w:lastRow="0" w:noHBand="0" w:noVBand="1" w:val="04A0"/>
      </w:tblPr>
      <w:tblGrid>
        <w:gridCol w:w="4677"/>
        <w:gridCol w:w="4677"/>
      </w:tblGrid>
      <w:tr>
        <w:tc>
          <w:tcPr>
            <w:tcW w:type="dxa" w:w="226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Phiên bản:</w:t>
            </w:r>
          </w:p>
        </w:tc>
        <w:tc>
          <w:tcPr>
            <w:tcW w:type="dxa" w:w="6236"/>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1.0</w:t>
            </w:r>
          </w:p>
        </w:tc>
      </w:tr>
      <w:tr>
        <w:tc>
          <w:tcPr>
            <w:tcW w:type="dxa" w:w="226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Ngày ban hành:</w:t>
            </w:r>
          </w:p>
        </w:tc>
        <w:tc>
          <w:tcPr>
            <w:tcW w:type="dxa" w:w="6236"/>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___/___/2026</w:t>
            </w:r>
          </w:p>
        </w:tc>
      </w:tr>
      <w:tr>
        <w:tc>
          <w:tcPr>
            <w:tcW w:type="dxa" w:w="226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Thay thế:</w:t>
            </w:r>
          </w:p>
        </w:tc>
        <w:tc>
          <w:tcPr>
            <w:tcW w:type="dxa" w:w="6236"/>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Tất cả phiên bản quy chế thưởng BIM trước đây</w:t>
            </w:r>
          </w:p>
        </w:tc>
      </w:tr>
      <w:tr>
        <w:tc>
          <w:tcPr>
            <w:tcW w:type="dxa" w:w="226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Hiệu lực từ:</w:t>
            </w:r>
          </w:p>
        </w:tc>
        <w:tc>
          <w:tcPr>
            <w:tcW w:type="dxa" w:w="6236"/>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01/01/2026 — Áp dụng cho hợp đồng BIM ký từ ngày này</w:t>
            </w:r>
          </w:p>
        </w:tc>
      </w:tr>
    </w:tbl>
    <w:p/>
    <w:p>
      <w:pPr>
        <w:spacing w:before="240" w:after="120"/>
        <w:jc w:val="center"/>
      </w:pPr>
      <w:r>
        <w:rPr>
          <w:rFonts w:ascii="Times New Roman" w:hAnsi="Times New Roman"/>
          <w:b/>
          <w:i w:val="0"/>
          <w:color w:val="1F4E79"/>
          <w:sz w:val="26"/>
        </w:rPr>
        <w:t>PHÊ DUYỆT</w:t>
      </w:r>
    </w:p>
    <w:tbl>
      <w:tblPr>
        <w:tblW w:type="auto" w:w="0"/>
        <w:jc w:val="center"/>
        <w:tblLook w:firstColumn="1" w:firstRow="1" w:lastColumn="0" w:lastRow="0" w:noHBand="0" w:noVBand="1" w:val="04A0"/>
      </w:tblPr>
      <w:tblGrid>
        <w:gridCol w:w="3118"/>
        <w:gridCol w:w="3118"/>
        <w:gridCol w:w="3118"/>
      </w:tblGrid>
      <w:tr>
        <w:tc>
          <w:tcPr>
            <w:tcW w:type="dxa" w:w="294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Người lập</w:t>
            </w:r>
          </w:p>
        </w:tc>
        <w:tc>
          <w:tcPr>
            <w:tcW w:type="dxa" w:w="294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Phó Tổng Giám đốc Công ty</w:t>
            </w:r>
          </w:p>
        </w:tc>
        <w:tc>
          <w:tcPr>
            <w:tcW w:type="dxa" w:w="2948"/>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Ban Giám đốc Công ty</w:t>
            </w:r>
          </w:p>
        </w:tc>
      </w:tr>
      <w:tr>
        <w:tc>
          <w:tcPr>
            <w:tcW w:type="dxa" w:w="2948"/>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color w:val="505050"/>
                <w:sz w:val="20"/>
              </w:rPr>
              <w:br/>
              <w:br/>
              <w:br/>
              <w:br/>
              <w:t>(Ký &amp; Ghi rõ họ tên)</w:t>
            </w:r>
          </w:p>
        </w:tc>
        <w:tc>
          <w:tcPr>
            <w:tcW w:type="dxa" w:w="2948"/>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color w:val="505050"/>
                <w:sz w:val="20"/>
              </w:rPr>
              <w:br/>
              <w:br/>
              <w:br/>
              <w:br/>
              <w:t>(Ký &amp; Ghi rõ họ tên)</w:t>
            </w:r>
          </w:p>
        </w:tc>
        <w:tc>
          <w:tcPr>
            <w:tcW w:type="dxa" w:w="2948"/>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color w:val="505050"/>
                <w:sz w:val="20"/>
              </w:rPr>
              <w:br/>
              <w:br/>
              <w:br/>
              <w:br/>
              <w:t>(Ký &amp; Đóng dấu)</w:t>
            </w:r>
          </w:p>
        </w:tc>
      </w:tr>
    </w:tbl>
    <w:p>
      <w:r>
        <w:br w:type="page"/>
      </w:r>
    </w:p>
    <w:p>
      <w:pPr>
        <w:spacing w:before="200" w:after="80"/>
        <w:jc w:val="center"/>
      </w:pPr>
      <w:r>
        <w:rPr>
          <w:rFonts w:ascii="Times New Roman" w:hAnsi="Times New Roman"/>
          <w:b/>
          <w:color w:val="1F4E79"/>
          <w:sz w:val="26"/>
        </w:rPr>
        <w:t>CHƯƠNG I</w:t>
        <w:br/>
        <w:t>QUY ĐỊNH CHUNG</w:t>
      </w:r>
    </w:p>
    <w:p>
      <w:pPr>
        <w:spacing w:before="140" w:after="80"/>
        <w:jc w:val="left"/>
      </w:pPr>
      <w:r>
        <w:rPr>
          <w:rFonts w:ascii="Times New Roman" w:hAnsi="Times New Roman"/>
          <w:b/>
          <w:color w:val="1F4E79"/>
          <w:sz w:val="24"/>
        </w:rPr>
        <w:t>Điều 1. Mục đích</w:t>
      </w:r>
    </w:p>
    <w:p>
      <w:pPr>
        <w:spacing w:before="80" w:after="80"/>
        <w:jc w:val="both"/>
      </w:pPr>
      <w:r>
        <w:rPr>
          <w:rFonts w:ascii="Times New Roman" w:hAnsi="Times New Roman"/>
          <w:b w:val="0"/>
          <w:i w:val="0"/>
          <w:color w:val="000000"/>
          <w:sz w:val="24"/>
        </w:rPr>
        <w:t>Quy chế này được ban hành nhằm:</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Minh bạch hóa cơ chế phân bổ quỹ thưởng theo kết quả thực tế, đảm bảo tính công bằng và khuyến khích tối đa hiệu suất làm việc trong giai đoạn phát triển dự án BIM.</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Chuẩn hóa quy trình tiếp cận, chào thầu, đàm phán và ký kết hợp đồng dịch vụ Tư vấn BIM, Số hoá công trình và Digital Twins.</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Gắn trách nhiệm rõ ràng với từng vai trò: 01 Task — 01 Vai trò chủ trì duy nhất, không chia chồng chéo tỷ lệ trên cùng một công việc.</w:t>
      </w:r>
    </w:p>
    <w:p>
      <w:pPr>
        <w:spacing w:before="40" w:after="40"/>
        <w:ind w:left="340" w:hanging="340"/>
        <w:jc w:val="both"/>
      </w:pPr>
      <w:r>
        <w:rPr>
          <w:rFonts w:ascii="Times New Roman" w:hAnsi="Times New Roman"/>
          <w:b/>
          <w:sz w:val="24"/>
        </w:rPr>
        <w:t xml:space="preserve">4.  </w:t>
      </w:r>
      <w:r>
        <w:rPr>
          <w:rFonts w:ascii="Times New Roman" w:hAnsi="Times New Roman"/>
          <w:b w:val="0"/>
          <w:i w:val="0"/>
          <w:color w:val="000000"/>
          <w:sz w:val="24"/>
        </w:rPr>
        <w:t>Triển khai thống nhất, phù hợp với QĐ08/2024/QĐ-CIC về Quy chế Lương và Quản lý Tài chính Trung tâm BIM.</w:t>
      </w:r>
    </w:p>
    <w:p>
      <w:pPr>
        <w:spacing w:before="140" w:after="80"/>
        <w:jc w:val="left"/>
      </w:pPr>
      <w:r>
        <w:rPr>
          <w:rFonts w:ascii="Times New Roman" w:hAnsi="Times New Roman"/>
          <w:b/>
          <w:color w:val="1F4E79"/>
          <w:sz w:val="24"/>
        </w:rPr>
        <w:t>Điều 2. Phạm vi áp dụng</w:t>
      </w:r>
    </w:p>
    <w:p>
      <w:pPr>
        <w:spacing w:before="80" w:after="80"/>
        <w:jc w:val="both"/>
      </w:pPr>
      <w:r>
        <w:rPr>
          <w:rFonts w:ascii="Times New Roman" w:hAnsi="Times New Roman"/>
          <w:b w:val="0"/>
          <w:i w:val="0"/>
          <w:color w:val="000000"/>
          <w:sz w:val="24"/>
        </w:rPr>
        <w:t>Quy chế này áp dụng cho:</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Toàn bộ nhân sự tham gia giai đoạn Phát triển dự án: Account Manager (AM), Project Assistant (PA), BIM Consultant/Pre-Sales, Admin Thầu &amp; Hợp đồng.</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Các hợp đồng Tư vấn BIM, hợp đồng Số hoá công trình và hợp đồng Tư vấn triển khai Digital Twins do Trung tâm BIM và Digital Twins ký kết từ ngày 01/01/2026.</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Giai đoạn từ khi dự án được đưa vào pipeline đến khi hợp đồng có hiệu lực và bàn giao sang bộ phận Triển khai.</w:t>
      </w:r>
    </w:p>
    <w:p>
      <w:pPr>
        <w:spacing w:before="140" w:after="80"/>
        <w:jc w:val="left"/>
      </w:pPr>
      <w:r>
        <w:rPr>
          <w:rFonts w:ascii="Times New Roman" w:hAnsi="Times New Roman"/>
          <w:b/>
          <w:color w:val="1F4E79"/>
          <w:sz w:val="24"/>
        </w:rPr>
        <w:t>Điều 3. Giải thích thuật ngữ</w:t>
      </w:r>
    </w:p>
    <w:tbl>
      <w:tblPr>
        <w:tblW w:type="auto" w:w="0"/>
        <w:jc w:val="left"/>
        <w:tblLook w:firstColumn="1" w:firstRow="1" w:lastColumn="0" w:lastRow="0" w:noHBand="0" w:noVBand="1" w:val="04A0"/>
      </w:tblPr>
      <w:tblGrid>
        <w:gridCol w:w="3118"/>
        <w:gridCol w:w="3118"/>
        <w:gridCol w:w="3118"/>
      </w:tblGrid>
      <w:tr>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Thuật ngữ / Ký hiệu</w:t>
            </w:r>
          </w:p>
        </w:tc>
        <w:tc>
          <w:tcPr>
            <w:tcW w:type="dxa" w:w="198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Tên đầy đủ</w:t>
            </w:r>
          </w:p>
        </w:tc>
        <w:tc>
          <w:tcPr>
            <w:tcW w:type="dxa" w:w="5783"/>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Giải thích</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DTHĐ</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Doanh thu hợp đồng</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Tổng giá trị hợp đồng đã ký kết (chưa bao gồm thuế VAT)</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TCFNC</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Tổng chi phí nhân công cố định</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Tổng chi phí lương, phụ cấp của nhân sự tham gia thực hiện hợp đồng, xác định theo Điều 3 QĐ08/2024/QĐ-CIC</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HH</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Hoa hồng</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Phần hoa hồng xúc tiến kinh doanh tính theo công thức tại Điều 10 Quy chế này</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Q</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Quỹ thưởng phân bổ</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Phần quỹ thưởng thực tế được phân bổ cho giai đoạn Phát triển dự án sau khi Công ty thu phí quản lý</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AM</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Account Manager</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Người mang dự án / Phụ trách kinh doanh chính của hợp đồng</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PA</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Project Assistant</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Người hỗ trợ vận hành dự án trong giai đoạn phát triển</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Pre-Sales</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BIM Consultant / Pre-Sales</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Tư vấn kỹ thuật BIM, thực hiện demo công nghệ và bảo vệ phương án kỹ thuật</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Admin</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Admin Thầu &amp; Hợp đồng</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Nhân sự phụ trách hồ sơ pháp lý, thầu, hợp đồng và nghiệm thu</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BGĐ</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Ban Giám đốc</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Ban Giám đốc Công ty Cổ phần Tư vấn Công nghệ, Thiết bị và Kiểm định Xây dựng – CIC</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Phó TGĐ</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Giám đốc Trung tâm</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Phó Tổng Giám đốc Công ty và Digital Twins</w:t>
            </w:r>
          </w:p>
        </w:tc>
      </w:tr>
      <w:tr>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Kick-off</w:t>
            </w:r>
          </w:p>
        </w:tc>
        <w:tc>
          <w:tcPr>
            <w:tcW w:type="dxa" w:w="1984"/>
            <w:vAlign w:val="center"/>
            <w:shd w:val="clear" w:color="auto" w:fill="F5F8FC"/>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Buổi khởi động dự án</w:t>
            </w:r>
          </w:p>
        </w:tc>
        <w:tc>
          <w:tcPr>
            <w:tcW w:type="dxa" w:w="5783"/>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Cuộc họp xác nhận phân bổ task và tỷ lệ thưởng, diễn ra trước khi bắt đầu triển khai</w:t>
            </w:r>
          </w:p>
        </w:tc>
      </w:tr>
    </w:tbl>
    <w:p>
      <w:pPr>
        <w:spacing w:before="140" w:after="80"/>
        <w:jc w:val="left"/>
      </w:pPr>
      <w:r>
        <w:rPr>
          <w:rFonts w:ascii="Times New Roman" w:hAnsi="Times New Roman"/>
          <w:b/>
          <w:color w:val="1F4E79"/>
          <w:sz w:val="24"/>
        </w:rPr>
        <w:t>Điều 4. Nguyên tắc cốt lõi</w:t>
      </w:r>
    </w:p>
    <w:p>
      <w:pPr>
        <w:spacing w:before="60" w:after="60"/>
        <w:ind w:left="283"/>
        <w:jc w:val="both"/>
      </w:pPr>
      <w:r>
        <w:rPr>
          <w:rFonts w:ascii="Times New Roman" w:hAnsi="Times New Roman"/>
          <w:b/>
          <w:i w:val="0"/>
          <w:color w:val="000000"/>
          <w:sz w:val="24"/>
        </w:rPr>
        <w:t xml:space="preserve">  1.  </w:t>
      </w:r>
      <w:r>
        <w:rPr>
          <w:rFonts w:ascii="Times New Roman" w:hAnsi="Times New Roman"/>
          <w:b/>
          <w:i w:val="0"/>
          <w:color w:val="1F4E79"/>
          <w:sz w:val="24"/>
        </w:rPr>
        <w:t>Trần tỷ lệ cố định:</w:t>
      </w:r>
      <w:r>
        <w:rPr>
          <w:rFonts w:ascii="Times New Roman" w:hAnsi="Times New Roman"/>
          <w:b w:val="0"/>
          <w:i w:val="0"/>
          <w:color w:val="000000"/>
          <w:sz w:val="24"/>
        </w:rPr>
        <w:t xml:space="preserve"> Cơ cấu phân bổ tuân thủ nghiêm ngặt tỷ lệ tối đa đã phê duyệt tại Quy chế này và không được vượt trần HH quy định tại QĐ08/2024/QĐ-CIC.</w:t>
      </w:r>
    </w:p>
    <w:p>
      <w:pPr>
        <w:spacing w:before="60" w:after="60"/>
        <w:ind w:left="283"/>
        <w:jc w:val="both"/>
      </w:pPr>
      <w:r>
        <w:rPr>
          <w:rFonts w:ascii="Times New Roman" w:hAnsi="Times New Roman"/>
          <w:b/>
          <w:i w:val="0"/>
          <w:color w:val="000000"/>
          <w:sz w:val="24"/>
        </w:rPr>
        <w:t xml:space="preserve">  2.  </w:t>
      </w:r>
      <w:r>
        <w:rPr>
          <w:rFonts w:ascii="Times New Roman" w:hAnsi="Times New Roman"/>
          <w:b/>
          <w:i w:val="0"/>
          <w:color w:val="1F4E79"/>
          <w:sz w:val="24"/>
        </w:rPr>
        <w:t>1 Task – 1 Vai trò:</w:t>
      </w:r>
      <w:r>
        <w:rPr>
          <w:rFonts w:ascii="Times New Roman" w:hAnsi="Times New Roman"/>
          <w:b w:val="0"/>
          <w:i w:val="0"/>
          <w:color w:val="000000"/>
          <w:sz w:val="24"/>
        </w:rPr>
        <w:t xml:space="preserve"> Mỗi công việc được giao rõ ràng cho 01 vai trò chịu trách nhiệm chính; không chia đôi tỷ lệ trên cùng một công việc.</w:t>
      </w:r>
    </w:p>
    <w:p>
      <w:pPr>
        <w:spacing w:before="60" w:after="60"/>
        <w:ind w:left="283"/>
        <w:jc w:val="both"/>
      </w:pPr>
      <w:r>
        <w:rPr>
          <w:rFonts w:ascii="Times New Roman" w:hAnsi="Times New Roman"/>
          <w:b/>
          <w:i w:val="0"/>
          <w:color w:val="000000"/>
          <w:sz w:val="24"/>
        </w:rPr>
        <w:t xml:space="preserve">  3.  </w:t>
      </w:r>
      <w:r>
        <w:rPr>
          <w:rFonts w:ascii="Times New Roman" w:hAnsi="Times New Roman"/>
          <w:b/>
          <w:i w:val="0"/>
          <w:color w:val="1F4E79"/>
          <w:sz w:val="24"/>
        </w:rPr>
        <w:t>Thưởng gắn với nghiệm thu thực tế:</w:t>
      </w:r>
      <w:r>
        <w:rPr>
          <w:rFonts w:ascii="Times New Roman" w:hAnsi="Times New Roman"/>
          <w:b w:val="0"/>
          <w:i w:val="0"/>
          <w:color w:val="000000"/>
          <w:sz w:val="24"/>
        </w:rPr>
        <w:t xml:space="preserve"> Tỷ lệ % chỉ được chi trả khi task hoàn thành đúng yêu cầu về chất lượng và tiến độ, được AM và PA xác nhận.</w:t>
      </w:r>
    </w:p>
    <w:p>
      <w:pPr>
        <w:spacing w:before="60" w:after="60"/>
        <w:ind w:left="283"/>
        <w:jc w:val="both"/>
      </w:pPr>
      <w:r>
        <w:rPr>
          <w:rFonts w:ascii="Times New Roman" w:hAnsi="Times New Roman"/>
          <w:b/>
          <w:i w:val="0"/>
          <w:color w:val="000000"/>
          <w:sz w:val="24"/>
        </w:rPr>
        <w:t xml:space="preserve">  4.  </w:t>
      </w:r>
      <w:r>
        <w:rPr>
          <w:rFonts w:ascii="Times New Roman" w:hAnsi="Times New Roman"/>
          <w:b/>
          <w:i w:val="0"/>
          <w:color w:val="1F4E79"/>
          <w:sz w:val="24"/>
        </w:rPr>
        <w:t>Minh bạch và có căn cứ:</w:t>
      </w:r>
      <w:r>
        <w:rPr>
          <w:rFonts w:ascii="Times New Roman" w:hAnsi="Times New Roman"/>
          <w:b w:val="0"/>
          <w:i w:val="0"/>
          <w:color w:val="000000"/>
          <w:sz w:val="24"/>
        </w:rPr>
        <w:t xml:space="preserve"> Mọi phân bổ phải được ghi nhận tại Biên bản Chốt Phân bổ Task ngay tại buổi Kick-off và lưu trữ chính thức.</w:t>
      </w:r>
    </w:p>
    <w:p>
      <w:pPr>
        <w:spacing w:before="60" w:after="60"/>
        <w:ind w:left="283"/>
        <w:jc w:val="both"/>
      </w:pPr>
      <w:r>
        <w:rPr>
          <w:rFonts w:ascii="Times New Roman" w:hAnsi="Times New Roman"/>
          <w:b/>
          <w:i w:val="0"/>
          <w:color w:val="000000"/>
          <w:sz w:val="24"/>
        </w:rPr>
        <w:t xml:space="preserve">  5.  </w:t>
      </w:r>
      <w:r>
        <w:rPr>
          <w:rFonts w:ascii="Times New Roman" w:hAnsi="Times New Roman"/>
          <w:b/>
          <w:i w:val="0"/>
          <w:color w:val="1F4E79"/>
          <w:sz w:val="24"/>
        </w:rPr>
        <w:t>Linh hoạt điều chỉnh:</w:t>
      </w:r>
      <w:r>
        <w:rPr>
          <w:rFonts w:ascii="Times New Roman" w:hAnsi="Times New Roman"/>
          <w:b w:val="0"/>
          <w:i w:val="0"/>
          <w:color w:val="000000"/>
          <w:sz w:val="24"/>
        </w:rPr>
        <w:t xml:space="preserve"> Áp dụng cơ chế phân bổ lại khi dự án thực tế không phát sinh đủ công việc (xem Chương IV).</w:t>
      </w:r>
    </w:p>
    <w:p>
      <w:pPr>
        <w:spacing w:before="60" w:after="60"/>
        <w:ind w:left="283"/>
        <w:jc w:val="both"/>
      </w:pPr>
      <w:r>
        <w:rPr>
          <w:rFonts w:ascii="Times New Roman" w:hAnsi="Times New Roman"/>
          <w:b/>
          <w:i w:val="0"/>
          <w:color w:val="000000"/>
          <w:sz w:val="24"/>
        </w:rPr>
        <w:t xml:space="preserve">  6.  </w:t>
      </w:r>
      <w:r>
        <w:rPr>
          <w:rFonts w:ascii="Times New Roman" w:hAnsi="Times New Roman"/>
          <w:b/>
          <w:i w:val="0"/>
          <w:color w:val="1F4E79"/>
          <w:sz w:val="24"/>
        </w:rPr>
        <w:t>Tuân thủ văn bản gốc:</w:t>
      </w:r>
      <w:r>
        <w:rPr>
          <w:rFonts w:ascii="Times New Roman" w:hAnsi="Times New Roman"/>
          <w:b w:val="0"/>
          <w:i w:val="0"/>
          <w:color w:val="000000"/>
          <w:sz w:val="24"/>
        </w:rPr>
        <w:t xml:space="preserve"> Mọi nội dung về mức HH tối đa, công thức tính, phí quản lý Công ty đều tuân theo QĐ08/2024/QĐ-CIC. Trong trường hợp có mâu thuẫn, QĐ08 là văn bản ưu tiên áp dụng.</w:t>
      </w:r>
    </w:p>
    <w:p>
      <w:r>
        <w:br w:type="page"/>
      </w:r>
    </w:p>
    <w:p>
      <w:pPr>
        <w:spacing w:before="200" w:after="80"/>
        <w:jc w:val="center"/>
      </w:pPr>
      <w:r>
        <w:rPr>
          <w:rFonts w:ascii="Times New Roman" w:hAnsi="Times New Roman"/>
          <w:b/>
          <w:color w:val="1F4E79"/>
          <w:sz w:val="26"/>
        </w:rPr>
        <w:t>CHƯƠNG II</w:t>
        <w:br/>
        <w:t>PHÂN CÔNG NHIỆM VỤ VÀ CƠ CẤU TỶ LỆ THƯỞNG</w:t>
      </w:r>
    </w:p>
    <w:p>
      <w:pPr>
        <w:spacing w:before="140" w:after="80"/>
        <w:jc w:val="left"/>
      </w:pPr>
      <w:r>
        <w:rPr>
          <w:rFonts w:ascii="Times New Roman" w:hAnsi="Times New Roman"/>
          <w:b/>
          <w:color w:val="1F4E79"/>
          <w:sz w:val="24"/>
        </w:rPr>
        <w:t>Điều 5. Bảng cơ cấu tỷ lệ trần theo vai trò</w:t>
      </w:r>
    </w:p>
    <w:p>
      <w:pPr>
        <w:spacing w:before="80" w:after="80"/>
        <w:jc w:val="both"/>
      </w:pPr>
      <w:r>
        <w:rPr>
          <w:rFonts w:ascii="Times New Roman" w:hAnsi="Times New Roman"/>
          <w:b w:val="0"/>
          <w:i w:val="0"/>
          <w:color w:val="000000"/>
          <w:sz w:val="24"/>
        </w:rPr>
        <w:t>Tổng quỹ thưởng Q (xác định tại Điều 10) được phân bổ theo cơ cấu tỷ lệ trần sau đây:</w:t>
      </w:r>
    </w:p>
    <w:p/>
    <w:tbl>
      <w:tblPr>
        <w:tblW w:type="auto" w:w="0"/>
        <w:jc w:val="left"/>
        <w:tblLook w:firstColumn="1" w:firstRow="1" w:lastColumn="0" w:lastRow="0" w:noHBand="0" w:noVBand="1" w:val="04A0"/>
      </w:tblPr>
      <w:tblGrid>
        <w:gridCol w:w="2339"/>
        <w:gridCol w:w="2339"/>
        <w:gridCol w:w="2339"/>
        <w:gridCol w:w="2339"/>
      </w:tblGrid>
      <w:tr>
        <w:tc>
          <w:tcPr>
            <w:tcW w:type="dxa" w:w="215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Vai trò</w:t>
            </w:r>
          </w:p>
        </w:tc>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Tỷ lệ tối đa</w:t>
            </w:r>
          </w:p>
        </w:tc>
        <w:tc>
          <w:tcPr>
            <w:tcW w:type="dxa" w:w="198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Số task</w:t>
            </w:r>
          </w:p>
        </w:tc>
        <w:tc>
          <w:tcPr>
            <w:tcW w:type="dxa" w:w="3628"/>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Trọng tâm đóng góp</w:t>
            </w:r>
          </w:p>
        </w:tc>
      </w:tr>
      <w:tr>
        <w:tc>
          <w:tcPr>
            <w:tcW w:type="dxa" w:w="215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Account Manager (AM)</w:t>
            </w:r>
          </w:p>
        </w:tc>
        <w:tc>
          <w:tcPr>
            <w:tcW w:type="dxa" w:w="1247"/>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49%</w:t>
            </w:r>
          </w:p>
        </w:tc>
        <w:tc>
          <w:tcPr>
            <w:tcW w:type="dxa" w:w="198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4 tasks</w:t>
            </w:r>
          </w:p>
        </w:tc>
        <w:tc>
          <w:tcPr>
            <w:tcW w:type="dxa" w:w="362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Đối ngoại, chốt hợp đồng, quản trị dòng tiền, duy trì quan hệ khách hàng</w:t>
            </w:r>
          </w:p>
        </w:tc>
      </w:tr>
      <w:tr>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Project Assistant (PA)</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24%</w:t>
            </w:r>
          </w:p>
        </w:tc>
        <w:tc>
          <w:tcPr>
            <w:tcW w:type="dxa" w:w="198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4 tasks</w:t>
            </w:r>
          </w:p>
        </w:tc>
        <w:tc>
          <w:tcPr>
            <w:tcW w:type="dxa" w:w="362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Vận hành, lập Pre-BEP/PPL, điều phối tiến độ, quản lý dữ liệu &amp; CDE</w:t>
            </w:r>
          </w:p>
        </w:tc>
      </w:tr>
      <w:tr>
        <w:tc>
          <w:tcPr>
            <w:tcW w:type="dxa" w:w="215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BIM Consultant / Pre-Sales</w:t>
            </w:r>
          </w:p>
        </w:tc>
        <w:tc>
          <w:tcPr>
            <w:tcW w:type="dxa" w:w="1247"/>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19%</w:t>
            </w:r>
          </w:p>
        </w:tc>
        <w:tc>
          <w:tcPr>
            <w:tcW w:type="dxa" w:w="198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4 tasks</w:t>
            </w:r>
          </w:p>
        </w:tc>
        <w:tc>
          <w:tcPr>
            <w:tcW w:type="dxa" w:w="362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Demo công nghệ, phân tích EIR, giải đáp kỹ thuật, đào tạo chuyển giao</w:t>
            </w:r>
          </w:p>
        </w:tc>
      </w:tr>
      <w:tr>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Admin Thầu &amp; Hợp đồng</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8%</w:t>
            </w:r>
          </w:p>
        </w:tc>
        <w:tc>
          <w:tcPr>
            <w:tcW w:type="dxa" w:w="198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4 tasks</w:t>
            </w:r>
          </w:p>
        </w:tc>
        <w:tc>
          <w:tcPr>
            <w:tcW w:type="dxa" w:w="362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Hồ sơ pháp lý, nghiệm thu, hậu cần, theo dõi công nợ &amp; thanh quyết toán</w:t>
            </w:r>
          </w:p>
        </w:tc>
      </w:tr>
      <w:tr>
        <w:tc>
          <w:tcPr>
            <w:tcW w:type="dxa" w:w="215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TỔNG CỘNG</w:t>
            </w:r>
          </w:p>
        </w:tc>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4"/>
              </w:rPr>
              <w:t>100%</w:t>
            </w:r>
          </w:p>
        </w:tc>
        <w:tc>
          <w:tcPr>
            <w:tcW w:type="dxa" w:w="198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FFFFFF"/>
                <w:sz w:val="22"/>
              </w:rPr>
              <w:t>16 tasks</w:t>
            </w:r>
          </w:p>
        </w:tc>
        <w:tc>
          <w:tcPr>
            <w:tcW w:type="dxa" w:w="3628"/>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Toàn bộ giai đoạn phát triển từ Pipeline đến Kick-off triển khai</w:t>
            </w:r>
          </w:p>
        </w:tc>
      </w:tr>
    </w:tbl>
    <w:p>
      <w:pPr>
        <w:spacing w:before="140" w:after="80"/>
        <w:jc w:val="left"/>
      </w:pPr>
      <w:r>
        <w:rPr>
          <w:rFonts w:ascii="Times New Roman" w:hAnsi="Times New Roman"/>
          <w:b/>
          <w:color w:val="1F4E79"/>
          <w:sz w:val="24"/>
        </w:rPr>
        <w:t>Điều 6. Bảng chi tiết Task và Phân bổ (Mỗi Task – 1 Vai trò duy nhất)</w:t>
      </w:r>
    </w:p>
    <w:p>
      <w:pPr>
        <w:spacing w:before="80" w:after="80"/>
        <w:jc w:val="both"/>
      </w:pPr>
      <w:r>
        <w:rPr>
          <w:rFonts w:ascii="Times New Roman" w:hAnsi="Times New Roman"/>
          <w:b w:val="0"/>
          <w:i w:val="0"/>
          <w:color w:val="000000"/>
          <w:sz w:val="24"/>
        </w:rPr>
        <w:t>16 công việc được phân công rõ ràng như sau:</w:t>
      </w:r>
    </w:p>
    <w:p/>
    <w:tbl>
      <w:tblPr>
        <w:tblW w:type="auto" w:w="0"/>
        <w:jc w:val="left"/>
        <w:tblLook w:firstColumn="1" w:firstRow="1" w:lastColumn="0" w:lastRow="0" w:noHBand="0" w:noVBand="1" w:val="04A0"/>
      </w:tblPr>
      <w:tblGrid>
        <w:gridCol w:w="1871"/>
        <w:gridCol w:w="1871"/>
        <w:gridCol w:w="1871"/>
        <w:gridCol w:w="1871"/>
        <w:gridCol w:w="1871"/>
      </w:tblGrid>
      <w:tr>
        <w:tc>
          <w:tcPr>
            <w:tcW w:type="dxa" w:w="39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STT</w:t>
            </w:r>
          </w:p>
        </w:tc>
        <w:tc>
          <w:tcPr>
            <w:tcW w:type="dxa" w:w="215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Tên Task</w:t>
            </w:r>
          </w:p>
        </w:tc>
        <w:tc>
          <w:tcPr>
            <w:tcW w:type="dxa" w:w="3402"/>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Mô tả chi tiết</w:t>
            </w:r>
          </w:p>
        </w:tc>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Vai trò</w:t>
              <w:br/>
              <w:t>chủ trì</w:t>
            </w:r>
          </w:p>
        </w:tc>
        <w:tc>
          <w:tcPr>
            <w:tcW w:type="dxa" w:w="181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Tỷ lệ</w:t>
              <w:br/>
              <w:t>(% Q)</w:t>
            </w:r>
          </w:p>
        </w:tc>
      </w:tr>
      <w:tr>
        <w:tc>
          <w:tcPr>
            <w:tcW w:type="dxa" w:w="39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gridSpan="3">
          <w:tcPr>
            <w:tcW w:type="dxa" w:w="215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NHÓM A — ACCOUNT MANAGER (AM)</w:t>
            </w:r>
          </w:p>
        </w:tc>
        <w:tc>
          <w:tcPr>
            <w:tcW w:type="dxa" w:w="3402"/>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81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39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215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NHÓM A — ACCOUNT MANAGER (AM)</w:t>
            </w:r>
          </w:p>
        </w:tc>
        <w:tc>
          <w:tcPr>
            <w:tcW w:type="dxa" w:w="3402"/>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81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49%</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A1</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Tiếp cận &amp; Thiết lập quan hệ CĐT</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Là đầu mối chính, tìm kiếm &amp; kết nối với CĐT/Nhà thầu. Phân tích sơ đồ tổ chức để tiếp cận đúng người quyết định. Duy trì quan hệ sau dự án (Up-sell/Cross-sell).</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AM</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12%</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A2</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Xây dựng chiến lược &amp; Thuyết trình giải pháp</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Quyết định hướng chào thầu (cạnh tranh giá hay công nghệ). Trực tiếp thuyết trình giải pháp tổng thể cho khách hàng, chốt định hướng hợp tác.</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AM</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11%</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A3</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Đàm phán thương mại &amp; Ký kết hợp đồng</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Quyết định mức giá chào, điều khoản thanh toán, bảo lãnh hợp đồng. Chịu trách nhiệm chính trong đàm phán và trực tiếp ký kết hợp đồng với khách hàng.</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AM</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16%</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A4</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Quản trị rủi ro dòng tiền</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Bám sát tiến độ giải ngân của khách hàng, xử lý vướng mắc thủ tục thanh toán, đảm bảo tiền về tài khoản Công ty đúng hạn.</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AM</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10%</w:t>
            </w:r>
          </w:p>
        </w:tc>
      </w:tr>
      <w:tr>
        <w:tc>
          <w:tcPr>
            <w:tcW w:type="dxa" w:w="39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215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NHÓM B — PROJECT ASSISTANT (PA)</w:t>
            </w:r>
          </w:p>
        </w:tc>
        <w:tc>
          <w:tcPr>
            <w:tcW w:type="dxa" w:w="3402"/>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81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24%</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B1</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Lập Pre-BEP, PPL &amp; Số hóa quy trình</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Viết Pre-BEP (Kế hoạch thực hiện BIM sơ bộ) &amp; Phương pháp luận (PPL) theo yêu cầu riêng từng dự án phục vụ giai đoạn chào thầu. BEP đầy đủ sẽ do bộ phận Triển khai hoàn thiện sau khi ký hợp đồng.</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PA</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8%</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B2</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Hỗ trợ báo giá &amp; Dự toán nhân sự</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Phối hợp kỹ thuật tính toán man-day, định mức nhân sự; lập bảng giá sát thực tế &amp; khả thi. Là đầu vào để tính TCFNC theo Điều 10.</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PA</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6%</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B3</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Quản lý tiến độ &amp; Điều phối thông tin</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Thiết lập &amp; theo dõi task trên ERP/ClickUp. Là đầu mối nhận thông tin từ CĐT (Zalo/Email), lọc &amp; truyền đạt chính xác cho nội bộ đúng deadline.</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PA</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6%</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B4</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Quản lý CDE &amp; Kiểm soát phiên bản</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Sắp xếp cấu trúc thư mục Drive/CDE, kiểm soát version tài liệu bàn giao, đảm bảo không nhầm lẫn dữ liệu trong giai đoạn chào thầu.</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PA</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4%</w:t>
            </w:r>
          </w:p>
        </w:tc>
      </w:tr>
      <w:tr>
        <w:tc>
          <w:tcPr>
            <w:tcW w:type="dxa" w:w="39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215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NHÓM C — BIM CONSULTANT / PRE-SALES</w:t>
            </w:r>
          </w:p>
        </w:tc>
        <w:tc>
          <w:tcPr>
            <w:tcW w:type="dxa" w:w="3402"/>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81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19%</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C1</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Phân tích yêu cầu kỹ thuật (EIR)</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Đọc hiểu sâu EIR từ CĐT, tư vấn LOD phù hợp, đề xuất phần mềm tối ưu, xác định phạm vi ứng dụng BIM cho từng loại dự án.</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Pre-Sales</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6%</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C2</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Trình diễn công nghệ (Demo)</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Trực tiếp thao tác Revit, Navisworks, BIMCollab, Twinmotion... Chứng minh năng lực xử lý xung đột, mô phỏng 4D/5D cho khách hàng.</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Pre-Sales</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7%</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C3</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Giải đáp kỹ thuật &amp; Bảo vệ phương án</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Tham gia họp chuyên gia, thuyết phục TVGS/Hội đồng nghiệm thu, xử lý thắc mắc kỹ thuật chuyên sâu từ phía CĐT và tư vấn giám sát.</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Pre-Sales</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3%</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C4</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Đào tạo &amp; Chuyển giao công nghệ</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Đào tạo đội ngũ khách hàng sử dụng mô hình BIM/CDE. Hỗ trợ cài đặt &amp; xử lý lỗi phần mềm trong giai đoạn chuyển giao.</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Pre-Sales</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3%</w:t>
            </w:r>
          </w:p>
        </w:tc>
      </w:tr>
      <w:tr>
        <w:tc>
          <w:tcPr>
            <w:tcW w:type="dxa" w:w="39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215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NHÓM D — ADMIN THẦU &amp; HỢP ĐỒNG</w:t>
            </w:r>
          </w:p>
        </w:tc>
        <w:tc>
          <w:tcPr>
            <w:tcW w:type="dxa" w:w="3402"/>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81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8%</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D1</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Chuẩn bị hồ sơ thầu &amp; Pháp lý</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Soạn hồ sơ năng lực (Profile), bằng cấp nhân sự, chứng chỉ số, biểu mẫu theo Luật Đấu thầu hoặc yêu cầu riêng của CĐT.</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Admin</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3%</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D2</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Soạn thảo &amp; Quản lý hợp đồng</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Soạn thảo, theo dõi ký kết, lưu trữ hợp đồng. Cảnh báo điều khoản phạt chậm tiến độ hoặc thay đổi phụ lục hợp đồng.</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Admin</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2%</w:t>
            </w:r>
          </w:p>
        </w:tc>
      </w:tr>
      <w:tr>
        <w:tc>
          <w:tcPr>
            <w:tcW w:type="dxa" w:w="39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D3</w:t>
            </w:r>
          </w:p>
        </w:tc>
        <w:tc>
          <w:tcPr>
            <w:tcW w:type="dxa" w:w="215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Nghiệm thu, Thanh quyết toán &amp; Công nợ</w:t>
            </w:r>
          </w:p>
        </w:tc>
        <w:tc>
          <w:tcPr>
            <w:tcW w:type="dxa" w:w="3402"/>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Làm biên bản nghiệm thu/bàn giao, tạo cơ sở xuất hóa đơn. Theo dõi &amp; nhắc nợ đúng hạn phối hợp với AM và PA.</w:t>
            </w:r>
          </w:p>
        </w:tc>
        <w:tc>
          <w:tcPr>
            <w:tcW w:type="dxa" w:w="124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Admin</w:t>
            </w:r>
          </w:p>
        </w:tc>
        <w:tc>
          <w:tcPr>
            <w:tcW w:type="dxa" w:w="181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2%</w:t>
            </w:r>
          </w:p>
        </w:tc>
      </w:tr>
      <w:tr>
        <w:tc>
          <w:tcPr>
            <w:tcW w:type="dxa" w:w="39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D4</w:t>
            </w:r>
          </w:p>
        </w:tc>
        <w:tc>
          <w:tcPr>
            <w:tcW w:type="dxa" w:w="215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Hậu cần &amp; Gửi nhận hồ sơ</w:t>
            </w:r>
          </w:p>
        </w:tc>
        <w:tc>
          <w:tcPr>
            <w:tcW w:type="dxa" w:w="3402"/>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In ấn hồ sơ, đóng quyển, gửi chuyển phát nhanh, theo dõi ký nhận phản hồi từ khách hàng.</w:t>
            </w:r>
          </w:p>
        </w:tc>
        <w:tc>
          <w:tcPr>
            <w:tcW w:type="dxa" w:w="124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2"/>
              </w:rPr>
              <w:t>Admin</w:t>
            </w:r>
          </w:p>
        </w:tc>
        <w:tc>
          <w:tcPr>
            <w:tcW w:type="dxa" w:w="181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4"/>
              </w:rPr>
              <w:t>1%</w:t>
            </w:r>
          </w:p>
        </w:tc>
      </w:tr>
      <w:tr>
        <w:tc>
          <w:tcPr>
            <w:tcW w:type="dxa" w:w="39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TỔNG</w:t>
            </w:r>
          </w:p>
        </w:tc>
        <w:tc>
          <w:tcPr>
            <w:tcW w:type="dxa" w:w="215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16 TASKS (4 nhóm × 4 tasks)</w:t>
            </w:r>
          </w:p>
        </w:tc>
        <w:tc>
          <w:tcPr>
            <w:tcW w:type="dxa" w:w="3402"/>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81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4"/>
              </w:rPr>
              <w:t>100% Q</w:t>
            </w:r>
          </w:p>
        </w:tc>
      </w:tr>
    </w:tbl>
    <w:p>
      <w:r>
        <w:br w:type="page"/>
      </w:r>
    </w:p>
    <w:p>
      <w:pPr>
        <w:spacing w:before="200" w:after="80"/>
        <w:jc w:val="center"/>
      </w:pPr>
      <w:r>
        <w:rPr>
          <w:rFonts w:ascii="Times New Roman" w:hAnsi="Times New Roman"/>
          <w:b/>
          <w:color w:val="1F4E79"/>
          <w:sz w:val="26"/>
        </w:rPr>
        <w:t>CHƯƠNG III</w:t>
        <w:br/>
        <w:t>CƠ CHẾ TÍNH VÀ CHI TRẢ THƯỞNG</w:t>
      </w:r>
    </w:p>
    <w:p>
      <w:pPr>
        <w:spacing w:before="140" w:after="80"/>
        <w:jc w:val="left"/>
      </w:pPr>
      <w:r>
        <w:rPr>
          <w:rFonts w:ascii="Times New Roman" w:hAnsi="Times New Roman"/>
          <w:b/>
          <w:color w:val="1F4E79"/>
          <w:sz w:val="24"/>
        </w:rPr>
        <w:t>Điều 7. Xác định Hoa hồng (HH) và Quỹ thưởng phân bổ (Q)</w:t>
      </w:r>
    </w:p>
    <w:p>
      <w:pPr>
        <w:spacing w:before="80" w:after="80"/>
        <w:jc w:val="both"/>
      </w:pPr>
      <w:r>
        <w:rPr>
          <w:rFonts w:ascii="Times New Roman" w:hAnsi="Times New Roman"/>
          <w:b w:val="0"/>
          <w:i w:val="0"/>
          <w:color w:val="000000"/>
          <w:sz w:val="24"/>
        </w:rPr>
        <w:t>Quỹ thưởng giai đoạn phát triển (Q) được xác định theo 03 bước tuần tự dưới đây, căn cứ QĐ08/2024/QĐ-CIC — Chương IV, Điều 11:</w:t>
      </w:r>
    </w:p>
    <w:p/>
    <w:tbl>
      <w:tblPr>
        <w:tblW w:type="auto" w:w="0"/>
        <w:jc w:val="left"/>
        <w:tblLook w:firstColumn="1" w:firstRow="1" w:lastColumn="0" w:lastRow="0" w:noHBand="0" w:noVBand="1" w:val="04A0"/>
      </w:tblPr>
      <w:tblGrid>
        <w:gridCol w:w="3118"/>
        <w:gridCol w:w="3118"/>
        <w:gridCol w:w="3118"/>
      </w:tblGrid>
      <w:tr>
        <w:tc>
          <w:tcPr>
            <w:tcW w:type="dxa" w:w="850"/>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Bước</w:t>
            </w:r>
          </w:p>
        </w:tc>
        <w:tc>
          <w:tcPr>
            <w:tcW w:type="dxa" w:w="2381"/>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Nội dung</w:t>
            </w:r>
          </w:p>
        </w:tc>
        <w:tc>
          <w:tcPr>
            <w:tcW w:type="dxa" w:w="5783"/>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Công thức / Quy định chi tiết</w:t>
            </w:r>
          </w:p>
        </w:tc>
      </w:tr>
      <w:tr>
        <w:tc>
          <w:tcPr>
            <w:tcW w:type="dxa" w:w="850"/>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2"/>
              </w:rPr>
              <w:t>Bước 1</w:t>
            </w:r>
          </w:p>
        </w:tc>
        <w:tc>
          <w:tcPr>
            <w:tcW w:type="dxa" w:w="2381"/>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Tính Hoa hồng (HH)</w:t>
            </w:r>
          </w:p>
        </w:tc>
        <w:tc>
          <w:tcPr>
            <w:tcW w:type="dxa" w:w="5783"/>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HH = 80% × DTHĐ − TCFNC</w:t>
              <w:br/>
              <w:t>Trong đó:</w:t>
              <w:br/>
              <w:t xml:space="preserve">  • DTHĐ: Doanh thu hợp đồng (chưa VAT)</w:t>
              <w:br/>
              <w:t xml:space="preserve">  • TCFNC: Tổng chi phí nhân công cố định (Điều 3 — QĐ08)</w:t>
              <w:br/>
              <w:t xml:space="preserve">  • 80%: Hệ số tỷ lệ doanh thu sau khi trừ chi phí vận hành chung Công ty</w:t>
              <w:br/>
              <w:t>Ràng buộc bắt buộc: HH ≤ 15% × DTHĐ</w:t>
              <w:br/>
              <w:t>(Nếu kết quả tính vượt trần, lấy HH = 15% × DTHĐ)</w:t>
            </w:r>
          </w:p>
        </w:tc>
      </w:tr>
      <w:tr>
        <w:tc>
          <w:tcPr>
            <w:tcW w:type="dxa" w:w="850"/>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2"/>
              </w:rPr>
              <w:t>Bước 2</w:t>
            </w:r>
          </w:p>
        </w:tc>
        <w:tc>
          <w:tcPr>
            <w:tcW w:type="dxa" w:w="2381"/>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Công ty thu phí quản lý</w:t>
            </w:r>
          </w:p>
        </w:tc>
        <w:tc>
          <w:tcPr>
            <w:tcW w:type="dxa" w:w="5783"/>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Phí quản lý Công ty = 25% × HH  (theo QĐ08/2024/QĐ-CIC)</w:t>
              <w:br/>
              <w:t>Phần còn lại phân bổ cho đơn vị xúc tiến kinh doanh (Trung tâm BIM):</w:t>
              <w:br/>
              <w:t>Net HH = 75% × HH</w:t>
            </w:r>
          </w:p>
        </w:tc>
      </w:tr>
      <w:tr>
        <w:tc>
          <w:tcPr>
            <w:tcW w:type="dxa" w:w="850"/>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1F4E79"/>
                <w:sz w:val="22"/>
              </w:rPr>
              <w:t>Bước 3</w:t>
            </w:r>
          </w:p>
        </w:tc>
        <w:tc>
          <w:tcPr>
            <w:tcW w:type="dxa" w:w="2381"/>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Xác định Quỹ thưởng phân bổ (Q)</w:t>
            </w:r>
          </w:p>
        </w:tc>
        <w:tc>
          <w:tcPr>
            <w:tcW w:type="dxa" w:w="5783"/>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Toàn bộ Net HH được phân bổ theo Quy chế này:</w:t>
              <w:br/>
              <w:t>Q = Net HH = 75% × HH</w:t>
              <w:br/>
              <w:br/>
              <w:t>Lưu ý: Ban Giám đốc và Phó Tổng Giám đốc Công ty xác nhận giá trị Q trước Kick-off bằng cách ký vào Biên bản Chốt Phân bổ Task (Phụ lục 1). Giá trị Q phải được ghi rõ bằng số (VNĐ) tại buổi Kick-off.</w:t>
            </w:r>
          </w:p>
        </w:tc>
      </w:tr>
    </w:tbl>
    <w:p/>
    <w:p>
      <w:pPr>
        <w:spacing w:before="120" w:after="40"/>
        <w:jc w:val="both"/>
      </w:pPr>
      <w:r>
        <w:rPr>
          <w:rFonts w:ascii="Times New Roman" w:hAnsi="Times New Roman"/>
          <w:b/>
          <w:i w:val="0"/>
          <w:color w:val="000000"/>
          <w:sz w:val="22"/>
        </w:rPr>
        <w:t>Ví dụ minh họa (không mang tính ràng buộc):</w:t>
      </w:r>
    </w:p>
    <w:tbl>
      <w:tblPr>
        <w:tblW w:type="auto" w:w="0"/>
        <w:jc w:val="left"/>
        <w:tblLook w:firstColumn="1" w:firstRow="1" w:lastColumn="0" w:lastRow="0" w:noHBand="0" w:noVBand="1" w:val="04A0"/>
      </w:tblPr>
      <w:tblGrid>
        <w:gridCol w:w="2339"/>
        <w:gridCol w:w="2339"/>
        <w:gridCol w:w="2339"/>
        <w:gridCol w:w="2339"/>
      </w:tblGrid>
      <w:tr>
        <w:tc>
          <w:tcPr>
            <w:tcW w:type="dxa" w:w="198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Tham số</w:t>
            </w:r>
          </w:p>
        </w:tc>
        <w:tc>
          <w:tcPr>
            <w:tcW w:type="dxa" w:w="2268"/>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Ví dụ dự án nhỏ</w:t>
              <w:br/>
              <w:t>(DTHĐ = 500 triệu)</w:t>
            </w:r>
          </w:p>
        </w:tc>
        <w:tc>
          <w:tcPr>
            <w:tcW w:type="dxa" w:w="2268"/>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Ví dụ dự án vừa</w:t>
              <w:br/>
              <w:t>(DTHĐ = 1 tỷ)</w:t>
            </w:r>
          </w:p>
        </w:tc>
        <w:tc>
          <w:tcPr>
            <w:tcW w:type="dxa" w:w="2494"/>
            <w:vAlign w:val="center"/>
            <w:shd w:val="clear" w:color="auto" w:fill="2E75B6"/>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0"/>
              </w:rPr>
              <w:t>Ví dụ dự án lớn</w:t>
              <w:br/>
              <w:t>(DTHĐ = 3 tỷ)</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DTHĐ</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500,000,000</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1,000,000,000</w:t>
            </w:r>
          </w:p>
        </w:tc>
        <w:tc>
          <w:tcPr>
            <w:tcW w:type="dxa" w:w="249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3,000,000,000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TCFNC (ví dụ)</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375,000,000</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730,000,000</w:t>
            </w:r>
          </w:p>
        </w:tc>
        <w:tc>
          <w:tcPr>
            <w:tcW w:type="dxa" w:w="249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2,150,000,000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80% × DTHĐ</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400,000,000</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800,000,000</w:t>
            </w:r>
          </w:p>
        </w:tc>
        <w:tc>
          <w:tcPr>
            <w:tcW w:type="dxa" w:w="249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2,400,000,000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HH tính được</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25,000,000</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70,000,000</w:t>
            </w:r>
          </w:p>
        </w:tc>
        <w:tc>
          <w:tcPr>
            <w:tcW w:type="dxa" w:w="249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250,000,000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Trần 15% × DTHĐ</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75,000,000</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150,000,000</w:t>
            </w:r>
          </w:p>
        </w:tc>
        <w:tc>
          <w:tcPr>
            <w:tcW w:type="dxa" w:w="249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450,000,000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HH áp dụng (lấy min)</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25,000,000</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70,000,000</w:t>
            </w:r>
          </w:p>
        </w:tc>
        <w:tc>
          <w:tcPr>
            <w:tcW w:type="dxa" w:w="249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250,000,000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Phí QT Cty (25%)</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6,250,000</w:t>
            </w:r>
          </w:p>
        </w:tc>
        <w:tc>
          <w:tcPr>
            <w:tcW w:type="dxa" w:w="2268"/>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17,500,000</w:t>
            </w:r>
          </w:p>
        </w:tc>
        <w:tc>
          <w:tcPr>
            <w:tcW w:type="dxa" w:w="2494"/>
            <w:vAlign w:val="center"/>
            <w:shd w:val="clear" w:color="auto" w:fill="F0F7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val="0"/>
                <w:i w:val="0"/>
                <w:color w:val="000000"/>
                <w:sz w:val="20"/>
              </w:rPr>
              <w:t>62,500,000</w:t>
            </w:r>
          </w:p>
        </w:tc>
      </w:tr>
      <w:tr>
        <w:tc>
          <w:tcPr>
            <w:tcW w:type="dxa" w:w="1984"/>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0"/>
              </w:rPr>
              <w:t>Q = Net HH (75%)</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i w:val="0"/>
                <w:color w:val="1F4E79"/>
                <w:sz w:val="20"/>
              </w:rPr>
              <w:t>18,750,000</w:t>
            </w:r>
          </w:p>
        </w:tc>
        <w:tc>
          <w:tcPr>
            <w:tcW w:type="dxa" w:w="2268"/>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i w:val="0"/>
                <w:color w:val="1F4E79"/>
                <w:sz w:val="20"/>
              </w:rPr>
              <w:t>52,500,000</w:t>
            </w:r>
          </w:p>
        </w:tc>
        <w:tc>
          <w:tcPr>
            <w:tcW w:type="dxa" w:w="2494"/>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right"/>
            </w:pPr>
            <w:r>
              <w:rPr>
                <w:rFonts w:ascii="Times New Roman" w:hAnsi="Times New Roman"/>
                <w:b/>
                <w:i w:val="0"/>
                <w:color w:val="1F4E79"/>
                <w:sz w:val="20"/>
              </w:rPr>
              <w:t>187,500,000</w:t>
            </w:r>
          </w:p>
        </w:tc>
      </w:tr>
    </w:tbl>
    <w:p>
      <w:pPr>
        <w:spacing w:before="140" w:after="80"/>
        <w:jc w:val="left"/>
      </w:pPr>
      <w:r>
        <w:rPr>
          <w:rFonts w:ascii="Times New Roman" w:hAnsi="Times New Roman"/>
          <w:b/>
          <w:color w:val="1F4E79"/>
          <w:sz w:val="24"/>
        </w:rPr>
        <w:t>Điều 8. Thưởng thực nhận của từng vai trò</w:t>
      </w:r>
    </w:p>
    <w:p>
      <w:pPr>
        <w:spacing w:before="80" w:after="80"/>
        <w:jc w:val="both"/>
      </w:pPr>
      <w:r>
        <w:rPr>
          <w:rFonts w:ascii="Times New Roman" w:hAnsi="Times New Roman"/>
          <w:b w:val="0"/>
          <w:i w:val="0"/>
          <w:color w:val="000000"/>
          <w:sz w:val="24"/>
        </w:rPr>
        <w:t>Số tiền thưởng thực nhận của từng vai trò được tính theo công thức:</w:t>
      </w:r>
    </w:p>
    <w:p>
      <w:pPr>
        <w:spacing w:before="120" w:after="120"/>
        <w:ind w:left="567"/>
        <w:jc w:val="both"/>
      </w:pPr>
      <w:r>
        <w:rPr>
          <w:rFonts w:ascii="Times New Roman" w:hAnsi="Times New Roman"/>
          <w:b w:val="0"/>
          <w:i w:val="0"/>
          <w:color w:val="000000"/>
          <w:sz w:val="24"/>
        </w:rPr>
        <w:t xml:space="preserve">    Thưởng vai trò X  =  </w:t>
      </w:r>
      <w:r>
        <w:rPr>
          <w:rFonts w:ascii="Times New Roman" w:hAnsi="Times New Roman"/>
          <w:b/>
          <w:i w:val="0"/>
          <w:color w:val="1F4E79"/>
          <w:sz w:val="24"/>
        </w:rPr>
        <w:t>Tỷ lệ (%) của vai trò X  ×  Q  ±  Điều chỉnh (theo Chương IV)</w:t>
      </w:r>
    </w:p>
    <w:p>
      <w:pPr>
        <w:spacing w:before="80" w:after="80"/>
        <w:jc w:val="both"/>
      </w:pPr>
      <w:r>
        <w:rPr>
          <w:rFonts w:ascii="Times New Roman" w:hAnsi="Times New Roman"/>
          <w:b w:val="0"/>
          <w:i w:val="0"/>
          <w:color w:val="000000"/>
          <w:sz w:val="24"/>
        </w:rPr>
        <w:t>Trong đó: % Điều chỉnh chỉ được áp dụng khi có biên bản xác nhận theo Chương IV.</w:t>
      </w:r>
    </w:p>
    <w:p>
      <w:pPr>
        <w:spacing w:before="140" w:after="80"/>
        <w:jc w:val="left"/>
      </w:pPr>
      <w:r>
        <w:rPr>
          <w:rFonts w:ascii="Times New Roman" w:hAnsi="Times New Roman"/>
          <w:b/>
          <w:color w:val="1F4E79"/>
          <w:sz w:val="24"/>
        </w:rPr>
        <w:t>Điều 9. Quy trình chi trả thưởng</w:t>
      </w:r>
    </w:p>
    <w:p>
      <w:pPr>
        <w:spacing w:before="60" w:after="60"/>
        <w:ind w:left="170"/>
        <w:jc w:val="both"/>
      </w:pPr>
      <w:r>
        <w:rPr>
          <w:rFonts w:ascii="Times New Roman" w:hAnsi="Times New Roman"/>
          <w:b/>
          <w:i w:val="0"/>
          <w:color w:val="1F4E79"/>
          <w:sz w:val="24"/>
        </w:rPr>
        <w:t xml:space="preserve">  Bước 1 — Kick-off dự án:</w:t>
      </w:r>
      <w:r>
        <w:rPr>
          <w:rFonts w:ascii="Times New Roman" w:hAnsi="Times New Roman"/>
          <w:b w:val="0"/>
          <w:i w:val="0"/>
          <w:color w:val="000000"/>
          <w:sz w:val="24"/>
        </w:rPr>
        <w:t xml:space="preserve"> AM &amp; PA chốt danh sách 16 task (Áp dụng / Không áp dụng / Bỏ hoàn toàn / Chuyển sang người khác), xác nhận giá trị Q bằng số, ký Biên bản Chốt Phân bổ Task (Phụ lục 1). Thời hạn: trước khi bắt đầu bất kỳ task nào.</w:t>
      </w:r>
    </w:p>
    <w:p>
      <w:pPr>
        <w:spacing w:before="60" w:after="60"/>
        <w:ind w:left="170"/>
        <w:jc w:val="both"/>
      </w:pPr>
      <w:r>
        <w:rPr>
          <w:rFonts w:ascii="Times New Roman" w:hAnsi="Times New Roman"/>
          <w:b/>
          <w:i w:val="0"/>
          <w:color w:val="1F4E79"/>
          <w:sz w:val="24"/>
        </w:rPr>
        <w:t xml:space="preserve">  Bước 2 — Theo dõi tiến độ:</w:t>
      </w:r>
      <w:r>
        <w:rPr>
          <w:rFonts w:ascii="Times New Roman" w:hAnsi="Times New Roman"/>
          <w:b w:val="0"/>
          <w:i w:val="0"/>
          <w:color w:val="000000"/>
          <w:sz w:val="24"/>
        </w:rPr>
        <w:t xml:space="preserve"> PA cập nhật trạng thái hoàn thành từng task hàng tuần trên hệ thống ClickUp/ERP nội bộ.</w:t>
      </w:r>
    </w:p>
    <w:p>
      <w:pPr>
        <w:spacing w:before="60" w:after="60"/>
        <w:ind w:left="170"/>
        <w:jc w:val="both"/>
      </w:pPr>
      <w:r>
        <w:rPr>
          <w:rFonts w:ascii="Times New Roman" w:hAnsi="Times New Roman"/>
          <w:b/>
          <w:i w:val="0"/>
          <w:color w:val="1F4E79"/>
          <w:sz w:val="24"/>
        </w:rPr>
        <w:t xml:space="preserve">  Bước 3 — Nghiệm thu nội bộ:</w:t>
      </w:r>
      <w:r>
        <w:rPr>
          <w:rFonts w:ascii="Times New Roman" w:hAnsi="Times New Roman"/>
          <w:b w:val="0"/>
          <w:i w:val="0"/>
          <w:color w:val="000000"/>
          <w:sz w:val="24"/>
        </w:rPr>
        <w:t xml:space="preserve"> PA tổng hợp Báo cáo hoàn thành task → AM xác nhận → Phó Tổng Giám đốc Công ty phê duyệt → Admin đối chiếu hồ sơ pháp lý.</w:t>
      </w:r>
    </w:p>
    <w:p>
      <w:pPr>
        <w:spacing w:before="60" w:after="60"/>
        <w:ind w:left="170"/>
        <w:jc w:val="both"/>
      </w:pPr>
      <w:r>
        <w:rPr>
          <w:rFonts w:ascii="Times New Roman" w:hAnsi="Times New Roman"/>
          <w:b/>
          <w:i w:val="0"/>
          <w:color w:val="1F4E79"/>
          <w:sz w:val="24"/>
        </w:rPr>
        <w:t xml:space="preserve">  Bước 4 — Phê duyệt BGĐ:</w:t>
      </w:r>
      <w:r>
        <w:rPr>
          <w:rFonts w:ascii="Times New Roman" w:hAnsi="Times New Roman"/>
          <w:b w:val="0"/>
          <w:i w:val="0"/>
          <w:color w:val="000000"/>
          <w:sz w:val="24"/>
        </w:rPr>
        <w:t xml:space="preserve"> Hồ sơ nghiệm thu (gồm Báo cáo hoàn thành + Biên bản Kick-off) trình Ban Giám đốc phê duyệt.</w:t>
      </w:r>
    </w:p>
    <w:p>
      <w:pPr>
        <w:spacing w:before="60" w:after="60"/>
        <w:ind w:left="170"/>
        <w:jc w:val="both"/>
      </w:pPr>
      <w:r>
        <w:rPr>
          <w:rFonts w:ascii="Times New Roman" w:hAnsi="Times New Roman"/>
          <w:b/>
          <w:i w:val="0"/>
          <w:color w:val="1F4E79"/>
          <w:sz w:val="24"/>
        </w:rPr>
        <w:t xml:space="preserve">  Bước 5 — Chi trả:</w:t>
      </w:r>
      <w:r>
        <w:rPr>
          <w:rFonts w:ascii="Times New Roman" w:hAnsi="Times New Roman"/>
          <w:b w:val="0"/>
          <w:i w:val="0"/>
          <w:color w:val="000000"/>
          <w:sz w:val="24"/>
        </w:rPr>
        <w:t xml:space="preserve"> Thưởng được tổng hợp và chi trả một lần vào dịp cuối năm (cùng thời điểm với quyết toán thưởng Tết), sau khi BGĐ phê duyệt báo cáo tổng hợp thưởng toàn bộ dự án trong năm. Kế toán chi trả trong 05 ngày làm việc kể từ ngày BGĐ ký phê duyệt.</w:t>
      </w:r>
    </w:p>
    <w:p>
      <w:pPr>
        <w:spacing w:before="140" w:after="80"/>
        <w:jc w:val="left"/>
      </w:pPr>
      <w:r>
        <w:rPr>
          <w:rFonts w:ascii="Times New Roman" w:hAnsi="Times New Roman"/>
          <w:b/>
          <w:color w:val="1F4E79"/>
          <w:sz w:val="24"/>
        </w:rPr>
        <w:t>Điều 10. Điều kiện tối thiểu để kích hoạt quỹ thưởng</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Hợp đồng phải được ký kết hợp lệ và có hiệu lực pháp lý.</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Hợp đồng đã được ký kết và có hiệu lực trong năm tài chính đang xét.</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Biên bản Chốt Phân bổ Task (Phụ lục 1) đã được ký đầy đủ tại Kick-off và được Phó Tổng Giám đốc Công ty xác nhận.</w:t>
      </w:r>
    </w:p>
    <w:p>
      <w:pPr>
        <w:spacing w:before="40" w:after="40"/>
        <w:ind w:left="340" w:hanging="340"/>
        <w:jc w:val="both"/>
      </w:pPr>
      <w:r>
        <w:rPr>
          <w:rFonts w:ascii="Times New Roman" w:hAnsi="Times New Roman"/>
          <w:b/>
          <w:sz w:val="24"/>
        </w:rPr>
        <w:t xml:space="preserve">4.  </w:t>
      </w:r>
      <w:r>
        <w:rPr>
          <w:rFonts w:ascii="Times New Roman" w:hAnsi="Times New Roman"/>
          <w:b w:val="0"/>
          <w:i w:val="0"/>
          <w:color w:val="000000"/>
          <w:sz w:val="24"/>
        </w:rPr>
        <w:t>Giá trị Q sau tính toán phải dương (HH &gt; 0). Nếu HH ≤ 0 (do chi phí TCFNC vượt 80% doanh thu), không phát sinh quỹ thưởng cho giai đoạn này.</w:t>
      </w:r>
    </w:p>
    <w:p>
      <w:pPr>
        <w:spacing w:before="40" w:after="40"/>
        <w:ind w:left="340" w:hanging="340"/>
        <w:jc w:val="both"/>
      </w:pPr>
      <w:r>
        <w:rPr>
          <w:rFonts w:ascii="Times New Roman" w:hAnsi="Times New Roman"/>
          <w:b/>
          <w:sz w:val="24"/>
        </w:rPr>
        <w:t xml:space="preserve">5.  </w:t>
      </w:r>
      <w:r>
        <w:rPr>
          <w:rFonts w:ascii="Times New Roman" w:hAnsi="Times New Roman"/>
          <w:b w:val="0"/>
          <w:i w:val="0"/>
          <w:color w:val="000000"/>
          <w:sz w:val="24"/>
        </w:rPr>
        <w:t>Trường hợp hợp đồng bị chấm dứt trước khi hoàn thành và khách hàng yêu cầu hoàn trả một phần giá trị: BGĐ xem xét điều chỉnh giảm Q tương ứng và có quyền thu hồi phần thưởng đã chi trả nếu cần thiết.</w:t>
      </w:r>
    </w:p>
    <w:p>
      <w:r>
        <w:br w:type="page"/>
      </w:r>
    </w:p>
    <w:p>
      <w:pPr>
        <w:spacing w:before="200" w:after="80"/>
        <w:jc w:val="center"/>
      </w:pPr>
      <w:r>
        <w:rPr>
          <w:rFonts w:ascii="Times New Roman" w:hAnsi="Times New Roman"/>
          <w:b/>
          <w:color w:val="1F4E79"/>
          <w:sz w:val="26"/>
        </w:rPr>
        <w:t>CHƯƠNG IV</w:t>
        <w:br/>
        <w:t>CƠ CHẾ ĐIỀU CHỈNH KHI TASK KHÔNG PHÁT SINH</w:t>
      </w:r>
    </w:p>
    <w:p>
      <w:pPr>
        <w:spacing w:before="80" w:after="80"/>
        <w:jc w:val="both"/>
      </w:pPr>
      <w:r>
        <w:rPr>
          <w:rFonts w:ascii="Times New Roman" w:hAnsi="Times New Roman"/>
          <w:b w:val="0"/>
          <w:i w:val="0"/>
          <w:color w:val="000000"/>
          <w:sz w:val="24"/>
        </w:rPr>
        <w:t>Trong thực tế, một số dự án có đặc thù riêng khiến task không phát sinh đầy đủ. % của task đó sẽ được phân bổ lại theo Quy tắc ưu tiên 3 bước dưới đây. Mọi điều chỉnh phải được ghi nhận tại Biên bản Chốt Phân bổ Task (Phụ lục 1) ngay tại buổi Kick-off.</w:t>
      </w:r>
    </w:p>
    <w:p>
      <w:pPr>
        <w:spacing w:before="140" w:after="80"/>
        <w:jc w:val="left"/>
      </w:pPr>
      <w:r>
        <w:rPr>
          <w:rFonts w:ascii="Times New Roman" w:hAnsi="Times New Roman"/>
          <w:b/>
          <w:color w:val="1F4E79"/>
          <w:sz w:val="24"/>
        </w:rPr>
        <w:t>Điều 11. Bước 1 — Có người khác làm thay</w:t>
      </w:r>
    </w:p>
    <w:p>
      <w:pPr>
        <w:spacing w:before="80" w:after="80"/>
        <w:jc w:val="both"/>
      </w:pPr>
      <w:r>
        <w:rPr>
          <w:rFonts w:ascii="Times New Roman" w:hAnsi="Times New Roman"/>
          <w:b w:val="0"/>
          <w:i w:val="0"/>
          <w:color w:val="000000"/>
          <w:sz w:val="24"/>
        </w:rPr>
        <w:t>Cơ chế: Chuyển 100% tỷ lệ của task sang vai trò/người thực tế thực hiện.</w:t>
      </w:r>
    </w:p>
    <w:p>
      <w:pPr>
        <w:spacing w:before="80" w:after="80"/>
        <w:ind w:left="454"/>
        <w:jc w:val="both"/>
      </w:pPr>
      <w:r>
        <w:rPr>
          <w:rFonts w:ascii="Times New Roman" w:hAnsi="Times New Roman"/>
          <w:b w:val="0"/>
          <w:i w:val="0"/>
          <w:color w:val="000000"/>
          <w:sz w:val="24"/>
        </w:rPr>
        <w:t>Ví dụ: Dự án nhỏ, AM kiêm luôn điều phối thông tin thay PA → Task B3 (6%) chuyển toàn bộ sang AM. AM nhận thêm +6%, PA nhận 0% cho task đó.</w:t>
      </w:r>
    </w:p>
    <w:p>
      <w:pPr>
        <w:spacing w:before="140" w:after="80"/>
        <w:jc w:val="left"/>
      </w:pPr>
      <w:r>
        <w:rPr>
          <w:rFonts w:ascii="Times New Roman" w:hAnsi="Times New Roman"/>
          <w:b/>
          <w:color w:val="1F4E79"/>
          <w:sz w:val="24"/>
        </w:rPr>
        <w:t>Điều 12. Bước 3 — Bỏ hoàn toàn và không ai làm thay</w:t>
      </w:r>
    </w:p>
    <w:p>
      <w:pPr>
        <w:spacing w:before="80" w:after="80"/>
        <w:jc w:val="both"/>
      </w:pPr>
      <w:r>
        <w:rPr>
          <w:rFonts w:ascii="Times New Roman" w:hAnsi="Times New Roman"/>
          <w:b w:val="0"/>
          <w:i w:val="0"/>
          <w:color w:val="000000"/>
          <w:sz w:val="24"/>
        </w:rPr>
        <w:t>Cơ chế: % task được cộng dồn vào Quỹ dự phòng linh hoạt (tối đa 3% tổng Q) hoặc phân bổ lại cho các task còn lại của cùng vai trò theo tỷ lệ thuận.</w:t>
      </w:r>
    </w:p>
    <w:p>
      <w:pPr>
        <w:spacing w:before="80" w:after="80"/>
        <w:ind w:left="454"/>
        <w:jc w:val="both"/>
      </w:pPr>
      <w:r>
        <w:rPr>
          <w:rFonts w:ascii="Times New Roman" w:hAnsi="Times New Roman"/>
          <w:b w:val="0"/>
          <w:i w:val="0"/>
          <w:color w:val="000000"/>
          <w:sz w:val="24"/>
        </w:rPr>
        <w:t>Ví dụ: Khách hàng đã có đội kỹ thuật tự thao tác Demo, không cần Pre-Sales trình diễn → Task C2 (7%) không phát sinh. 7% nhập Role Pool Pre-Sales, chia tỷ lệ cho C1, C3, C4.</w:t>
      </w:r>
    </w:p>
    <w:p>
      <w:pPr>
        <w:spacing w:before="120" w:after="120"/>
        <w:ind w:left="170"/>
        <w:jc w:val="both"/>
      </w:pPr>
      <w:r>
        <w:rPr>
          <w:rFonts w:ascii="Times New Roman" w:hAnsi="Times New Roman"/>
          <w:b/>
          <w:i w:val="0"/>
          <w:color w:val="C62828"/>
          <w:sz w:val="24"/>
        </w:rPr>
        <w:t xml:space="preserve">  Lưu ý bắt buộc: </w:t>
      </w:r>
      <w:r>
        <w:rPr>
          <w:rFonts w:ascii="Times New Roman" w:hAnsi="Times New Roman"/>
          <w:b w:val="0"/>
          <w:i w:val="0"/>
          <w:color w:val="000000"/>
          <w:sz w:val="24"/>
        </w:rPr>
        <w:t>Mọi điều chỉnh phải được ghi nhận tại Biên bản Chốt Phân bổ Task ngay tại Kick-off. Không chấp nhận điều chỉnh ngược sau khi dự án đã triển khai quá 30% tiến độ, trừ trường hợp có sự đồng ý bằng văn bản của BGĐ.</w:t>
      </w:r>
    </w:p>
    <w:p>
      <w:r>
        <w:br w:type="page"/>
      </w:r>
    </w:p>
    <w:p>
      <w:pPr>
        <w:spacing w:before="200" w:after="80"/>
        <w:jc w:val="center"/>
      </w:pPr>
      <w:r>
        <w:rPr>
          <w:rFonts w:ascii="Times New Roman" w:hAnsi="Times New Roman"/>
          <w:b/>
          <w:color w:val="1F4E79"/>
          <w:sz w:val="26"/>
        </w:rPr>
        <w:t>CHƯƠNG V</w:t>
        <w:br/>
        <w:t>CÁC ĐIỀU KHOẢN BỔ SUNG</w:t>
      </w:r>
    </w:p>
    <w:p>
      <w:pPr>
        <w:spacing w:before="140" w:after="80"/>
        <w:jc w:val="left"/>
      </w:pPr>
      <w:r>
        <w:rPr>
          <w:rFonts w:ascii="Times New Roman" w:hAnsi="Times New Roman"/>
          <w:b/>
          <w:color w:val="1F4E79"/>
          <w:sz w:val="24"/>
        </w:rPr>
        <w:t>Điều 12. Xử lý khi nhân sự thay đổi trong quá trình thực hiện</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Nhân sự rời công ty trước khi hoàn thành task: Thưởng được tính theo tỷ lệ thời gian thực tế đóng góp (Pro-rate theo tháng). Phần còn lại chuyển sang người tiếp nhận.</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AM chuyển giao dự án cho AM khác: Cần lập Biên bản bàn giao, trong đó nêu rõ tỷ lệ % thưởng của AM cũ/mới theo thời gian thực tế đảm nhiệm. Phó Tổng Giám đốc Công ty phê duyệt.</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Nhân sự nghỉ phép dài hạn (&gt; 30 ngày liên tiếp): BGĐ xem xét điều chỉnh % thưởng; người đảm nhiệm thay nhận phần điều chỉnh tương ứng.</w:t>
      </w:r>
    </w:p>
    <w:p>
      <w:pPr>
        <w:spacing w:before="40" w:after="40"/>
        <w:ind w:left="340" w:hanging="340"/>
        <w:jc w:val="both"/>
      </w:pPr>
      <w:r>
        <w:rPr>
          <w:rFonts w:ascii="Times New Roman" w:hAnsi="Times New Roman"/>
          <w:b/>
          <w:sz w:val="24"/>
        </w:rPr>
        <w:t xml:space="preserve">4.  </w:t>
      </w:r>
      <w:r>
        <w:rPr>
          <w:rFonts w:ascii="Times New Roman" w:hAnsi="Times New Roman"/>
          <w:b w:val="0"/>
          <w:i w:val="0"/>
          <w:color w:val="000000"/>
          <w:sz w:val="24"/>
        </w:rPr>
        <w:t>Mọi thay đổi nhân sự và điều chỉnh % thưởng phải được lập thành văn bản và lưu trữ cùng hồ sơ dự án.</w:t>
      </w:r>
    </w:p>
    <w:p>
      <w:pPr>
        <w:spacing w:before="140" w:after="80"/>
        <w:jc w:val="left"/>
      </w:pPr>
      <w:r>
        <w:rPr>
          <w:rFonts w:ascii="Times New Roman" w:hAnsi="Times New Roman"/>
          <w:b/>
          <w:color w:val="1F4E79"/>
          <w:sz w:val="24"/>
        </w:rPr>
        <w:t>Điều 12. Quan hệ với Thưởng cuối năm (Mục 60 — Cơ chế hoạt động Trung tâm BIM)</w:t>
      </w:r>
    </w:p>
    <w:p>
      <w:pPr>
        <w:spacing w:before="80" w:after="80"/>
        <w:jc w:val="both"/>
      </w:pPr>
      <w:r>
        <w:rPr>
          <w:rFonts w:ascii="Times New Roman" w:hAnsi="Times New Roman"/>
          <w:b w:val="0"/>
          <w:i w:val="0"/>
          <w:color w:val="000000"/>
          <w:sz w:val="24"/>
        </w:rPr>
        <w:t>Quy chế thưởng giai đoạn phát triển dự án này là khoản thưởng HOÀN TOÀN ĐỘC LẬP và KHÔNG ĐƯỢC trừ hoặc bù vào khoản thưởng Tết cuối năm quy định tại Mục 60 — Tài liệu Cơ chế hoạt động Trung tâm BIM và Digital Twins.</w:t>
      </w:r>
    </w:p>
    <w:p>
      <w:pPr>
        <w:spacing w:before="80" w:after="40"/>
        <w:jc w:val="both"/>
      </w:pPr>
      <w:r>
        <w:rPr>
          <w:rFonts w:ascii="Times New Roman" w:hAnsi="Times New Roman"/>
          <w:b w:val="0"/>
          <w:i w:val="0"/>
          <w:color w:val="000000"/>
          <w:sz w:val="24"/>
        </w:rPr>
        <w:t>Cụ thể:</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Thưởng giai đoạn phát triển (Quy chế này): Chi trả ngay sau khi hợp đồng có hiệu lực và nhận thanh toán đợt 1. Gắn trực tiếp với từng hợp đồng cụ thể.</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Thưởng cuối năm (Mục 60 — Cơ chế hoạt động TT BIM): Chi trả vào dịp Tết, dựa trên doanh thu tổng năm của Trung tâm, phân chia theo thời gian làm việc và đóng góp chung.</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Các chỉ tiêu Ký kết, Doanh thu, Lợi nhuận gộp từ hợp đồng BIM sẽ được tính cho Trung tâm BIM theo QĐ08/2024/QĐ-CIC Điều 11, khoản 3.</w:t>
      </w:r>
    </w:p>
    <w:p>
      <w:pPr>
        <w:spacing w:before="140" w:after="80"/>
        <w:jc w:val="left"/>
      </w:pPr>
      <w:r>
        <w:rPr>
          <w:rFonts w:ascii="Times New Roman" w:hAnsi="Times New Roman"/>
          <w:b/>
          <w:color w:val="1F4E79"/>
          <w:sz w:val="24"/>
        </w:rPr>
        <w:t>Điều 12. Điều khoản chuyển tiếp cho dự án từ trước năm 2026</w:t>
      </w:r>
    </w:p>
    <w:p>
      <w:pPr>
        <w:spacing w:before="80" w:after="80"/>
        <w:jc w:val="both"/>
      </w:pPr>
      <w:r>
        <w:rPr>
          <w:rFonts w:ascii="Times New Roman" w:hAnsi="Times New Roman"/>
          <w:b w:val="0"/>
          <w:i w:val="0"/>
          <w:color w:val="000000"/>
          <w:sz w:val="24"/>
        </w:rPr>
        <w:t>Quy chế này áp dụng cho toàn bộ hợp đồng BIM mới ký kết từ ngày 01/01/2026.</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Dự án đã đưa vào Pipeline trước 01/01/2026 nhưng chưa ký hợp đồng: BGĐ quyết định bằng văn bản riêng áp dụng Quy chế này hay Quy chế cũ. Quyết định phải được xác nhận trong Biên bản Kick-off.</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Dự án đã ký hợp đồng trước 01/01/2026: Tiếp tục áp dụng Quy chế đang hiệu lực tại thời điểm ký kết.</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Quy chế này thay thế và vô hiệu hóa toàn bộ các quy định thưởng BIM giai đoạn phát triển trước đây. Trong trường hợp có mâu thuẫn với QĐ08/2024/QĐ-CIC, QĐ08 là văn bản ưu tiên áp dụng.</w:t>
      </w:r>
    </w:p>
    <w:p>
      <w:r>
        <w:br w:type="page"/>
      </w:r>
    </w:p>
    <w:p>
      <w:pPr>
        <w:spacing w:before="200" w:after="80"/>
        <w:jc w:val="center"/>
      </w:pPr>
      <w:r>
        <w:rPr>
          <w:rFonts w:ascii="Times New Roman" w:hAnsi="Times New Roman"/>
          <w:b/>
          <w:color w:val="1F4E79"/>
          <w:sz w:val="26"/>
        </w:rPr>
        <w:t>CHƯƠNG VI</w:t>
        <w:br/>
        <w:t>GIÁM SÁT, GIẢI QUYẾT TRANH CHẤP VÀ HIỆU LỰC THI HÀNH</w:t>
      </w:r>
    </w:p>
    <w:p>
      <w:pPr>
        <w:spacing w:before="140" w:after="80"/>
        <w:jc w:val="left"/>
      </w:pPr>
      <w:r>
        <w:rPr>
          <w:rFonts w:ascii="Times New Roman" w:hAnsi="Times New Roman"/>
          <w:b/>
          <w:color w:val="1F4E79"/>
          <w:sz w:val="24"/>
        </w:rPr>
        <w:t>Điều 12. Trách nhiệm giám sát</w:t>
      </w:r>
    </w:p>
    <w:tbl>
      <w:tblPr>
        <w:tblW w:type="auto" w:w="0"/>
        <w:jc w:val="left"/>
        <w:tblLook w:firstColumn="1" w:firstRow="1" w:lastColumn="0" w:lastRow="0" w:noHBand="0" w:noVBand="1" w:val="04A0"/>
      </w:tblPr>
      <w:tblGrid>
        <w:gridCol w:w="4677"/>
        <w:gridCol w:w="4677"/>
      </w:tblGrid>
      <w:tr>
        <w:tc>
          <w:tcPr>
            <w:tcW w:type="dxa" w:w="158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Vai trò</w:t>
            </w:r>
          </w:p>
        </w:tc>
        <w:tc>
          <w:tcPr>
            <w:tcW w:type="dxa" w:w="742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Trách nhiệm giám sát</w:t>
            </w:r>
          </w:p>
        </w:tc>
      </w:tr>
      <w:tr>
        <w:tc>
          <w:tcPr>
            <w:tcW w:type="dxa" w:w="158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AM</w:t>
            </w:r>
          </w:p>
        </w:tc>
        <w:tc>
          <w:tcPr>
            <w:tcW w:type="dxa" w:w="742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Chịu trách nhiệm về tính chính xác của báo cáo nghiệm thu task và dòng tiền thưởng. AM không được tự xác nhận task mà mình là người thực hiện duy nhất — phải có xác nhận của PA hoặc Phó TGĐ.</w:t>
            </w:r>
          </w:p>
        </w:tc>
      </w:tr>
      <w:tr>
        <w:tc>
          <w:tcPr>
            <w:tcW w:type="dxa" w:w="158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PA</w:t>
            </w:r>
          </w:p>
        </w:tc>
        <w:tc>
          <w:tcPr>
            <w:tcW w:type="dxa" w:w="742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Là người tổng hợp dữ liệu, cập nhật trạng thái task trên hệ thống, đối chiếu với hồ sơ thực tế. PA lập Báo cáo hoàn thành task và trình AM xem xét.</w:t>
            </w:r>
          </w:p>
        </w:tc>
      </w:tr>
      <w:tr>
        <w:tc>
          <w:tcPr>
            <w:tcW w:type="dxa" w:w="158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Admin</w:t>
            </w:r>
          </w:p>
        </w:tc>
        <w:tc>
          <w:tcPr>
            <w:tcW w:type="dxa" w:w="7427"/>
            <w:vAlign w:val="center"/>
            <w:shd w:val="clear" w:color="auto" w:fill="EBF3F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Kiểm tra tính pháp lý của biên bản nghiệm thu, đảm bảo đủ điều kiện xuất hóa đơn và chi trả.</w:t>
            </w:r>
          </w:p>
        </w:tc>
      </w:tr>
      <w:tr>
        <w:tc>
          <w:tcPr>
            <w:tcW w:type="dxa" w:w="158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2"/>
              </w:rPr>
              <w:t>Phó TGĐ</w:t>
            </w:r>
          </w:p>
        </w:tc>
        <w:tc>
          <w:tcPr>
            <w:tcW w:type="dxa" w:w="7427"/>
            <w:vAlign w:val="center"/>
            <w:shd w:val="clear" w:color="auto" w:fill="F5FAFF"/>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Phê duyệt độc lập Báo cáo hoàn thành task trước khi trình BGĐ, đặc biệt cho các task có giá trị từ 10 triệu VNĐ trở lên. Phó TGĐ có quyền từ chối phê duyệt nếu phát hiện thông tin không chính xác.</w:t>
            </w:r>
          </w:p>
        </w:tc>
      </w:tr>
    </w:tbl>
    <w:p>
      <w:pPr>
        <w:spacing w:before="140" w:after="80"/>
        <w:jc w:val="left"/>
      </w:pPr>
      <w:r>
        <w:rPr>
          <w:rFonts w:ascii="Times New Roman" w:hAnsi="Times New Roman"/>
          <w:b/>
          <w:color w:val="1F4E79"/>
          <w:sz w:val="24"/>
        </w:rPr>
        <w:t>Điều 12. Giải quyết tranh chấp</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Tranh chấp phát sinh về phân bổ task hoặc % thưởng sẽ được xử lý bởi Hội đồng xét thưởng gồm: Phó Tổng Giám đốc Công ty, Trưởng phòng Kinh doanh Công ty, Kế toán trưởng Công ty.</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Thời gian xử lý: không quá 07 ngày làm việc kể từ ngày nhận được đơn tranh chấp bằng văn bản.</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Quyết định của Hội đồng xét thưởng là quyết định cuối cùng.</w:t>
      </w:r>
    </w:p>
    <w:p>
      <w:pPr>
        <w:spacing w:before="140" w:after="80"/>
        <w:jc w:val="left"/>
      </w:pPr>
      <w:r>
        <w:rPr>
          <w:rFonts w:ascii="Times New Roman" w:hAnsi="Times New Roman"/>
          <w:b/>
          <w:color w:val="1F4E79"/>
          <w:sz w:val="24"/>
        </w:rPr>
        <w:t>Điều 12. Hiệu lực thi hành</w:t>
      </w:r>
    </w:p>
    <w:p>
      <w:pPr>
        <w:spacing w:before="40" w:after="40"/>
        <w:ind w:left="340" w:hanging="340"/>
        <w:jc w:val="both"/>
      </w:pPr>
      <w:r>
        <w:rPr>
          <w:rFonts w:ascii="Times New Roman" w:hAnsi="Times New Roman"/>
          <w:b/>
          <w:sz w:val="24"/>
        </w:rPr>
        <w:t xml:space="preserve">1.  </w:t>
      </w:r>
      <w:r>
        <w:rPr>
          <w:rFonts w:ascii="Times New Roman" w:hAnsi="Times New Roman"/>
          <w:b w:val="0"/>
          <w:i w:val="0"/>
          <w:color w:val="000000"/>
          <w:sz w:val="24"/>
        </w:rPr>
        <w:t>Quy chế này có hiệu lực từ ngày 01/01/2026 và áp dụng cho toàn bộ hợp đồng BIM mới ký kết từ ngày này.</w:t>
      </w:r>
    </w:p>
    <w:p>
      <w:pPr>
        <w:spacing w:before="40" w:after="40"/>
        <w:ind w:left="340" w:hanging="340"/>
        <w:jc w:val="both"/>
      </w:pPr>
      <w:r>
        <w:rPr>
          <w:rFonts w:ascii="Times New Roman" w:hAnsi="Times New Roman"/>
          <w:b/>
          <w:sz w:val="24"/>
        </w:rPr>
        <w:t xml:space="preserve">2.  </w:t>
      </w:r>
      <w:r>
        <w:rPr>
          <w:rFonts w:ascii="Times New Roman" w:hAnsi="Times New Roman"/>
          <w:b w:val="0"/>
          <w:i w:val="0"/>
          <w:color w:val="000000"/>
          <w:sz w:val="24"/>
        </w:rPr>
        <w:t>Quy chế thay thế toàn bộ các quy định thưởng BIM giai đoạn phát triển được ban hành trước đây.</w:t>
      </w:r>
    </w:p>
    <w:p>
      <w:pPr>
        <w:spacing w:before="40" w:after="40"/>
        <w:ind w:left="340" w:hanging="340"/>
        <w:jc w:val="both"/>
      </w:pPr>
      <w:r>
        <w:rPr>
          <w:rFonts w:ascii="Times New Roman" w:hAnsi="Times New Roman"/>
          <w:b/>
          <w:sz w:val="24"/>
        </w:rPr>
        <w:t xml:space="preserve">3.  </w:t>
      </w:r>
      <w:r>
        <w:rPr>
          <w:rFonts w:ascii="Times New Roman" w:hAnsi="Times New Roman"/>
          <w:b w:val="0"/>
          <w:i w:val="0"/>
          <w:color w:val="000000"/>
          <w:sz w:val="24"/>
        </w:rPr>
        <w:t>Mọi sửa đổi, bổ sung Quy chế này phải được Tổng Giám đốc Công ty phê duyệt bằng văn bản.</w:t>
      </w:r>
    </w:p>
    <w:p>
      <w:pPr>
        <w:spacing w:before="40" w:after="40"/>
        <w:ind w:left="340" w:hanging="340"/>
        <w:jc w:val="both"/>
      </w:pPr>
      <w:r>
        <w:rPr>
          <w:rFonts w:ascii="Times New Roman" w:hAnsi="Times New Roman"/>
          <w:b/>
          <w:sz w:val="24"/>
        </w:rPr>
        <w:t xml:space="preserve">4.  </w:t>
      </w:r>
      <w:r>
        <w:rPr>
          <w:rFonts w:ascii="Times New Roman" w:hAnsi="Times New Roman"/>
          <w:b w:val="0"/>
          <w:i w:val="0"/>
          <w:color w:val="000000"/>
          <w:sz w:val="24"/>
        </w:rPr>
        <w:t>Phó Tổng Giám đốc Công ty chịu trách nhiệm phê duyệt, giám sát việc triển khai Quy chế này. Phó Tổng Giám đốc Công ty và Digital Twins chịu trách nhiệm hướng dẫn thực hiện hàng ngày.</w:t>
      </w:r>
    </w:p>
    <w:p>
      <w:r>
        <w:br w:type="page"/>
      </w:r>
    </w:p>
    <w:p>
      <w:pPr>
        <w:spacing w:before="200" w:after="80"/>
        <w:jc w:val="center"/>
      </w:pPr>
      <w:r>
        <w:rPr>
          <w:rFonts w:ascii="Times New Roman" w:hAnsi="Times New Roman"/>
          <w:b/>
          <w:color w:val="1F4E79"/>
          <w:sz w:val="26"/>
        </w:rPr>
        <w:t>PHỤ LỤC 1</w:t>
        <w:br/>
        <w:t>MẪU BIÊN BẢN CHỐT PHÂN BỔ TASK</w:t>
        <w:br/>
        <w:t>(Kick-off dự án BIM)</w:t>
      </w:r>
    </w:p>
    <w:p>
      <w:pPr>
        <w:spacing w:before="80" w:after="40"/>
        <w:jc w:val="both"/>
      </w:pPr>
      <w:r>
        <w:rPr>
          <w:rFonts w:ascii="Times New Roman" w:hAnsi="Times New Roman"/>
          <w:b/>
          <w:i w:val="0"/>
          <w:color w:val="000000"/>
          <w:sz w:val="24"/>
        </w:rPr>
        <w:t>Số hiệu biên bản: ____/BB-PTDA-BIM/____</w:t>
      </w:r>
    </w:p>
    <w:tbl>
      <w:tblPr>
        <w:tblW w:type="auto" w:w="0"/>
        <w:jc w:val="left"/>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Tên dự án:</w:t>
            </w:r>
          </w:p>
        </w:tc>
        <w:tc>
          <w:tcPr>
            <w:tcW w:type="dxa" w:w="3118"/>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________________________________</w:t>
            </w:r>
          </w:p>
        </w:tc>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Mã dự án:</w:t>
            </w:r>
          </w:p>
        </w:tc>
        <w:tc>
          <w:tcPr>
            <w:tcW w:type="dxa" w:w="2721"/>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________________</w:t>
            </w:r>
          </w:p>
        </w:tc>
      </w:tr>
      <w:tr>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Khách hàng:</w:t>
            </w:r>
          </w:p>
        </w:tc>
        <w:tc>
          <w:tcPr>
            <w:tcW w:type="dxa" w:w="3118"/>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________________________________</w:t>
            </w:r>
          </w:p>
        </w:tc>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Ngày Kick-off:</w:t>
            </w:r>
          </w:p>
        </w:tc>
        <w:tc>
          <w:tcPr>
            <w:tcW w:type="dxa" w:w="2721"/>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w:t>
            </w:r>
          </w:p>
        </w:tc>
      </w:tr>
      <w:tr>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Giá trị DTHĐ:</w:t>
            </w:r>
          </w:p>
        </w:tc>
        <w:tc>
          <w:tcPr>
            <w:tcW w:type="dxa" w:w="3118"/>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 VNĐ</w:t>
            </w:r>
          </w:p>
        </w:tc>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TCFNC (Điều 3):</w:t>
            </w:r>
          </w:p>
        </w:tc>
        <w:tc>
          <w:tcPr>
            <w:tcW w:type="dxa" w:w="2721"/>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 VNĐ</w:t>
            </w:r>
          </w:p>
        </w:tc>
      </w:tr>
      <w:tr>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HH tính được:</w:t>
            </w:r>
          </w:p>
        </w:tc>
        <w:tc>
          <w:tcPr>
            <w:tcW w:type="dxa" w:w="3118"/>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 VNĐ</w:t>
            </w:r>
          </w:p>
        </w:tc>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Trần 15% DTHĐ:</w:t>
            </w:r>
          </w:p>
        </w:tc>
        <w:tc>
          <w:tcPr>
            <w:tcW w:type="dxa" w:w="2721"/>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 VNĐ</w:t>
            </w:r>
          </w:p>
        </w:tc>
      </w:tr>
      <w:tr>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HH áp dụng:</w:t>
            </w:r>
          </w:p>
        </w:tc>
        <w:tc>
          <w:tcPr>
            <w:tcW w:type="dxa" w:w="3118"/>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 VNĐ</w:t>
            </w:r>
          </w:p>
        </w:tc>
        <w:tc>
          <w:tcPr>
            <w:tcW w:type="dxa" w:w="1587"/>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000000"/>
                <w:sz w:val="22"/>
              </w:rPr>
              <w:t>Q = 75% × HH:</w:t>
            </w:r>
          </w:p>
        </w:tc>
        <w:tc>
          <w:tcPr>
            <w:tcW w:type="dxa" w:w="2721"/>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2"/>
              </w:rPr>
              <w:t>_______________ VNĐ</w:t>
            </w:r>
          </w:p>
        </w:tc>
      </w:tr>
    </w:tbl>
    <w:p/>
    <w:p>
      <w:pPr>
        <w:spacing w:before="80" w:after="80"/>
        <w:jc w:val="center"/>
      </w:pPr>
      <w:r>
        <w:rPr>
          <w:rFonts w:ascii="Times New Roman" w:hAnsi="Times New Roman"/>
          <w:b/>
          <w:i w:val="0"/>
          <w:color w:val="000000"/>
          <w:sz w:val="24"/>
        </w:rPr>
        <w:t>BẢNG PHÂN BỔ TASK VÀ TỶ LỆ THƯỞNG</w:t>
      </w:r>
    </w:p>
    <w:tbl>
      <w:tblPr>
        <w:tblW w:type="auto" w:w="0"/>
        <w:jc w:val="left"/>
        <w:tblLook w:firstColumn="1" w:firstRow="1" w:lastColumn="0" w:lastRow="0" w:noHBand="0" w:noVBand="1" w:val="04A0"/>
      </w:tblPr>
      <w:tblGrid>
        <w:gridCol w:w="1336"/>
        <w:gridCol w:w="1336"/>
        <w:gridCol w:w="1336"/>
        <w:gridCol w:w="1336"/>
        <w:gridCol w:w="1336"/>
        <w:gridCol w:w="1336"/>
        <w:gridCol w:w="1336"/>
      </w:tblGrid>
      <w:tr>
        <w:tc>
          <w:tcPr>
            <w:tcW w:type="dxa" w:w="45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STT</w:t>
            </w:r>
          </w:p>
        </w:tc>
        <w:tc>
          <w:tcPr>
            <w:tcW w:type="dxa" w:w="1701"/>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Tên Task</w:t>
            </w:r>
          </w:p>
        </w:tc>
        <w:tc>
          <w:tcPr>
            <w:tcW w:type="dxa" w:w="850"/>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 Gốc</w:t>
            </w:r>
          </w:p>
        </w:tc>
        <w:tc>
          <w:tcPr>
            <w:tcW w:type="dxa" w:w="158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Nhân sự đảm nhiệm</w:t>
              <w:br/>
              <w:t>(Họ tên)</w:t>
            </w:r>
          </w:p>
        </w:tc>
        <w:tc>
          <w:tcPr>
            <w:tcW w:type="dxa" w:w="850"/>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Trạng thái</w:t>
              <w:br/>
              <w:t>(Đủ/Giảm/Bỏ)</w:t>
            </w:r>
          </w:p>
        </w:tc>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 Điều</w:t>
              <w:br/>
              <w:t>chỉnh</w:t>
            </w:r>
          </w:p>
        </w:tc>
        <w:tc>
          <w:tcPr>
            <w:tcW w:type="dxa" w:w="232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18"/>
              </w:rPr>
              <w:t>Ghi chú</w:t>
              <w:br/>
              <w:t>(lý do điều chỉnh nếu có)</w:t>
            </w:r>
          </w:p>
        </w:tc>
      </w:tr>
      <w:tr>
        <w:tc>
          <w:tcPr>
            <w:tcW w:type="dxa" w:w="454"/>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A1</w:t>
            </w:r>
          </w:p>
        </w:tc>
        <w:tc>
          <w:tcPr>
            <w:tcW w:type="dxa" w:w="1701"/>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Tiếp cận &amp; Thiết lập quan hệ CĐT</w:t>
            </w:r>
          </w:p>
        </w:tc>
        <w:tc>
          <w:tcPr>
            <w:tcW w:type="dxa" w:w="850"/>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12%</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12%</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A2</w:t>
            </w:r>
          </w:p>
        </w:tc>
        <w:tc>
          <w:tcPr>
            <w:tcW w:type="dxa" w:w="1701"/>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Xây dựng chiến lược &amp; Thuyết trình</w:t>
            </w:r>
          </w:p>
        </w:tc>
        <w:tc>
          <w:tcPr>
            <w:tcW w:type="dxa" w:w="850"/>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11%</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11%</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A3</w:t>
            </w:r>
          </w:p>
        </w:tc>
        <w:tc>
          <w:tcPr>
            <w:tcW w:type="dxa" w:w="1701"/>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Đàm phán thương mại &amp; Ký kết HĐ</w:t>
            </w:r>
          </w:p>
        </w:tc>
        <w:tc>
          <w:tcPr>
            <w:tcW w:type="dxa" w:w="850"/>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16%</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16%</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A4</w:t>
            </w:r>
          </w:p>
        </w:tc>
        <w:tc>
          <w:tcPr>
            <w:tcW w:type="dxa" w:w="1701"/>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Quản trị rủi ro dòng tiền</w:t>
            </w:r>
          </w:p>
        </w:tc>
        <w:tc>
          <w:tcPr>
            <w:tcW w:type="dxa" w:w="850"/>
            <w:vAlign w:val="center"/>
            <w:shd w:val="clear" w:color="auto" w:fill="E8F4FD"/>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10%</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10%</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B1</w:t>
            </w:r>
          </w:p>
        </w:tc>
        <w:tc>
          <w:tcPr>
            <w:tcW w:type="dxa" w:w="1701"/>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Lập Pre-BEP, PPL &amp; Số hóa quy trình</w:t>
            </w:r>
          </w:p>
        </w:tc>
        <w:tc>
          <w:tcPr>
            <w:tcW w:type="dxa" w:w="850"/>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8%</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8%</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B2</w:t>
            </w:r>
          </w:p>
        </w:tc>
        <w:tc>
          <w:tcPr>
            <w:tcW w:type="dxa" w:w="1701"/>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Hỗ trợ báo giá &amp; Dự toán nhân sự</w:t>
            </w:r>
          </w:p>
        </w:tc>
        <w:tc>
          <w:tcPr>
            <w:tcW w:type="dxa" w:w="850"/>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6%</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6%</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B3</w:t>
            </w:r>
          </w:p>
        </w:tc>
        <w:tc>
          <w:tcPr>
            <w:tcW w:type="dxa" w:w="1701"/>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Quản lý tiến độ &amp; Điều phối TT</w:t>
            </w:r>
          </w:p>
        </w:tc>
        <w:tc>
          <w:tcPr>
            <w:tcW w:type="dxa" w:w="850"/>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6%</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6%</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B4</w:t>
            </w:r>
          </w:p>
        </w:tc>
        <w:tc>
          <w:tcPr>
            <w:tcW w:type="dxa" w:w="1701"/>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Quản lý CDE &amp; Kiểm soát phiên bản</w:t>
            </w:r>
          </w:p>
        </w:tc>
        <w:tc>
          <w:tcPr>
            <w:tcW w:type="dxa" w:w="850"/>
            <w:vAlign w:val="center"/>
            <w:shd w:val="clear" w:color="auto" w:fill="EBF5EB"/>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4%</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4%</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C1</w:t>
            </w:r>
          </w:p>
        </w:tc>
        <w:tc>
          <w:tcPr>
            <w:tcW w:type="dxa" w:w="1701"/>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Phân tích yêu cầu kỹ thuật (EIR)</w:t>
            </w:r>
          </w:p>
        </w:tc>
        <w:tc>
          <w:tcPr>
            <w:tcW w:type="dxa" w:w="850"/>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6%</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6%</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C2</w:t>
            </w:r>
          </w:p>
        </w:tc>
        <w:tc>
          <w:tcPr>
            <w:tcW w:type="dxa" w:w="1701"/>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Trình diễn công nghệ (Demo)</w:t>
            </w:r>
          </w:p>
        </w:tc>
        <w:tc>
          <w:tcPr>
            <w:tcW w:type="dxa" w:w="850"/>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7%</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7%</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C3</w:t>
            </w:r>
          </w:p>
        </w:tc>
        <w:tc>
          <w:tcPr>
            <w:tcW w:type="dxa" w:w="1701"/>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Giải đáp kỹ thuật &amp; Bảo vệ PA</w:t>
            </w:r>
          </w:p>
        </w:tc>
        <w:tc>
          <w:tcPr>
            <w:tcW w:type="dxa" w:w="850"/>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3%</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3%</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C4</w:t>
            </w:r>
          </w:p>
        </w:tc>
        <w:tc>
          <w:tcPr>
            <w:tcW w:type="dxa" w:w="1701"/>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Đào tạo &amp; Chuyển giao công nghệ</w:t>
            </w:r>
          </w:p>
        </w:tc>
        <w:tc>
          <w:tcPr>
            <w:tcW w:type="dxa" w:w="850"/>
            <w:vAlign w:val="center"/>
            <w:shd w:val="clear" w:color="auto" w:fill="FFF8E7"/>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3%</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3%</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D1</w:t>
            </w:r>
          </w:p>
        </w:tc>
        <w:tc>
          <w:tcPr>
            <w:tcW w:type="dxa" w:w="1701"/>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Chuẩn bị hồ sơ thầu &amp; Pháp lý</w:t>
            </w:r>
          </w:p>
        </w:tc>
        <w:tc>
          <w:tcPr>
            <w:tcW w:type="dxa" w:w="850"/>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3%</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3%</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D2</w:t>
            </w:r>
          </w:p>
        </w:tc>
        <w:tc>
          <w:tcPr>
            <w:tcW w:type="dxa" w:w="1701"/>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Soạn thảo &amp; Quản lý hợp đồng</w:t>
            </w:r>
          </w:p>
        </w:tc>
        <w:tc>
          <w:tcPr>
            <w:tcW w:type="dxa" w:w="850"/>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2%</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2%</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D3</w:t>
            </w:r>
          </w:p>
        </w:tc>
        <w:tc>
          <w:tcPr>
            <w:tcW w:type="dxa" w:w="1701"/>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Nghiệm thu, Thanh quyết toán</w:t>
            </w:r>
          </w:p>
        </w:tc>
        <w:tc>
          <w:tcPr>
            <w:tcW w:type="dxa" w:w="850"/>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2%</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2%</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D4</w:t>
            </w:r>
          </w:p>
        </w:tc>
        <w:tc>
          <w:tcPr>
            <w:tcW w:type="dxa" w:w="1701"/>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t>Hậu cần &amp; Gửi nhận hồ sơ</w:t>
            </w:r>
          </w:p>
        </w:tc>
        <w:tc>
          <w:tcPr>
            <w:tcW w:type="dxa" w:w="850"/>
            <w:vAlign w:val="center"/>
            <w:shd w:val="clear" w:color="auto" w:fill="FFF0F0"/>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w:t>
            </w:r>
          </w:p>
        </w:tc>
        <w:tc>
          <w:tcPr>
            <w:tcW w:type="dxa" w:w="158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Đủ</w:t>
            </w:r>
          </w:p>
        </w:tc>
        <w:tc>
          <w:tcPr>
            <w:tcW w:type="dxa" w:w="1247"/>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1%</w:t>
            </w:r>
          </w:p>
        </w:tc>
        <w:tc>
          <w:tcPr>
            <w:tcW w:type="dxa" w:w="2324"/>
            <w:vAlign w:val="center"/>
            <w:shd w:val="clear" w:color="auto" w:fill="FAFAFA"/>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r>
        <w:tc>
          <w:tcPr>
            <w:tcW w:type="dxa" w:w="45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701"/>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i w:val="0"/>
                <w:color w:val="FFFFFF"/>
                <w:sz w:val="22"/>
              </w:rPr>
              <w:t>TỔNG CỘNG</w:t>
            </w:r>
          </w:p>
        </w:tc>
        <w:tc>
          <w:tcPr>
            <w:tcW w:type="dxa" w:w="850"/>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FFFFFF"/>
                <w:sz w:val="22"/>
              </w:rPr>
              <w:t>100%</w:t>
            </w:r>
          </w:p>
        </w:tc>
        <w:tc>
          <w:tcPr>
            <w:tcW w:type="dxa" w:w="158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850"/>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1247"/>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c>
          <w:tcPr>
            <w:tcW w:type="dxa" w:w="2324"/>
            <w:vAlign w:val="center"/>
            <w:shd w:val="clear" w:color="auto" w:fill="1F4E79"/>
            <w:tcBorders>
              <w:top w:val="single" w:sz="4" w:space="0" w:color="BBBBBB"/>
              <w:left w:val="single" w:sz="4" w:space="0" w:color="BBBBBB"/>
              <w:bottom w:val="single" w:sz="4" w:space="0" w:color="BBBBBB"/>
              <w:right w:val="single" w:sz="4" w:space="0" w:color="BBBBBB"/>
            </w:tcBorders>
          </w:tcPr>
          <w:p>
            <w:pPr>
              <w:spacing w:before="40" w:after="40"/>
              <w:ind w:left="57" w:right="57"/>
              <w:jc w:val="left"/>
            </w:pPr>
            <w:r>
              <w:rPr>
                <w:rFonts w:ascii="Times New Roman" w:hAnsi="Times New Roman"/>
                <w:b w:val="0"/>
                <w:i w:val="0"/>
                <w:color w:val="000000"/>
                <w:sz w:val="20"/>
              </w:rPr>
            </w:r>
          </w:p>
        </w:tc>
      </w:tr>
    </w:tbl>
    <w:p/>
    <w:p>
      <w:pPr>
        <w:spacing w:before="40" w:after="120"/>
        <w:jc w:val="both"/>
      </w:pPr>
      <w:r>
        <w:rPr>
          <w:rFonts w:ascii="Times New Roman" w:hAnsi="Times New Roman"/>
          <w:b w:val="0"/>
          <w:i/>
          <w:color w:val="505050"/>
          <w:sz w:val="20"/>
        </w:rPr>
        <w:t>Ghi chú: Trạng thái gồm: (1) Đủ = task phát sinh đầy đủ; (2) Bỏ = task không phát sinh, không ai làm thay; (3) Chuyển = người khác làm thay (ghi rõ tên người thực hiện).</w:t>
      </w:r>
    </w:p>
    <w:p>
      <w:pPr>
        <w:spacing w:before="160" w:after="80"/>
        <w:jc w:val="center"/>
      </w:pPr>
      <w:r>
        <w:rPr>
          <w:rFonts w:ascii="Times New Roman" w:hAnsi="Times New Roman"/>
          <w:b/>
          <w:i w:val="0"/>
          <w:color w:val="000000"/>
          <w:sz w:val="24"/>
        </w:rPr>
        <w:t>XÁC NHẬN VÀ CAM KẾT</w:t>
      </w:r>
    </w:p>
    <w:tbl>
      <w:tblPr>
        <w:tblW w:type="auto" w:w="0"/>
        <w:jc w:val="center"/>
        <w:tblLook w:firstColumn="1" w:firstRow="1" w:lastColumn="0" w:lastRow="0" w:noHBand="0" w:noVBand="1" w:val="04A0"/>
      </w:tblPr>
      <w:tblGrid>
        <w:gridCol w:w="2339"/>
        <w:gridCol w:w="2339"/>
        <w:gridCol w:w="2339"/>
        <w:gridCol w:w="2339"/>
      </w:tblGrid>
      <w:tr>
        <w:tc>
          <w:tcPr>
            <w:tcW w:type="dxa" w:w="2211"/>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Account Manager (AM)</w:t>
            </w:r>
          </w:p>
        </w:tc>
        <w:tc>
          <w:tcPr>
            <w:tcW w:type="dxa" w:w="2211"/>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Project Assistant (PA)</w:t>
            </w:r>
          </w:p>
        </w:tc>
        <w:tc>
          <w:tcPr>
            <w:tcW w:type="dxa" w:w="2211"/>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Admin Thầu &amp; HĐ</w:t>
            </w:r>
          </w:p>
        </w:tc>
        <w:tc>
          <w:tcPr>
            <w:tcW w:type="dxa" w:w="2381"/>
            <w:vAlign w:val="center"/>
            <w:shd w:val="clear" w:color="auto" w:fill="DCE6F1"/>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i w:val="0"/>
                <w:color w:val="000000"/>
                <w:sz w:val="20"/>
              </w:rPr>
              <w:t>Phó Tổng Giám đốc Công ty</w:t>
            </w:r>
          </w:p>
        </w:tc>
      </w:tr>
      <w:tr>
        <w:tc>
          <w:tcPr>
            <w:tcW w:type="dxa" w:w="2211"/>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Họ tên: _____________</w:t>
              <w:br/>
              <w:t>Chữ ký:</w:t>
              <w:br/>
              <w:br/>
              <w:br/>
              <w:t>Ngày: ___/___/______</w:t>
            </w:r>
          </w:p>
        </w:tc>
        <w:tc>
          <w:tcPr>
            <w:tcW w:type="dxa" w:w="2211"/>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Họ tên: _____________</w:t>
              <w:br/>
              <w:t>Chữ ký:</w:t>
              <w:br/>
              <w:br/>
              <w:br/>
              <w:t>Ngày: ___/___/______</w:t>
            </w:r>
          </w:p>
        </w:tc>
        <w:tc>
          <w:tcPr>
            <w:tcW w:type="dxa" w:w="2211"/>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Họ tên: _____________</w:t>
              <w:br/>
              <w:t>Chữ ký:</w:t>
              <w:br/>
              <w:br/>
              <w:br/>
              <w:t>Ngày: ___/___/______</w:t>
            </w:r>
          </w:p>
        </w:tc>
        <w:tc>
          <w:tcPr>
            <w:tcW w:type="dxa" w:w="2381"/>
            <w:vAlign w:val="center"/>
            <w:tcBorders>
              <w:top w:val="single" w:sz="4" w:space="0" w:color="BBBBBB"/>
              <w:left w:val="single" w:sz="4" w:space="0" w:color="BBBBBB"/>
              <w:bottom w:val="single" w:sz="4" w:space="0" w:color="BBBBBB"/>
              <w:right w:val="single" w:sz="4" w:space="0" w:color="BBBBBB"/>
            </w:tcBorders>
          </w:tcPr>
          <w:p>
            <w:pPr>
              <w:spacing w:before="40" w:after="40"/>
              <w:ind w:left="57" w:right="57"/>
              <w:jc w:val="center"/>
            </w:pPr>
            <w:r>
              <w:rPr>
                <w:rFonts w:ascii="Times New Roman" w:hAnsi="Times New Roman"/>
                <w:b w:val="0"/>
                <w:i w:val="0"/>
                <w:color w:val="000000"/>
                <w:sz w:val="20"/>
              </w:rPr>
              <w:t>Họ tên: _____________</w:t>
              <w:br/>
              <w:t>Chữ ký:</w:t>
              <w:br/>
              <w:br/>
              <w:br/>
              <w:t>Ngày: ___/___/______</w:t>
            </w:r>
          </w:p>
        </w:tc>
      </w:tr>
    </w:tbl>
    <w:p>
      <w:r>
        <w:br w:type="page"/>
      </w:r>
    </w:p>
    <w:p>
      <w:pPr>
        <w:spacing w:before="200" w:after="80"/>
        <w:jc w:val="center"/>
      </w:pPr>
      <w:r>
        <w:rPr>
          <w:rFonts w:ascii="Times New Roman" w:hAnsi="Times New Roman"/>
          <w:b/>
          <w:color w:val="1F4E79"/>
          <w:sz w:val="26"/>
        </w:rPr>
        <w:t>PHỤ LỤC 2</w:t>
        <w:br/>
        <w:t>HƯỚNG DẪN SỬ DỤNG FILE THEO DÕI THƯỞNG</w:t>
        <w:br/>
        <w:t>(Excel / Google Sheets)</w:t>
      </w:r>
    </w:p>
    <w:p>
      <w:pPr>
        <w:spacing w:before="80" w:after="80"/>
        <w:jc w:val="both"/>
      </w:pPr>
      <w:r>
        <w:rPr>
          <w:rFonts w:ascii="Times New Roman" w:hAnsi="Times New Roman"/>
          <w:b w:val="0"/>
          <w:i w:val="0"/>
          <w:color w:val="000000"/>
          <w:sz w:val="24"/>
        </w:rPr>
        <w:t>File theo dõi thưởng gồm 4 Sheet chính:</w:t>
      </w:r>
    </w:p>
    <w:p>
      <w:pPr>
        <w:spacing w:before="120" w:after="40"/>
        <w:jc w:val="both"/>
      </w:pPr>
      <w:r>
        <w:rPr>
          <w:rFonts w:ascii="Times New Roman" w:hAnsi="Times New Roman"/>
          <w:b/>
          <w:i w:val="0"/>
          <w:color w:val="1F4E79"/>
          <w:sz w:val="22"/>
        </w:rPr>
        <w:t>Sheet 1 — THONG_SO_DU_AN</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Nhập: Tên dự án, Mã dự án, Tên khách hàng, Ngày ký hợp đồng</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Nhập: DTHĐ (VNĐ), TCFNC (VNĐ)</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File tự tính: HH, Trần 15%, HH áp dụng, Phí quản lý 25%, Q = Net HH</w:t>
      </w:r>
    </w:p>
    <w:p>
      <w:pPr>
        <w:spacing w:before="120" w:after="40"/>
        <w:jc w:val="both"/>
      </w:pPr>
      <w:r>
        <w:rPr>
          <w:rFonts w:ascii="Times New Roman" w:hAnsi="Times New Roman"/>
          <w:b/>
          <w:i w:val="0"/>
          <w:color w:val="1F4E79"/>
          <w:sz w:val="22"/>
        </w:rPr>
        <w:t>Sheet 2 — DANH_SACH_TASK</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Cột Trạng thái: chọn từ danh sách (Đủ / Giảm / Bỏ / Chuyển)</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Cột % Thực tế: tự nhập nếu Giảm; File tự nhập = % Gốc nếu Đủ</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Cột Người thực hiện: nhập tên nhân sự đảm nhiệm task</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File tự tính % Điều chỉnh và phân bổ Role Pool theo Chương IV</w:t>
      </w:r>
    </w:p>
    <w:p>
      <w:pPr>
        <w:spacing w:before="120" w:after="40"/>
        <w:jc w:val="both"/>
      </w:pPr>
      <w:r>
        <w:rPr>
          <w:rFonts w:ascii="Times New Roman" w:hAnsi="Times New Roman"/>
          <w:b/>
          <w:i w:val="0"/>
          <w:color w:val="1F4E79"/>
          <w:sz w:val="22"/>
        </w:rPr>
        <w:t>Sheet 3 — BAO_CAO_THUONG</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File dùng SUMIFS tổng hợp % thực nhận theo từng nhân sự</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Số tiền thưởng = % Thực nhận × Q (lấy từ Sheet 1)</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Dùng cho Báo cáo nghiệm thu nội bộ (Bước 3 — Điều 9)</w:t>
      </w:r>
    </w:p>
    <w:p>
      <w:pPr>
        <w:spacing w:before="120" w:after="40"/>
        <w:jc w:val="both"/>
      </w:pPr>
      <w:r>
        <w:rPr>
          <w:rFonts w:ascii="Times New Roman" w:hAnsi="Times New Roman"/>
          <w:b/>
          <w:i w:val="0"/>
          <w:color w:val="1F4E79"/>
          <w:sz w:val="22"/>
        </w:rPr>
        <w:t>Sheet 4 — LICH_SU_THAY_DOI</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Ghi lại mọi điều chỉnh task sau Kick-off (có xác nhận BGĐ)</w:t>
      </w:r>
    </w:p>
    <w:p>
      <w:pPr>
        <w:spacing w:before="20" w:after="20"/>
        <w:jc w:val="both"/>
      </w:pPr>
      <w:r>
        <w:rPr>
          <w:rFonts w:ascii="Times New Roman" w:hAnsi="Times New Roman"/>
          <w:b w:val="0"/>
          <w:i w:val="0"/>
          <w:color w:val="1F4E79"/>
          <w:sz w:val="24"/>
        </w:rPr>
        <w:t xml:space="preserve">    •  </w:t>
      </w:r>
      <w:r>
        <w:rPr>
          <w:rFonts w:ascii="Times New Roman" w:hAnsi="Times New Roman"/>
          <w:b w:val="0"/>
          <w:i w:val="0"/>
          <w:color w:val="000000"/>
          <w:sz w:val="24"/>
        </w:rPr>
        <w:t>Trường: Ngày thay đổi, Nội dung, Người phê duyệt, Lý do</w:t>
      </w:r>
    </w:p>
    <w:p>
      <w:pPr>
        <w:spacing w:before="160" w:after="80"/>
        <w:ind w:left="170"/>
        <w:jc w:val="both"/>
      </w:pPr>
      <w:r>
        <w:rPr>
          <w:rFonts w:ascii="Times New Roman" w:hAnsi="Times New Roman"/>
          <w:b/>
          <w:i w:val="0"/>
          <w:color w:val="C62828"/>
          <w:sz w:val="24"/>
        </w:rPr>
        <w:t xml:space="preserve">  Lưu ý bảo mật: </w:t>
      </w:r>
      <w:r>
        <w:rPr>
          <w:rFonts w:ascii="Times New Roman" w:hAnsi="Times New Roman"/>
          <w:b w:val="0"/>
          <w:i w:val="0"/>
          <w:color w:val="000000"/>
          <w:sz w:val="24"/>
        </w:rPr>
        <w:t>Khóa các ô chứa công thức; chỉ mở quyền chỉnh sửa cột Trạng thái, % Thực tế và Người thực hiện cho AM/PA. Lưu file có mật khẩu; chia sẻ quyền đọc cho Admin và Phó TGĐ.</w:t>
      </w:r>
    </w:p>
    <w:p>
      <w:pPr>
        <w:spacing w:before="80" w:after="80"/>
        <w:pBdr>
          <w:bottom w:val="single" w:sz="8" w:space="1" w:color="1F5C99"/>
        </w:pBdr>
      </w:pPr>
    </w:p>
    <w:p>
      <w:pPr>
        <w:spacing w:before="240" w:after="80"/>
        <w:jc w:val="right"/>
      </w:pPr>
      <w:r>
        <w:rPr>
          <w:rFonts w:ascii="Times New Roman" w:hAnsi="Times New Roman"/>
          <w:b w:val="0"/>
          <w:i/>
          <w:color w:val="000000"/>
          <w:sz w:val="24"/>
        </w:rPr>
        <w:t>Hà Nội, ngày _____ tháng _____ năm 2026</w:t>
      </w:r>
    </w:p>
    <w:p>
      <w:pPr>
        <w:spacing w:before="0" w:after="0"/>
        <w:jc w:val="right"/>
      </w:pPr>
      <w:r>
        <w:rPr>
          <w:rFonts w:ascii="Times New Roman" w:hAnsi="Times New Roman"/>
          <w:b/>
          <w:i w:val="0"/>
          <w:color w:val="000000"/>
          <w:sz w:val="24"/>
        </w:rPr>
        <w:t>TỔNG GIÁM ĐỐC</w:t>
        <w:br/>
        <w:t>CÔNG TY CỔ PHẦN TƯ VẤN CÔNG NGHỆ, THIẾT BỊ VÀ KIỂM ĐỊNH XÂY DỰNG</w:t>
      </w:r>
    </w:p>
    <w:p>
      <w:pPr>
        <w:spacing w:before="0" w:after="800"/>
        <w:jc w:val="right"/>
      </w:pPr>
      <w:r>
        <w:rPr>
          <w:rFonts w:ascii="Times New Roman" w:hAnsi="Times New Roman"/>
          <w:b w:val="0"/>
          <w:i/>
          <w:color w:val="000000"/>
          <w:sz w:val="24"/>
        </w:rPr>
        <w:t>(Ký tên, đóng dấu)</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