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after="120" w:before="240"/>
        <w:ind/>
        <w:jc w:val="center"/>
        <w:rPr/>
      </w:pPr>
      <w:r/>
      <w:bookmarkStart w:id="23" w:name="X7da48ea960bc87d89c3d7b3b0e1af160c7e75c6"/>
      <w:r>
        <w:rPr>
          <w:rFonts w:ascii="Times New Roman" w:hAnsi="Times New Roman" w:eastAsia="Times New Roman"/>
          <w:b/>
          <w:color w:val="003366"/>
          <w:sz w:val="32"/>
        </w:rPr>
        <w:t xml:space="preserve">BÁO GIÁ KINH PHÍ PHÁT TRIỂN HỆ THỐNG ERP TÍCH HỢP IBST</w:t>
      </w:r>
      <w:r/>
    </w:p>
    <w:p>
      <w:pPr>
        <w:pStyle w:val="711"/>
        <w:pBdr/>
        <w:spacing w:after="240" w:before="0"/>
        <w:ind/>
        <w:jc w:val="center"/>
        <w:rPr/>
      </w:pPr>
      <w:r/>
      <w:bookmarkStart w:id="9" w:name="X76f06a2a6e8852265fc91ad6015c744076c5623"/>
      <w:r>
        <w:rPr>
          <w:rFonts w:ascii="Times New Roman" w:hAnsi="Times New Roman" w:eastAsia="Times New Roman"/>
          <w:b/>
          <w:i/>
          <w:sz w:val="26"/>
        </w:rPr>
        <w:t xml:space="preserve">Kính gửi: Viện Khoa học Công nghệ Xây dựng (IBST)</w:t>
      </w:r>
      <w:r/>
    </w:p>
    <w:p>
      <w:pPr>
        <w:pBdr/>
        <w:spacing w:after="80" w:before="40" w:line="288" w:lineRule="auto"/>
        <w:ind/>
        <w:jc w:val="both"/>
        <w:rPr/>
      </w:pPr>
      <w:r>
        <w:rPr>
          <w:rFonts w:ascii="Times New Roman" w:hAnsi="Times New Roman" w:eastAsia="Times New Roman"/>
          <w:sz w:val="24"/>
        </w:rPr>
        <w:pict>
          <v:shape id="shape 0" o:spid="_x0000_s0" o:spt="1" type="#_x0000_t1" style="width:0.00pt;height:1.50pt;mso-wrap-distance-left:0.00pt;mso-wrap-distance-top:0.00pt;mso-wrap-distance-right:0.00pt;mso-wrap-distance-bottom:0.00pt;visibility:visible;" fillcolor="#FFFFFF" strokecolor="#000000" o:hr="t" o:hrstd="t" o:hralign="center" o:hrnoshade="f"/>
        </w:pict>
      </w:r>
      <w:r/>
    </w:p>
    <w:p>
      <w:pPr>
        <w:pStyle w:val="698"/>
        <w:pBdr/>
        <w:spacing w:after="80" w:before="40" w:line="288" w:lineRule="auto"/>
        <w:ind/>
        <w:jc w:val="both"/>
        <w:rPr/>
      </w:pPr>
      <w:r>
        <w:rPr>
          <w:rFonts w:ascii="Times New Roman" w:hAnsi="Times New Roman" w:eastAsia="Times New Roman"/>
          <w:sz w:val="24"/>
        </w:rPr>
        <w:t xml:space="preserve">Thực hiện Kế hoạch ứng dụng công nghệ thông tin và </w:t>
      </w:r>
      <w:r>
        <w:rPr>
          <w:rFonts w:ascii="Times New Roman" w:hAnsi="Times New Roman" w:eastAsia="Times New Roman"/>
          <w:sz w:val="24"/>
        </w:rPr>
        <w:t xml:space="preserve">chuyển đổi số giai đoạn 2026 – 2027 của Viện Khoa học Công nghệ Xây dựng; tuân thủ các Quyết định, Quy định của Bộ Xây dựng về Khung kiến trúc Chính phủ điện tử, Từ điển dữ liệu dùng chung, Quy chế bảo mật dữ liệu gốc và Danh mục dữ liệu mở ngành Xây dựng;</w:t>
      </w:r>
      <w:r/>
    </w:p>
    <w:p>
      <w:pPr>
        <w:pStyle w:val="697"/>
        <w:pBdr/>
        <w:spacing w:after="80" w:before="40" w:line="288" w:lineRule="auto"/>
        <w:ind/>
        <w:jc w:val="both"/>
        <w:rPr/>
      </w:pPr>
      <w:r>
        <w:rPr>
          <w:rFonts w:ascii="Times New Roman" w:hAnsi="Times New Roman" w:eastAsia="Times New Roman"/>
          <w:sz w:val="24"/>
        </w:rPr>
        <w:t xml:space="preserve">Công ty Cổ phần Công nghệ và Tư vấn Xây dựng (CIC) trân trọng gửi tới Quý Viện Báo giá kinh phí phát triển phần mềm và dự toán hạ tầng cho Hệ thống ERP tích hợp IBST như sau:</w:t>
      </w:r>
      <w:r/>
    </w:p>
    <w:p>
      <w:pPr>
        <w:pBdr/>
        <w:spacing w:after="80" w:before="40" w:line="288" w:lineRule="auto"/>
        <w:ind/>
        <w:jc w:val="both"/>
        <w:rPr/>
      </w:pPr>
      <w:r>
        <w:rPr>
          <w:rFonts w:ascii="Times New Roman" w:hAnsi="Times New Roman" w:eastAsia="Times New Roman"/>
          <w:sz w:val="24"/>
        </w:rPr>
        <w:pict>
          <v:shape id="shape 1" o:spid="_x0000_s1" o:spt="1" type="#_x0000_t1" style="width:0.00pt;height:1.50pt;mso-wrap-distance-left:0.00pt;mso-wrap-distance-top:0.00pt;mso-wrap-distance-right:0.00pt;mso-wrap-distance-bottom:0.00pt;visibility:visible;" fillcolor="#FFFFFF" strokecolor="#000000" o:hr="t" o:hrstd="t" o:hralign="center" o:hrnoshade="f"/>
        </w:pict>
      </w:r>
      <w:bookmarkEnd w:id="9"/>
      <w:r/>
    </w:p>
    <w:p>
      <w:pPr>
        <w:pStyle w:val="710"/>
        <w:pBdr/>
        <w:spacing w:after="120" w:before="280"/>
        <w:ind/>
        <w:jc w:val="left"/>
        <w:rPr/>
      </w:pPr>
      <w:r/>
      <w:bookmarkStart w:id="10" w:name="i.-báo-giá-kinh-phí-phát-triển-phần-mềm"/>
      <w:r>
        <w:rPr>
          <w:rFonts w:ascii="Times New Roman" w:hAnsi="Times New Roman" w:eastAsia="Times New Roman"/>
          <w:b/>
          <w:color w:val="003366"/>
          <w:sz w:val="28"/>
        </w:rPr>
        <w:t xml:space="preserve">I. BÁO GIÁ KINH PHÍ PHÁT TRIỂN PHẦN MỀM</w:t>
      </w:r>
      <w:r/>
    </w:p>
    <w:p>
      <w:pPr>
        <w:pStyle w:val="698"/>
        <w:pBdr/>
        <w:spacing w:after="80" w:before="40" w:line="288" w:lineRule="auto"/>
        <w:ind/>
        <w:jc w:val="both"/>
        <w:rPr/>
      </w:pPr>
      <w:r>
        <w:rPr>
          <w:rFonts w:ascii="Times New Roman" w:hAnsi="Times New Roman" w:eastAsia="Times New Roman"/>
          <w:sz w:val="24"/>
        </w:rPr>
        <w:t xml:space="preserve">Căn cứ Mục tiêu chiến lược giai đoạn 2026 – 2027 của Viện IBST (bao gồm: Nền tảng Văn phòng điện tử; Nền tảng Triển khai Dịch vụ kỹ thuật; Nền tảng Cơ sở dữ liệu), dự toán chi phí phát triển</w:t>
      </w:r>
      <w:r>
        <w:rPr>
          <w:rFonts w:ascii="Times New Roman" w:hAnsi="Times New Roman" w:eastAsia="Times New Roman"/>
          <w:sz w:val="24"/>
        </w:rPr>
        <w:t xml:space="preserve"> </w:t>
      </w:r>
      <w:r>
        <w:rPr>
          <w:rFonts w:ascii="Times New Roman" w:hAnsi="Times New Roman" w:eastAsia="Times New Roman"/>
          <w:b/>
          <w:bCs/>
          <w:sz w:val="24"/>
        </w:rPr>
        <w:t xml:space="preserve">07 Nhóm phân hệ phần mềm cốt lõi</w:t>
      </w:r>
      <w:r>
        <w:rPr>
          <w:rFonts w:ascii="Times New Roman" w:hAnsi="Times New Roman" w:eastAsia="Times New Roman"/>
          <w:sz w:val="24"/>
        </w:rPr>
        <w:t xml:space="preserve"> </w:t>
      </w:r>
      <w:r>
        <w:rPr>
          <w:rFonts w:ascii="Times New Roman" w:hAnsi="Times New Roman" w:eastAsia="Times New Roman"/>
          <w:sz w:val="24"/>
        </w:rPr>
        <w:t xml:space="preserve">như sau:</w:t>
      </w:r>
      <w:r/>
    </w:p>
    <w:p>
      <w:pPr>
        <w:pStyle w:val="697"/>
        <w:pBdr/>
        <w:spacing w:after="80" w:before="40" w:line="288" w:lineRule="auto"/>
        <w:ind/>
        <w:jc w:val="both"/>
        <w:rPr/>
      </w:pPr>
      <w:r>
        <w:rPr>
          <w:rFonts w:ascii="Times New Roman" w:hAnsi="Times New Roman" w:eastAsia="Times New Roman"/>
          <w:b/>
          <w:bCs/>
          <w:sz w:val="24"/>
        </w:rPr>
        <w:t xml:space="preserve">Tổng kinh phí phát triển phần mềm:</w:t>
      </w:r>
      <w:r>
        <w:rPr>
          <w:rFonts w:ascii="Times New Roman" w:hAnsi="Times New Roman" w:eastAsia="Times New Roman"/>
          <w:sz w:val="24"/>
        </w:rPr>
        <w:t xml:space="preserve"> </w:t>
      </w:r>
      <w:r>
        <w:rPr>
          <w:rFonts w:ascii="Times New Roman" w:hAnsi="Times New Roman" w:eastAsia="Times New Roman"/>
          <w:b/>
          <w:bCs/>
          <w:sz w:val="24"/>
        </w:rPr>
        <w:t xml:space="preserve">2.260.000.000 VNĐ</w:t>
      </w:r>
      <w:r>
        <w:rPr>
          <w:rFonts w:ascii="Times New Roman" w:hAnsi="Times New Roman" w:eastAsia="Times New Roman"/>
          <w:sz w:val="24"/>
        </w:rPr>
        <w:t xml:space="preserve"> </w:t>
      </w:r>
      <w:r>
        <w:rPr>
          <w:rFonts w:ascii="Times New Roman" w:hAnsi="Times New Roman" w:eastAsia="Times New Roman"/>
          <w:i/>
          <w:iCs/>
          <w:sz w:val="24"/>
        </w:rPr>
        <w:t xml:space="preserve">(Bằng chữ: Hai tỷ hai trăm sáu mươi triệu đồng chẵn./.)</w:t>
      </w:r>
      <w:r/>
    </w:p>
    <w:tbl>
      <w:tblPr>
        <w:tblStyle w:val="731"/>
        <w:jc w:val="center"/>
        <w:tblW w:w="5070" w:type="pct"/>
        <w:tblBorders/>
        <w:tblLayout w:type="fixed"/>
        <w:tblLook w:val="0020" w:firstRow="1" w:lastRow="0" w:firstColumn="0" w:lastColumn="0" w:noHBand="0" w:noVBand="0"/>
      </w:tblPr>
      <w:tblGrid>
        <w:gridCol w:w="717"/>
        <w:gridCol w:w="1559"/>
        <w:gridCol w:w="2409"/>
        <w:gridCol w:w="1984"/>
        <w:gridCol w:w="1559"/>
        <w:gridCol w:w="1560"/>
      </w:tblGrid>
      <w:tr>
        <w:trPr>
          <w:cantSplit/>
          <w:tblHeader/>
        </w:trPr>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STT</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Tên Nhóm Phân hệ</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Mô tả Nghiệp vụ chính</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Yêu cầu Kỹ thuật &amp; Giải pháp</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Mục tiêu &amp; Hiệu quả Quản lý</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Dự toán Kinh phí (VNĐ)</w:t>
            </w:r>
            <w:r/>
          </w:p>
        </w:tc>
      </w:tr>
      <w:tr>
        <w:trPr>
          <w:cantSplit/>
        </w:trPr>
        <w:tc>
          <w:tcPr>
            <w:shd w:val="clear" w:color="auto" w:fill="f9fafc"/>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1</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Dashboard Giám sát &amp; Lịch công tác, Điều hành công việc</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Trung tâm tích hợp và trực quan hóa số liệu thời gian thực (Real-time BI) phục vụ</w:t>
            </w:r>
            <w:r>
              <w:rPr>
                <w:rFonts w:ascii="Times New Roman" w:hAnsi="Times New Roman"/>
                <w:sz w:val="22"/>
              </w:rPr>
              <w:t xml:space="preserve"> </w:t>
            </w:r>
            <w:r>
              <w:rPr>
                <w:rFonts w:ascii="Times New Roman" w:hAnsi="Times New Roman"/>
                <w:b/>
                <w:bCs/>
                <w:sz w:val="22"/>
              </w:rPr>
              <w:t xml:space="preserve">Lịch công tác và Điều hành công việc</w:t>
            </w:r>
            <w:r>
              <w:rPr>
                <w:rFonts w:ascii="Times New Roman" w:hAnsi="Times New Roman"/>
                <w:sz w:val="22"/>
              </w:rPr>
              <w:t xml:space="preserve"> </w:t>
            </w:r>
            <w:r>
              <w:rPr>
                <w:rFonts w:ascii="Times New Roman" w:hAnsi="Times New Roman"/>
                <w:sz w:val="22"/>
              </w:rPr>
              <w:t xml:space="preserve">của Lãnh đạo Viện.</w:t>
            </w:r>
            <w:r>
              <w:rPr>
                <w:rFonts w:ascii="Times New Roman" w:hAnsi="Times New Roman"/>
                <w:sz w:val="22"/>
              </w:rPr>
              <w:t xml:space="preserve">- Đánh giá Chỉ số sức khỏe đơn vị (Unit Health Score) và dự báo dòng tiền.</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Thuật toán tổng hợp dữ liệu đa chiều từ 16 đơn vị trực thuộc và 11 Phòng thí nghiệm.</w:t>
            </w:r>
            <w:r>
              <w:rPr>
                <w:rFonts w:ascii="Times New Roman" w:hAnsi="Times New Roman"/>
                <w:sz w:val="22"/>
              </w:rPr>
              <w:t xml:space="preserve">- Xây dựng hệ thống biểu đồ hợp phần (Composed Chart).</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Cung cấp báo cáo toàn cục về tài chính và tiến độ điều hành công việc.</w:t>
            </w:r>
            <w:r>
              <w:rPr>
                <w:rFonts w:ascii="Times New Roman" w:hAnsi="Times New Roman"/>
                <w:sz w:val="22"/>
              </w:rPr>
              <w:t xml:space="preserve">- Hỗ trợ ra quyết định điều hành chính xác, kịp thời.</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180.000.000</w:t>
            </w:r>
            <w:r/>
          </w:p>
        </w:tc>
      </w:tr>
      <w:tr>
        <w:trPr>
          <w:cantSplit/>
        </w:trPr>
        <w:tc>
          <w:tcPr>
            <w:shd w:val="clear" w:color="auto" w:fill="ffffff"/>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2</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Quản lý Khách hàng, Hợp đồng, Triển khai &amp; Thu chi Dịch vụ Kỹ thuật</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Quản lý khách hàng, hợp đồng, quy trình và hoạt động triển khai Dịch vụ kỹ thuật</w:t>
            </w:r>
            <w:r>
              <w:rPr>
                <w:rFonts w:ascii="Times New Roman" w:hAnsi="Times New Roman"/>
                <w:sz w:val="22"/>
              </w:rPr>
              <w:t xml:space="preserve"> </w:t>
            </w:r>
            <w:r>
              <w:rPr>
                <w:rFonts w:ascii="Times New Roman" w:hAnsi="Times New Roman"/>
                <w:sz w:val="22"/>
              </w:rPr>
              <w:t xml:space="preserve">theo Quy chế 2815.</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Tổng hợp thanh toán thu chi từ các hợp đồng dịch vụ kỹ thuật</w:t>
            </w:r>
            <w:r>
              <w:rPr>
                <w:rFonts w:ascii="Times New Roman" w:hAnsi="Times New Roman"/>
                <w:sz w:val="22"/>
              </w:rPr>
              <w:t xml:space="preserve"> </w:t>
            </w:r>
            <w:r>
              <w:rPr>
                <w:rFonts w:ascii="Times New Roman" w:hAnsi="Times New Roman"/>
                <w:sz w:val="22"/>
              </w:rPr>
              <w:t xml:space="preserve">(Tạm ứng, Tiền về, Công nợ, Doanh thu thực tế).</w:t>
            </w:r>
            <w:r>
              <w:rPr>
                <w:rFonts w:ascii="Times New Roman" w:hAnsi="Times New Roman"/>
                <w:sz w:val="22"/>
              </w:rPr>
              <w:t xml:space="preserve">- Số hóa quy trình lập và duyệt Phiếu giao việc điện tử, theo dõi đối soát nghĩa vụ thanh toán.</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Thuật toán tự động bóc tách tỷ lệ dòng tiền khoán (Chủ trì, Đơn vị, Viện) theo Quy chế 2815.</w:t>
            </w:r>
            <w:r>
              <w:rPr>
                <w:rFonts w:ascii="Times New Roman" w:hAnsi="Times New Roman"/>
                <w:sz w:val="22"/>
              </w:rPr>
              <w:t xml:space="preserve">- Thuật toán tự động tổng hợp dữ liệu thu chi theo mã định danh Hợp đồng Dịch vụ.</w:t>
            </w:r>
            <w:r>
              <w:rPr>
                <w:rFonts w:ascii="Times New Roman" w:hAnsi="Times New Roman"/>
                <w:sz w:val="22"/>
              </w:rPr>
              <w:t xml:space="preserve">- Tích hợp API đồng bộ chứng từ thanh toán với hệ thống kế toán hiện hữu.</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Kiểm soát chính xác nghĩa vụ trích nộp, hoạt động triển khai và dòng tiền thu chi thực tế.</w:t>
            </w:r>
            <w:r>
              <w:rPr>
                <w:rFonts w:ascii="Times New Roman" w:hAnsi="Times New Roman"/>
                <w:sz w:val="22"/>
              </w:rPr>
              <w:t xml:space="preserve">- Đảm bảo minh bạch tài chính, quản lý tức thời công nợ và tuân thủ quy chế nội bộ.</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510.000.000</w:t>
            </w:r>
            <w:r/>
          </w:p>
        </w:tc>
      </w:tr>
      <w:tr>
        <w:trPr>
          <w:cantSplit/>
        </w:trPr>
        <w:tc>
          <w:tcPr>
            <w:shd w:val="clear" w:color="auto" w:fill="f9fafc"/>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3</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Quản lý các Nhiệm vụ phục vụ QLNN &amp; Nhiệm vụ KHCN</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Quản lý các nhiệm vụ phục vụ QLNN và nhiệm vụ KHCN</w:t>
            </w:r>
            <w:r>
              <w:rPr>
                <w:rFonts w:ascii="Times New Roman" w:hAnsi="Times New Roman"/>
                <w:sz w:val="22"/>
              </w:rPr>
              <w:t xml:space="preserve"> </w:t>
            </w:r>
            <w:r>
              <w:rPr>
                <w:rFonts w:ascii="Times New Roman" w:hAnsi="Times New Roman"/>
                <w:sz w:val="22"/>
              </w:rPr>
              <w:t xml:space="preserve">các cấp (lưu trữ thuyết minh, quản lý tiến độ, sản phẩm và giải ngân).</w:t>
            </w:r>
            <w:r>
              <w:rPr>
                <w:rFonts w:ascii="Times New Roman" w:hAnsi="Times New Roman"/>
                <w:sz w:val="22"/>
              </w:rPr>
              <w:t xml:space="preserve">- Quản lý Bằng độc quyền sáng chế, hợp đồng chuyển giao công nghệ và hoa hồng tác giả.</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Xây dựng cơ chế giám sát song song tiến độ giải ngân kinh phí và sản phẩm QLNN / KHCN.</w:t>
            </w:r>
            <w:r>
              <w:rPr>
                <w:rFonts w:ascii="Times New Roman" w:hAnsi="Times New Roman"/>
                <w:sz w:val="22"/>
              </w:rPr>
              <w:t xml:space="preserve">- Kết nối dữ liệu dòng tiền chuyển giao về hệ thống kế toán.</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Quản lý chuẩn xác các nhiệm vụ QLNN và nguồn vốn sự nghiệp KHCN theo quy định.</w:t>
            </w:r>
            <w:r>
              <w:rPr>
                <w:rFonts w:ascii="Times New Roman" w:hAnsi="Times New Roman"/>
                <w:sz w:val="22"/>
              </w:rPr>
              <w:t xml:space="preserve">- Thúc đẩy thương mại hóa kết quả nghiên cứu khoa học.</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260.000.000</w:t>
            </w:r>
            <w:r/>
          </w:p>
        </w:tc>
      </w:tr>
      <w:tr>
        <w:trPr>
          <w:cantSplit/>
        </w:trPr>
        <w:tc>
          <w:tcPr>
            <w:shd w:val="clear" w:color="auto" w:fill="ffffff"/>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4</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Quản lý Nhân sự, Đào tạo, Tạp chí &amp; Công tác Đảng - Đoàn thể</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Quản lý nhân sự</w:t>
            </w:r>
            <w:r>
              <w:rPr>
                <w:rFonts w:ascii="Times New Roman" w:hAnsi="Times New Roman"/>
                <w:sz w:val="22"/>
              </w:rPr>
              <w:t xml:space="preserve"> </w:t>
            </w:r>
            <w:r>
              <w:rPr>
                <w:rFonts w:ascii="Times New Roman" w:hAnsi="Times New Roman"/>
                <w:sz w:val="22"/>
              </w:rPr>
              <w:t xml:space="preserve">(hồ sơ CBNV, Chứng chỉ hành nghề xây dựng).</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Quản lý công tác đào tạo (Tiến sĩ/NCS) &amp; Tạp chí KHCN</w:t>
            </w:r>
            <w:r>
              <w:rPr>
                <w:rFonts w:ascii="Times New Roman" w:hAnsi="Times New Roman"/>
                <w:sz w:val="22"/>
              </w:rPr>
              <w:t xml:space="preserve"> </w:t>
            </w:r>
            <w:r>
              <w:rPr>
                <w:rFonts w:ascii="Times New Roman" w:hAnsi="Times New Roman"/>
                <w:sz w:val="22"/>
              </w:rPr>
              <w:t xml:space="preserve">(tòa soạn, nhận bài báo, phản biện khoa học).</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Quản lý công tác đảng vụ, đoàn thể</w:t>
            </w:r>
            <w:r>
              <w:rPr>
                <w:rFonts w:ascii="Times New Roman" w:hAnsi="Times New Roman"/>
                <w:sz w:val="22"/>
              </w:rPr>
              <w:t xml:space="preserve"> </w:t>
            </w:r>
            <w:r>
              <w:rPr>
                <w:rFonts w:ascii="Times New Roman" w:hAnsi="Times New Roman"/>
                <w:sz w:val="22"/>
              </w:rPr>
              <w:t xml:space="preserve">(Đảng viên, Đoàn thanh niên, Công đoàn, sinh hoạt chi bộ, Đảng phí/Đoàn phí &amp; thi đua).</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Mã hóa dữ liệu thông tin nhân sự và phân quyền truy cập đa cấp (RLS).</w:t>
            </w:r>
            <w:r>
              <w:rPr>
                <w:rFonts w:ascii="Times New Roman" w:hAnsi="Times New Roman"/>
                <w:sz w:val="22"/>
              </w:rPr>
              <w:t xml:space="preserve">- Xây dựng luồng nhận bài, phản biện bài báo KHCN và phê duyệt hồ sơ đào tạo theo quy định.</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Đảm bảo chính xác hồ sơ nhân sự, hạn chế rủi ro pháp lý chứng chỉ.</w:t>
            </w:r>
            <w:r>
              <w:rPr>
                <w:rFonts w:ascii="Times New Roman" w:hAnsi="Times New Roman"/>
                <w:sz w:val="22"/>
              </w:rPr>
              <w:t xml:space="preserve">- Số hóa toàn diện công tác Nhân sự, Đào tạo Tiến sĩ, Tòa soạn Tạp chí KHCN và Đảng - Đoàn thể.</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260.000.000</w:t>
            </w:r>
            <w:r/>
          </w:p>
        </w:tc>
      </w:tr>
      <w:tr>
        <w:trPr>
          <w:cantSplit/>
        </w:trPr>
        <w:tc>
          <w:tcPr>
            <w:shd w:val="clear" w:color="auto" w:fill="f9fafc"/>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5</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Hệ thống Thử nghiệm (LIMS), Kết quả Thí nghiệm / Kiểm nghiệm số &amp; Thiết bị</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Tiếp nhận mẫu, tính toán kết quả cơ lý, kết xuất</w:t>
            </w:r>
            <w:r>
              <w:rPr>
                <w:rFonts w:ascii="Times New Roman" w:hAnsi="Times New Roman"/>
                <w:sz w:val="22"/>
              </w:rPr>
              <w:t xml:space="preserve"> </w:t>
            </w:r>
            <w:r>
              <w:rPr>
                <w:rFonts w:ascii="Times New Roman" w:hAnsi="Times New Roman"/>
                <w:b/>
                <w:bCs/>
                <w:sz w:val="22"/>
              </w:rPr>
              <w:t xml:space="preserve">Kết quả thí nghiệm, kiểm nghiệm số</w:t>
            </w:r>
            <w:r>
              <w:rPr>
                <w:rFonts w:ascii="Times New Roman" w:hAnsi="Times New Roman"/>
                <w:sz w:val="22"/>
              </w:rPr>
              <w:t xml:space="preserve"> </w:t>
            </w:r>
            <w:r>
              <w:rPr>
                <w:rFonts w:ascii="Times New Roman" w:hAnsi="Times New Roman"/>
                <w:sz w:val="22"/>
              </w:rPr>
              <w:t xml:space="preserve">chuẩn ISO/IEC 17025.</w:t>
            </w:r>
            <w:r>
              <w:rPr>
                <w:rFonts w:ascii="Times New Roman" w:hAnsi="Times New Roman"/>
                <w:sz w:val="22"/>
              </w:rPr>
              <w:t xml:space="preserve">- Quản lý danh mục thiết bị 11 phòng LAS-XD, nhắc lịch hiệu chuẩn/kiểm định.</w:t>
            </w:r>
            <w:r>
              <w:rPr>
                <w:rFonts w:ascii="Times New Roman" w:hAnsi="Times New Roman"/>
                <w:sz w:val="22"/>
              </w:rPr>
              <w:t xml:space="preserve">- Giám sát tiến độ giải ngân vốn đầu tư công.</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Tích hợp bộ công cụ cấu hình biểu mẫu tính toán tự động.</w:t>
            </w:r>
            <w:r>
              <w:rPr>
                <w:rFonts w:ascii="Times New Roman" w:hAnsi="Times New Roman"/>
                <w:sz w:val="22"/>
              </w:rPr>
              <w:t xml:space="preserve">- Tích hợp chữ ký số CA điện tử trực tiếp lên tệp PDF.</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Chuẩn hóa và tự động hóa kết xuất kết quả thí nghiệm, kiểm nghiệm số cho 11 phòng LAS-XD.</w:t>
            </w:r>
            <w:r>
              <w:rPr>
                <w:rFonts w:ascii="Times New Roman" w:hAnsi="Times New Roman"/>
                <w:sz w:val="22"/>
              </w:rPr>
              <w:t xml:space="preserve">- Đảm bảo tính pháp lý thiết bị và kiểm soát vốn đầu tư công.</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400.000.000</w:t>
            </w:r>
            <w:r/>
          </w:p>
        </w:tc>
      </w:tr>
      <w:tr>
        <w:trPr>
          <w:cantSplit/>
        </w:trPr>
        <w:tc>
          <w:tcPr>
            <w:shd w:val="clear" w:color="auto" w:fill="ffffff"/>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6</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Văn phòng số (e-Office): Quản lý Hồ sơ Văn bản, Tài liệu, Phòng họp &amp; Giao việc</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Quản lý hồ sơ văn bản, tài liệu</w:t>
            </w:r>
            <w:r>
              <w:rPr>
                <w:rFonts w:ascii="Times New Roman" w:hAnsi="Times New Roman"/>
                <w:sz w:val="22"/>
              </w:rPr>
              <w:t xml:space="preserve"> </w:t>
            </w:r>
            <w:r>
              <w:rPr>
                <w:rFonts w:ascii="Times New Roman" w:hAnsi="Times New Roman"/>
                <w:sz w:val="22"/>
              </w:rPr>
              <w:t xml:space="preserve">(luồng văn bản đến/đi, tích hợp chữ ký số CA, liên thông Trục văn bản Bộ Xây dựng).</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Quản lý phòng họp</w:t>
            </w:r>
            <w:r>
              <w:rPr>
                <w:rFonts w:ascii="Times New Roman" w:hAnsi="Times New Roman"/>
                <w:sz w:val="22"/>
              </w:rPr>
              <w:t xml:space="preserve"> </w:t>
            </w:r>
            <w:r>
              <w:rPr>
                <w:rFonts w:ascii="Times New Roman" w:hAnsi="Times New Roman"/>
                <w:sz w:val="22"/>
              </w:rPr>
              <w:t xml:space="preserve">(đăng ký trực tuyến, xếp lịch) và quản lý xe công tác.</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Lịch công tác và điều hành công việc</w:t>
            </w:r>
            <w:r>
              <w:rPr>
                <w:rFonts w:ascii="Times New Roman" w:hAnsi="Times New Roman"/>
                <w:sz w:val="22"/>
              </w:rPr>
              <w:t xml:space="preserve"> </w:t>
            </w:r>
            <w:r>
              <w:rPr>
                <w:rFonts w:ascii="Times New Roman" w:hAnsi="Times New Roman"/>
                <w:sz w:val="22"/>
              </w:rPr>
              <w:t xml:space="preserve">(phân công chỉ tiêu công việc, giao nhiệm vụ và giám sát tiến độ).</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Thiết lập luồng phê duyệt động (Workflow engine) và API liên thông Trục văn bản Bộ Xây dựng.</w:t>
            </w:r>
            <w:r>
              <w:rPr>
                <w:rFonts w:ascii="Times New Roman" w:hAnsi="Times New Roman"/>
                <w:sz w:val="22"/>
              </w:rPr>
              <w:t xml:space="preserve">- Thuật toán xử lý lịch phòng họp và tự động tính tiến độ công việc lũy kế.</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Tối ưu hóa quy trình xử lý công văn, văn bản tài liệu.</w:t>
            </w:r>
            <w:r>
              <w:rPr>
                <w:rFonts w:ascii="Times New Roman" w:hAnsi="Times New Roman"/>
                <w:sz w:val="22"/>
              </w:rPr>
              <w:t xml:space="preserve">- Tối ưu hóa khai thác phòng họp, tài sản chung và hiệu suất làm việc.</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440.000.000</w:t>
            </w:r>
            <w:r/>
          </w:p>
        </w:tc>
      </w:tr>
      <w:tr>
        <w:trPr>
          <w:cantSplit/>
        </w:trPr>
        <w:tc>
          <w:tcPr>
            <w:shd w:val="clear" w:color="auto" w:fill="f9fafc"/>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7</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Nền tảng CSDL: Số hóa Tài liệu, Lưu trữ Tập trung &amp; Trợ lý AI-RAG</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Số hóa tài liệu và lưu trữ tập trung</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quản lý và lưu trữ thông tin</w:t>
            </w:r>
            <w:r>
              <w:rPr>
                <w:rFonts w:ascii="Times New Roman" w:hAnsi="Times New Roman"/>
                <w:sz w:val="22"/>
              </w:rPr>
              <w:t xml:space="preserve"> </w:t>
            </w:r>
            <w:r>
              <w:rPr>
                <w:rFonts w:ascii="Times New Roman" w:hAnsi="Times New Roman"/>
                <w:sz w:val="22"/>
              </w:rPr>
              <w:t xml:space="preserve">(bản vẽ CAD/BIM, báo cáo địa kỹ thuật, tài liệu chuyên ngành).</w:t>
            </w:r>
            <w:r>
              <w:rPr>
                <w:rFonts w:ascii="Times New Roman" w:hAnsi="Times New Roman"/>
                <w:sz w:val="22"/>
              </w:rPr>
              <w:t xml:space="preserve">- Quản lý trạng thái và phân quyền truy cập thông tin.</w:t>
            </w:r>
            <w:r>
              <w:rPr>
                <w:rFonts w:ascii="Times New Roman" w:hAnsi="Times New Roman"/>
                <w:sz w:val="22"/>
              </w:rPr>
              <w:t xml:space="preserve">- Tích hợp Trợ lý AI-RAG tra cứu văn bản quy phạm pháp luật, quy chuẩn kỹ thuật.</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Phân quyền truy cập tài liệu chi tiết (Granular Access Control).</w:t>
            </w:r>
            <w:r>
              <w:rPr>
                <w:rFonts w:ascii="Times New Roman" w:hAnsi="Times New Roman"/>
                <w:sz w:val="22"/>
              </w:rPr>
              <w:t xml:space="preserve">- Xây dựng Pipeline trích xuất văn bản (Luật, Nghị định, Thông tư, QCVN, TCVN…), Vector Embeddings và tích hợp LLM API.</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Bảo vệ tài sản trí tuệ và hồ sơ kỹ thuật của Viện.</w:t>
            </w:r>
            <w:r>
              <w:rPr>
                <w:rFonts w:ascii="Times New Roman" w:hAnsi="Times New Roman"/>
                <w:sz w:val="22"/>
              </w:rPr>
              <w:t xml:space="preserve">- Hỗ trợ cán bộ tra cứu nhanh chóng các quy định kỹ thuật chuyên ngành.</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210.000.000</w:t>
            </w:r>
            <w:r/>
          </w:p>
        </w:tc>
      </w:tr>
      <w:tr>
        <w:trPr>
          <w:cantSplit/>
        </w:trPr>
        <w:tc>
          <w:tcPr>
            <w:shd w:val="clear" w:color="auto" w:fill="ffffff"/>
            <w:tcBorders/>
            <w:tcMar>
              <w:left w:w="120" w:type="dxa"/>
              <w:top w:w="100" w:type="dxa"/>
              <w:right w:w="120" w:type="dxa"/>
              <w:bottom w:w="100" w:type="dxa"/>
            </w:tcMar>
            <w:vAlign w:val="center"/>
          </w:tcPr>
          <w:p>
            <w:pPr>
              <w:pStyle w:val="699"/>
              <w:pBdr/>
              <w:spacing w:after="40" w:before="40" w:line="276" w:lineRule="auto"/>
              <w:ind/>
              <w:jc w:val="center"/>
              <w:rPr/>
            </w:pPr>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TỔNG CỘNG DỰ TOÁN PHẦN MỀM</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2.260.000.000</w:t>
            </w:r>
            <w:r/>
          </w:p>
        </w:tc>
      </w:tr>
    </w:tbl>
    <w:p>
      <w:pPr>
        <w:pBdr/>
        <w:spacing w:after="80" w:before="40" w:line="288" w:lineRule="auto"/>
        <w:ind/>
        <w:jc w:val="both"/>
        <w:rPr/>
      </w:pPr>
      <w:r>
        <w:rPr>
          <w:rFonts w:ascii="Times New Roman" w:hAnsi="Times New Roman" w:eastAsia="Times New Roman"/>
          <w:sz w:val="24"/>
        </w:rPr>
        <w:pict>
          <v:shape id="shape 2" o:spid="_x0000_s2" o:spt="1" type="#_x0000_t1" style="width:0.00pt;height:1.50pt;mso-wrap-distance-left:0.00pt;mso-wrap-distance-top:0.00pt;mso-wrap-distance-right:0.00pt;mso-wrap-distance-bottom:0.00pt;visibility:visible;" fillcolor="#FFFFFF" strokecolor="#000000" o:hr="t" o:hrstd="t" o:hralign="center" o:hrnoshade="f"/>
        </w:pict>
      </w:r>
      <w:bookmarkEnd w:id="10"/>
      <w:r/>
    </w:p>
    <w:p>
      <w:pPr>
        <w:pStyle w:val="710"/>
        <w:pBdr/>
        <w:spacing w:after="120" w:before="280"/>
        <w:ind/>
        <w:jc w:val="left"/>
        <w:rPr/>
      </w:pPr>
      <w:r/>
      <w:bookmarkStart w:id="11" w:name="Xd4909687745cda1c4aad8604f51f917a57e9854"/>
      <w:r>
        <w:rPr>
          <w:rFonts w:ascii="Times New Roman" w:hAnsi="Times New Roman" w:eastAsia="Times New Roman"/>
          <w:b/>
          <w:color w:val="003366"/>
          <w:sz w:val="28"/>
        </w:rPr>
        <w:t xml:space="preserve">II. DỰ TOÁN HẠ TẦNG THIẾT BỊ VÀ DỊCH VỤ MÁY CHỦ</w:t>
      </w:r>
      <w:r/>
    </w:p>
    <w:p>
      <w:pPr>
        <w:pStyle w:val="698"/>
        <w:pBdr/>
        <w:spacing w:after="80" w:before="40" w:line="288" w:lineRule="auto"/>
        <w:ind/>
        <w:jc w:val="both"/>
        <w:rPr/>
      </w:pPr>
      <w:r>
        <w:rPr>
          <w:rFonts w:ascii="Times New Roman" w:hAnsi="Times New Roman" w:eastAsia="Times New Roman"/>
          <w:sz w:val="24"/>
        </w:rPr>
        <w:t xml:space="preserve">Nhằm đảm bảo hệ thống vận hành an toàn, liên tục 24/7 và đáp ứng nhu cầu lưu trữ hồ sơ kỹ thuật dung lượng lớn, dự toán hạ tầng thiết bị đề xuất như sau:</w:t>
      </w:r>
      <w:r/>
    </w:p>
    <w:tbl>
      <w:tblPr>
        <w:tblStyle w:val="731"/>
        <w:jc w:val="center"/>
        <w:tblW w:w="5000" w:type="pct"/>
        <w:tblBorders/>
        <w:tblLayout w:type="fixed"/>
        <w:tblLook w:val="0020" w:firstRow="1" w:lastRow="0" w:firstColumn="0" w:lastColumn="0" w:noHBand="0" w:noVBand="0"/>
      </w:tblPr>
      <w:tblGrid>
        <w:gridCol w:w="859"/>
        <w:gridCol w:w="1843"/>
        <w:gridCol w:w="2409"/>
        <w:gridCol w:w="2350"/>
        <w:gridCol w:w="2194"/>
      </w:tblGrid>
      <w:tr>
        <w:trPr>
          <w:cantSplit/>
          <w:tblHeader/>
        </w:trPr>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STT</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Hạng mục Thiết bị &amp; Dịch vụ</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Thông số Kỹ thuật (Dự kiến)</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Mục đích Sử dụng</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Dự toán Chi phí (VNĐ)</w:t>
            </w:r>
            <w:r/>
          </w:p>
        </w:tc>
      </w:tr>
      <w:tr>
        <w:trPr>
          <w:cantSplit/>
        </w:trPr>
        <w:tc>
          <w:tcPr>
            <w:shd w:val="clear" w:color="auto" w:fill="f9fafc"/>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1</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Thuê Máy chủ Đám mây (Cloud Server)</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Cấu hình Cloud Server (16 vCPU, 32GB RAM, 500GB SSD NVMe).</w:t>
            </w:r>
            <w:r>
              <w:rPr>
                <w:rFonts w:ascii="Times New Roman" w:hAnsi="Times New Roman"/>
                <w:sz w:val="22"/>
              </w:rPr>
              <w:t xml:space="preserve">- Tích hợp Tường lửa (Firewall) bảo vệ an toàn thông tin theo quy định.</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Vận hành phần mềm ERP, ứng dụng LIMS, e-Office và Hệ quản trị cơ sở dữ liệu.</w:t>
            </w:r>
            <w:r>
              <w:rPr>
                <w:rFonts w:ascii="Times New Roman" w:hAnsi="Times New Roman"/>
                <w:sz w:val="22"/>
              </w:rPr>
              <w:t xml:space="preserve">- Đảm bảo truy cập ổn định 24/7 từ các đơn vị trực thuộc.</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 50.000.000 / năm</w:t>
            </w:r>
            <w:r/>
          </w:p>
        </w:tc>
      </w:tr>
      <w:tr>
        <w:trPr>
          <w:cantSplit/>
        </w:trPr>
        <w:tc>
          <w:tcPr>
            <w:shd w:val="clear" w:color="auto" w:fill="ffffff"/>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2</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Hệ thống Lưu trữ Mạng NAS (Dung lượng ~ 50TB)</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Thiết bị NAS Doanh nghiệp (8 bay có kết nối 10GbE).</w:t>
            </w:r>
            <w:r>
              <w:rPr>
                <w:rFonts w:ascii="Times New Roman" w:hAnsi="Times New Roman"/>
                <w:sz w:val="22"/>
              </w:rPr>
              <w:t xml:space="preserve">- Cấu hình 05 ổ cứng 16TB Enterprise chạy RAID 6 (dung lượng khả dụng ~48TB).</w:t>
            </w:r>
            <w:r>
              <w:rPr>
                <w:rFonts w:ascii="Times New Roman" w:hAnsi="Times New Roman"/>
                <w:sz w:val="22"/>
              </w:rPr>
              <w:t xml:space="preserve">- Nâng cấp RAM &amp; SSD Cache tăng tốc truy xuất.</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Lưu trữ tập trung tệp tin dung lượng lớn (Bản vẽ CAD/BIM, hồ sơ kỹ thuật).</w:t>
            </w:r>
            <w:r>
              <w:rPr>
                <w:rFonts w:ascii="Times New Roman" w:hAnsi="Times New Roman"/>
                <w:sz w:val="22"/>
              </w:rPr>
              <w:t xml:space="preserve">- Thực hiện tự động sao lưu (Backup) cơ sở dữ liệu hàng ngày.</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135.000.000</w:t>
            </w:r>
            <w:r/>
          </w:p>
        </w:tc>
      </w:tr>
    </w:tbl>
    <w:p>
      <w:pPr>
        <w:pStyle w:val="697"/>
        <w:pBdr/>
        <w:spacing w:after="80" w:before="40" w:line="288" w:lineRule="auto"/>
        <w:ind/>
        <w:jc w:val="both"/>
        <w:rPr/>
      </w:pPr>
      <w:r>
        <w:rPr>
          <w:rFonts w:ascii="Times New Roman" w:hAnsi="Times New Roman" w:eastAsia="Times New Roman"/>
          <w:i/>
          <w:iCs/>
          <w:sz w:val="24"/>
        </w:rPr>
        <w:t xml:space="preserve">(Ghi chú: Chi phí hạ tầng mang tính chất khái toán tham khảo. Viện IBST sẽ trực tiếp lựa chọn đơn vị cung cấp thiết bị và hạ tầng để triển khai).</w:t>
      </w:r>
      <w:r/>
    </w:p>
    <w:p>
      <w:pPr>
        <w:pBdr/>
        <w:spacing w:after="80" w:before="40" w:line="288" w:lineRule="auto"/>
        <w:ind/>
        <w:jc w:val="both"/>
        <w:rPr/>
      </w:pPr>
      <w:r>
        <w:rPr>
          <w:rFonts w:ascii="Times New Roman" w:hAnsi="Times New Roman" w:eastAsia="Times New Roman"/>
          <w:sz w:val="24"/>
        </w:rPr>
        <w:pict>
          <v:shape id="shape 3" o:spid="_x0000_s3" o:spt="1" type="#_x0000_t1" style="width:0.00pt;height:1.50pt;mso-wrap-distance-left:0.00pt;mso-wrap-distance-top:0.00pt;mso-wrap-distance-right:0.00pt;mso-wrap-distance-bottom:0.00pt;visibility:visible;" fillcolor="#FFFFFF" strokecolor="#000000" o:hr="t" o:hrstd="t" o:hralign="center" o:hrnoshade="f"/>
        </w:pict>
      </w:r>
      <w:bookmarkEnd w:id="11"/>
      <w:r/>
    </w:p>
    <w:p>
      <w:pPr>
        <w:pStyle w:val="710"/>
        <w:pBdr/>
        <w:spacing w:after="120" w:before="280"/>
        <w:ind/>
        <w:jc w:val="left"/>
        <w:rPr/>
      </w:pPr>
      <w:r/>
      <w:bookmarkStart w:id="16" w:name="X965692322e2912aaef78eafa84e711026dbf14e"/>
      <w:r>
        <w:rPr>
          <w:rFonts w:ascii="Times New Roman" w:hAnsi="Times New Roman" w:eastAsia="Times New Roman"/>
          <w:b/>
          <w:color w:val="003366"/>
          <w:sz w:val="28"/>
        </w:rPr>
        <w:t xml:space="preserve">III. CÁC GIẢI PHÁP CÔNG NGHỆ VÀ TÍNH NĂNG CHỦ YẾU</w:t>
      </w:r>
      <w:r/>
    </w:p>
    <w:p>
      <w:pPr>
        <w:pStyle w:val="711"/>
        <w:pBdr/>
        <w:spacing w:after="80" w:before="200"/>
        <w:ind/>
        <w:jc w:val="left"/>
        <w:rPr/>
      </w:pPr>
      <w:r/>
      <w:bookmarkStart w:id="12" w:name="xác-thực-văn-bản-số-thông-qua-chữ-ký-số"/>
      <w:r>
        <w:rPr>
          <w:rFonts w:ascii="Times New Roman" w:hAnsi="Times New Roman" w:eastAsia="Times New Roman"/>
          <w:b/>
          <w:color w:val="003366"/>
          <w:sz w:val="26"/>
        </w:rPr>
        <w:t xml:space="preserve">3.1. Xác thực văn bản số thông qua Chữ ký số</w:t>
      </w:r>
      <w:r/>
    </w:p>
    <w:p>
      <w:pPr>
        <w:pStyle w:val="699"/>
        <w:numPr>
          <w:ilvl w:val="0"/>
          <w:numId w:val="2"/>
        </w:numPr>
        <w:pBdr/>
        <w:spacing w:after="80" w:before="40" w:line="288" w:lineRule="auto"/>
        <w:ind/>
        <w:jc w:val="both"/>
        <w:rPr/>
      </w:pPr>
      <w:r>
        <w:rPr>
          <w:rFonts w:ascii="Times New Roman" w:hAnsi="Times New Roman" w:eastAsia="Times New Roman"/>
          <w:b/>
          <w:bCs/>
          <w:sz w:val="24"/>
        </w:rPr>
        <w:t xml:space="preserve">Giải pháp:</w:t>
      </w:r>
      <w:r>
        <w:rPr>
          <w:rFonts w:ascii="Times New Roman" w:hAnsi="Times New Roman" w:eastAsia="Times New Roman"/>
          <w:sz w:val="24"/>
        </w:rPr>
        <w:t xml:space="preserve"> </w:t>
      </w:r>
      <w:r>
        <w:rPr>
          <w:rFonts w:ascii="Times New Roman" w:hAnsi="Times New Roman" w:eastAsia="Times New Roman"/>
          <w:sz w:val="24"/>
        </w:rPr>
        <w:t xml:space="preserve">Số hóa quy trình kiểm soát tính pháp lý và toàn vẹn của tài liệu kỹ thuật, Phiếu kết quả thử nghiệm và Chứng chỉ kiểm định do Viện cấp.</w:t>
      </w:r>
      <w:r/>
    </w:p>
    <w:p>
      <w:pPr>
        <w:pStyle w:val="699"/>
        <w:numPr>
          <w:ilvl w:val="0"/>
          <w:numId w:val="2"/>
        </w:numPr>
        <w:pBdr/>
        <w:spacing w:after="80" w:before="40" w:line="288" w:lineRule="auto"/>
        <w:ind/>
        <w:jc w:val="both"/>
        <w:rPr/>
      </w:pPr>
      <w:r>
        <w:rPr>
          <w:rFonts w:ascii="Times New Roman" w:hAnsi="Times New Roman" w:eastAsia="Times New Roman"/>
          <w:b/>
          <w:bCs/>
          <w:sz w:val="24"/>
        </w:rPr>
        <w:t xml:space="preserve">Hiệu quả:</w:t>
      </w:r>
      <w:r>
        <w:rPr>
          <w:rFonts w:ascii="Times New Roman" w:hAnsi="Times New Roman" w:eastAsia="Times New Roman"/>
          <w:sz w:val="24"/>
        </w:rPr>
        <w:t xml:space="preserve"> </w:t>
      </w:r>
      <w:r>
        <w:rPr>
          <w:rFonts w:ascii="Times New Roman" w:hAnsi="Times New Roman" w:eastAsia="Times New Roman"/>
          <w:sz w:val="24"/>
        </w:rPr>
        <w:t xml:space="preserve">Toàn bộ văn bản điện tử và phiếu kết quả kết xuất từ hệ thống được tự động ký số bằng chữ ký số cơ quan, đảm bảo tính pháp lý và chống giả mạo tài liệu.</w:t>
      </w:r>
      <w:bookmarkEnd w:id="12"/>
      <w:r/>
    </w:p>
    <w:p>
      <w:pPr>
        <w:pStyle w:val="711"/>
        <w:pBdr/>
        <w:spacing w:after="80" w:before="200"/>
        <w:ind/>
        <w:jc w:val="left"/>
        <w:rPr/>
      </w:pPr>
      <w:r/>
      <w:bookmarkStart w:id="13" w:name="X7f33f02cbf71a2023147a26312f78a1068615bd"/>
      <w:r>
        <w:rPr>
          <w:rFonts w:ascii="Times New Roman" w:hAnsi="Times New Roman" w:eastAsia="Times New Roman"/>
          <w:b/>
          <w:color w:val="003366"/>
          <w:sz w:val="26"/>
        </w:rPr>
        <w:t xml:space="preserve">3.2. Trợ lý Trí tuệ nhân tạo tra cứu quy định kỹ thuật (AI-RAG)</w:t>
      </w:r>
      <w:r/>
    </w:p>
    <w:p>
      <w:pPr>
        <w:pStyle w:val="699"/>
        <w:numPr>
          <w:ilvl w:val="0"/>
          <w:numId w:val="3"/>
        </w:numPr>
        <w:pBdr/>
        <w:spacing w:after="80" w:before="40" w:line="288" w:lineRule="auto"/>
        <w:ind/>
        <w:jc w:val="both"/>
        <w:rPr/>
      </w:pPr>
      <w:r>
        <w:rPr>
          <w:rFonts w:ascii="Times New Roman" w:hAnsi="Times New Roman" w:eastAsia="Times New Roman"/>
          <w:b/>
          <w:bCs/>
          <w:sz w:val="24"/>
        </w:rPr>
        <w:t xml:space="preserve">Giải pháp:</w:t>
      </w:r>
      <w:r>
        <w:rPr>
          <w:rFonts w:ascii="Times New Roman" w:hAnsi="Times New Roman" w:eastAsia="Times New Roman"/>
          <w:sz w:val="24"/>
        </w:rPr>
        <w:t xml:space="preserve"> </w:t>
      </w:r>
      <w:r>
        <w:rPr>
          <w:rFonts w:ascii="Times New Roman" w:hAnsi="Times New Roman" w:eastAsia="Times New Roman"/>
          <w:sz w:val="24"/>
        </w:rPr>
        <w:t xml:space="preserve">Ứng dụng mô hình ngôn ngữ lớn kết hợp cơ chế truy xuất dữ liệu tăng cường (RAG) trên kho tư liệu quy chuẩn, tiêu chuẩn chuyên ngành của Viện.</w:t>
      </w:r>
      <w:r/>
    </w:p>
    <w:p>
      <w:pPr>
        <w:pStyle w:val="699"/>
        <w:numPr>
          <w:ilvl w:val="0"/>
          <w:numId w:val="3"/>
        </w:numPr>
        <w:pBdr/>
        <w:spacing w:after="80" w:before="40" w:line="288" w:lineRule="auto"/>
        <w:ind/>
        <w:jc w:val="both"/>
        <w:rPr/>
      </w:pPr>
      <w:r>
        <w:rPr>
          <w:rFonts w:ascii="Times New Roman" w:hAnsi="Times New Roman" w:eastAsia="Times New Roman"/>
          <w:b/>
          <w:bCs/>
          <w:sz w:val="24"/>
        </w:rPr>
        <w:t xml:space="preserve">Hiệu quả:</w:t>
      </w:r>
      <w:r>
        <w:rPr>
          <w:rFonts w:ascii="Times New Roman" w:hAnsi="Times New Roman" w:eastAsia="Times New Roman"/>
          <w:sz w:val="24"/>
        </w:rPr>
        <w:t xml:space="preserve"> </w:t>
      </w:r>
      <w:r>
        <w:rPr>
          <w:rFonts w:ascii="Times New Roman" w:hAnsi="Times New Roman" w:eastAsia="Times New Roman"/>
          <w:sz w:val="24"/>
        </w:rPr>
        <w:t xml:space="preserve">Hỗ trợ cán bộ nghiên cứu và kỹ sư tra cứu nhanh các quy định kỹ thuật bằng ngôn ngữ tự nhiên, trích xuất chính xác điều khoản văn bản gốc phục vụ công tác lập thuyết minh và thiết kế.</w:t>
      </w:r>
      <w:bookmarkEnd w:id="13"/>
      <w:r/>
    </w:p>
    <w:p>
      <w:pPr>
        <w:pStyle w:val="711"/>
        <w:pBdr/>
        <w:spacing w:after="80" w:before="200"/>
        <w:ind/>
        <w:jc w:val="left"/>
        <w:rPr/>
      </w:pPr>
      <w:r/>
      <w:bookmarkStart w:id="14" w:name="hệ-thống-cảnh-báo-tự-động-đa-phương-thức"/>
      <w:r>
        <w:rPr>
          <w:rFonts w:ascii="Times New Roman" w:hAnsi="Times New Roman" w:eastAsia="Times New Roman"/>
          <w:b/>
          <w:color w:val="003366"/>
          <w:sz w:val="26"/>
        </w:rPr>
        <w:t xml:space="preserve">3.3. Hệ thống Cảnh báo tự động đa phương thức</w:t>
      </w:r>
      <w:r/>
    </w:p>
    <w:p>
      <w:pPr>
        <w:pStyle w:val="699"/>
        <w:numPr>
          <w:ilvl w:val="0"/>
          <w:numId w:val="4"/>
        </w:numPr>
        <w:pBdr/>
        <w:spacing w:after="80" w:before="40" w:line="288" w:lineRule="auto"/>
        <w:ind/>
        <w:jc w:val="both"/>
        <w:rPr/>
      </w:pPr>
      <w:r>
        <w:rPr>
          <w:rFonts w:ascii="Times New Roman" w:hAnsi="Times New Roman" w:eastAsia="Times New Roman"/>
          <w:b/>
          <w:bCs/>
          <w:sz w:val="24"/>
        </w:rPr>
        <w:t xml:space="preserve">Giải pháp:</w:t>
      </w:r>
      <w:r>
        <w:rPr>
          <w:rFonts w:ascii="Times New Roman" w:hAnsi="Times New Roman" w:eastAsia="Times New Roman"/>
          <w:sz w:val="24"/>
        </w:rPr>
        <w:t xml:space="preserve"> </w:t>
      </w:r>
      <w:r>
        <w:rPr>
          <w:rFonts w:ascii="Times New Roman" w:hAnsi="Times New Roman" w:eastAsia="Times New Roman"/>
          <w:sz w:val="24"/>
        </w:rPr>
        <w:t xml:space="preserve">Tự động quét dữ liệu định kỳ để phát hiện các thời hạn hành chính, tài chính và kỹ thuật quan trọng.</w:t>
      </w:r>
      <w:r/>
    </w:p>
    <w:p>
      <w:pPr>
        <w:pStyle w:val="699"/>
        <w:numPr>
          <w:ilvl w:val="0"/>
          <w:numId w:val="4"/>
        </w:numPr>
        <w:pBdr/>
        <w:spacing w:after="80" w:before="40" w:line="288" w:lineRule="auto"/>
        <w:ind/>
        <w:jc w:val="both"/>
        <w:rPr/>
      </w:pPr>
      <w:r>
        <w:rPr>
          <w:rFonts w:ascii="Times New Roman" w:hAnsi="Times New Roman" w:eastAsia="Times New Roman"/>
          <w:b/>
          <w:bCs/>
          <w:sz w:val="24"/>
        </w:rPr>
        <w:t xml:space="preserve">Hiệu quả:</w:t>
      </w:r>
      <w:r>
        <w:rPr>
          <w:rFonts w:ascii="Times New Roman" w:hAnsi="Times New Roman" w:eastAsia="Times New Roman"/>
          <w:sz w:val="24"/>
        </w:rPr>
        <w:t xml:space="preserve"> </w:t>
      </w:r>
      <w:r>
        <w:rPr>
          <w:rFonts w:ascii="Times New Roman" w:hAnsi="Times New Roman" w:eastAsia="Times New Roman"/>
          <w:sz w:val="24"/>
        </w:rPr>
        <w:t xml:space="preserve">Gửi thông tin nhắc nhở qua các kênh hệ thống (Thông báo nội bộ, Email công vụ, tin nhắn Zalo ZNS) về thời hạn hiệu chuẩn thiết bị, công nợ hợp đồng hoặc tiến độ nghiệm thu đề tài.</w:t>
      </w:r>
      <w:bookmarkEnd w:id="14"/>
      <w:r/>
    </w:p>
    <w:p>
      <w:pPr>
        <w:pStyle w:val="711"/>
        <w:pBdr/>
        <w:spacing w:after="80" w:before="200"/>
        <w:ind/>
        <w:jc w:val="left"/>
        <w:rPr/>
      </w:pPr>
      <w:r/>
      <w:bookmarkStart w:id="15" w:name="tùy-biến-giao-diện-hiển-thị"/>
      <w:r>
        <w:rPr>
          <w:rFonts w:ascii="Times New Roman" w:hAnsi="Times New Roman" w:eastAsia="Times New Roman"/>
          <w:b/>
          <w:color w:val="003366"/>
          <w:sz w:val="26"/>
        </w:rPr>
        <w:t xml:space="preserve">3.4. Tùy biến giao diện hiển thị</w:t>
      </w:r>
      <w:r/>
    </w:p>
    <w:p>
      <w:pPr>
        <w:pStyle w:val="699"/>
        <w:numPr>
          <w:ilvl w:val="0"/>
          <w:numId w:val="5"/>
        </w:numPr>
        <w:pBdr/>
        <w:spacing w:after="80" w:before="40" w:line="288" w:lineRule="auto"/>
        <w:ind/>
        <w:jc w:val="both"/>
        <w:rPr/>
      </w:pPr>
      <w:r>
        <w:rPr>
          <w:rFonts w:ascii="Times New Roman" w:hAnsi="Times New Roman" w:eastAsia="Times New Roman"/>
          <w:b/>
          <w:bCs/>
          <w:sz w:val="24"/>
        </w:rPr>
        <w:t xml:space="preserve">Giải pháp:</w:t>
      </w:r>
      <w:r>
        <w:rPr>
          <w:rFonts w:ascii="Times New Roman" w:hAnsi="Times New Roman" w:eastAsia="Times New Roman"/>
          <w:sz w:val="24"/>
        </w:rPr>
        <w:t xml:space="preserve"> </w:t>
      </w:r>
      <w:r>
        <w:rPr>
          <w:rFonts w:ascii="Times New Roman" w:hAnsi="Times New Roman" w:eastAsia="Times New Roman"/>
          <w:sz w:val="24"/>
        </w:rPr>
        <w:t xml:space="preserve">Thiết kế giao diện đa chế độ màu sắc thích ứng theo môi trường làm việc.</w:t>
      </w:r>
      <w:r/>
    </w:p>
    <w:p>
      <w:pPr>
        <w:pStyle w:val="699"/>
        <w:numPr>
          <w:ilvl w:val="0"/>
          <w:numId w:val="5"/>
        </w:numPr>
        <w:pBdr/>
        <w:spacing w:after="80" w:before="40" w:line="288" w:lineRule="auto"/>
        <w:ind/>
        <w:jc w:val="both"/>
        <w:rPr/>
      </w:pPr>
      <w:r>
        <w:rPr>
          <w:rFonts w:ascii="Times New Roman" w:hAnsi="Times New Roman" w:eastAsia="Times New Roman"/>
          <w:b/>
          <w:bCs/>
          <w:sz w:val="24"/>
        </w:rPr>
        <w:t xml:space="preserve">Hiệu quả:</w:t>
      </w:r>
      <w:r>
        <w:rPr>
          <w:rFonts w:ascii="Times New Roman" w:hAnsi="Times New Roman" w:eastAsia="Times New Roman"/>
          <w:sz w:val="24"/>
        </w:rPr>
        <w:t xml:space="preserve"> </w:t>
      </w:r>
      <w:r>
        <w:rPr>
          <w:rFonts w:ascii="Times New Roman" w:hAnsi="Times New Roman" w:eastAsia="Times New Roman"/>
          <w:sz w:val="24"/>
        </w:rPr>
        <w:t xml:space="preserve">Cho phép người dùng chuyển đổi linh hoạt giữa giao diện tiêu chuẩn (Light Mode) và giao diện giảm mỏi mắt (Dark Mode), nâng cao hiệu suất làm việc liên tục.</w:t>
      </w:r>
      <w:r/>
    </w:p>
    <w:p>
      <w:pPr>
        <w:pBdr/>
        <w:spacing w:after="80" w:before="40" w:line="288" w:lineRule="auto"/>
        <w:ind/>
        <w:jc w:val="both"/>
        <w:rPr/>
      </w:pPr>
      <w:r>
        <w:rPr>
          <w:rFonts w:ascii="Times New Roman" w:hAnsi="Times New Roman" w:eastAsia="Times New Roman"/>
          <w:sz w:val="24"/>
        </w:rPr>
        <w:pict>
          <v:shape id="shape 4" o:spid="_x0000_s4" o:spt="1" type="#_x0000_t1" style="width:0.00pt;height:1.50pt;mso-wrap-distance-left:0.00pt;mso-wrap-distance-top:0.00pt;mso-wrap-distance-right:0.00pt;mso-wrap-distance-bottom:0.00pt;visibility:visible;" fillcolor="#FFFFFF" strokecolor="#000000" o:hr="t" o:hrstd="t" o:hralign="center" o:hrnoshade="f"/>
        </w:pict>
      </w:r>
      <w:bookmarkEnd w:id="15"/>
      <w:bookmarkEnd w:id="16"/>
      <w:r/>
    </w:p>
    <w:p>
      <w:pPr>
        <w:pStyle w:val="710"/>
        <w:pBdr/>
        <w:spacing w:after="120" w:before="280"/>
        <w:ind/>
        <w:jc w:val="left"/>
        <w:rPr/>
      </w:pPr>
      <w:r/>
      <w:bookmarkStart w:id="20" w:name="X7ce77bdd29a64b72ad1edb47eae99216c347a5a"/>
      <w:r>
        <w:rPr>
          <w:rFonts w:ascii="Times New Roman" w:hAnsi="Times New Roman" w:eastAsia="Times New Roman"/>
          <w:b/>
          <w:color w:val="003366"/>
          <w:sz w:val="28"/>
        </w:rPr>
        <w:t xml:space="preserve">IV. GIẢI PHÁP CÔNG NGHỆ VÀ BẢO MẬT HỆ THỐNG</w:t>
      </w:r>
      <w:r/>
    </w:p>
    <w:p>
      <w:pPr>
        <w:pStyle w:val="711"/>
        <w:pBdr/>
        <w:spacing w:after="80" w:before="200"/>
        <w:ind/>
        <w:jc w:val="left"/>
        <w:rPr/>
      </w:pPr>
      <w:r/>
      <w:bookmarkStart w:id="17" w:name="hạ-tầng-máy-chủ-và-lưu-trữ-dữ-liệu"/>
      <w:r>
        <w:rPr>
          <w:rFonts w:ascii="Times New Roman" w:hAnsi="Times New Roman" w:eastAsia="Times New Roman"/>
          <w:b/>
          <w:color w:val="003366"/>
          <w:sz w:val="26"/>
        </w:rPr>
        <w:t xml:space="preserve">4.1. Hạ tầng Máy chủ và Lưu trữ Dữ liệu</w:t>
      </w:r>
      <w:r/>
    </w:p>
    <w:p>
      <w:pPr>
        <w:pStyle w:val="699"/>
        <w:numPr>
          <w:ilvl w:val="0"/>
          <w:numId w:val="6"/>
        </w:numPr>
        <w:pBdr/>
        <w:spacing w:after="80" w:before="40" w:line="288" w:lineRule="auto"/>
        <w:ind/>
        <w:jc w:val="both"/>
        <w:rPr/>
      </w:pPr>
      <w:r>
        <w:rPr>
          <w:rFonts w:ascii="Times New Roman" w:hAnsi="Times New Roman" w:eastAsia="Times New Roman"/>
          <w:b/>
          <w:bCs/>
          <w:sz w:val="24"/>
        </w:rPr>
        <w:t xml:space="preserve">Lưu trữ Dữ liệu quản lý (Metadata):</w:t>
      </w:r>
      <w:r>
        <w:rPr>
          <w:rFonts w:ascii="Times New Roman" w:hAnsi="Times New Roman" w:eastAsia="Times New Roman"/>
          <w:sz w:val="24"/>
        </w:rPr>
        <w:t xml:space="preserve"> </w:t>
      </w:r>
      <w:r>
        <w:rPr>
          <w:rFonts w:ascii="Times New Roman" w:hAnsi="Times New Roman" w:eastAsia="Times New Roman"/>
          <w:sz w:val="24"/>
        </w:rPr>
        <w:t xml:space="preserve">Triển khai trên hạ tầng điện toán đám mây nội địa đạt chuẩn an toàn thông tin (Viettel Cloud/FPT Smart Cloud/VNPT Cloud), đảm bảo tốc độ truy vấn cao.</w:t>
      </w:r>
      <w:r/>
    </w:p>
    <w:p>
      <w:pPr>
        <w:pStyle w:val="699"/>
        <w:numPr>
          <w:ilvl w:val="0"/>
          <w:numId w:val="6"/>
        </w:numPr>
        <w:pBdr/>
        <w:spacing w:after="80" w:before="40" w:line="288" w:lineRule="auto"/>
        <w:ind/>
        <w:jc w:val="both"/>
        <w:rPr/>
      </w:pPr>
      <w:r>
        <w:rPr>
          <w:rFonts w:ascii="Times New Roman" w:hAnsi="Times New Roman" w:eastAsia="Times New Roman"/>
          <w:b/>
          <w:bCs/>
          <w:sz w:val="24"/>
        </w:rPr>
        <w:t xml:space="preserve">Lưu trữ Tệp dung lượng lớn:</w:t>
      </w:r>
      <w:r>
        <w:rPr>
          <w:rFonts w:ascii="Times New Roman" w:hAnsi="Times New Roman" w:eastAsia="Times New Roman"/>
          <w:sz w:val="24"/>
        </w:rPr>
        <w:t xml:space="preserve"> </w:t>
      </w:r>
      <w:r>
        <w:rPr>
          <w:rFonts w:ascii="Times New Roman" w:hAnsi="Times New Roman" w:eastAsia="Times New Roman"/>
          <w:sz w:val="24"/>
        </w:rPr>
        <w:t xml:space="preserve">Các tệp tin dung lượng lớn (CAD/BIM, hồ sơ địa kỹ thuật) được lưu trữ tại thiết bị NAS nội bộ đặt tại Viện nhằm bảo mật và tối ưu chi phí.</w:t>
      </w:r>
      <w:r/>
    </w:p>
    <w:p>
      <w:pPr>
        <w:pStyle w:val="699"/>
        <w:numPr>
          <w:ilvl w:val="0"/>
          <w:numId w:val="6"/>
        </w:numPr>
        <w:pBdr/>
        <w:spacing w:after="80" w:before="40" w:line="288" w:lineRule="auto"/>
        <w:ind/>
        <w:jc w:val="both"/>
        <w:rPr/>
      </w:pPr>
      <w:r>
        <w:rPr>
          <w:rFonts w:ascii="Times New Roman" w:hAnsi="Times New Roman" w:eastAsia="Times New Roman"/>
          <w:b/>
          <w:bCs/>
          <w:sz w:val="24"/>
        </w:rPr>
        <w:t xml:space="preserve">Bảo vệ chủ quyền dữ liệu:</w:t>
      </w:r>
      <w:r>
        <w:rPr>
          <w:rFonts w:ascii="Times New Roman" w:hAnsi="Times New Roman" w:eastAsia="Times New Roman"/>
          <w:sz w:val="24"/>
        </w:rPr>
        <w:t xml:space="preserve"> </w:t>
      </w:r>
      <w:r>
        <w:rPr>
          <w:rFonts w:ascii="Times New Roman" w:hAnsi="Times New Roman" w:eastAsia="Times New Roman"/>
          <w:sz w:val="24"/>
        </w:rPr>
        <w:t xml:space="preserve">Tuân thủ tuyệt đối Luật An ninh mạng và các Nghị định của Chính phủ hướng dẫn thi hành.</w:t>
      </w:r>
      <w:bookmarkEnd w:id="17"/>
      <w:r/>
    </w:p>
    <w:p>
      <w:pPr>
        <w:pStyle w:val="711"/>
        <w:pBdr/>
        <w:spacing w:after="80" w:before="200"/>
        <w:ind/>
        <w:jc w:val="left"/>
        <w:rPr/>
      </w:pPr>
      <w:r/>
      <w:bookmarkStart w:id="18" w:name="chi-tiết-lớp-công-nghệ-tech-stack"/>
      <w:r>
        <w:rPr>
          <w:rFonts w:ascii="Times New Roman" w:hAnsi="Times New Roman" w:eastAsia="Times New Roman"/>
          <w:b/>
          <w:color w:val="003366"/>
          <w:sz w:val="26"/>
        </w:rPr>
        <w:t xml:space="preserve">4.2. Chi tiết Lớp Công nghệ (Tech Stack)</w:t>
      </w:r>
      <w:r/>
    </w:p>
    <w:p>
      <w:pPr>
        <w:pStyle w:val="699"/>
        <w:numPr>
          <w:ilvl w:val="0"/>
          <w:numId w:val="7"/>
        </w:numPr>
        <w:pBdr/>
        <w:spacing w:after="80" w:before="40" w:line="288" w:lineRule="auto"/>
        <w:ind/>
        <w:jc w:val="both"/>
        <w:rPr/>
      </w:pPr>
      <w:r>
        <w:rPr>
          <w:rFonts w:ascii="Times New Roman" w:hAnsi="Times New Roman" w:eastAsia="Times New Roman"/>
          <w:b/>
          <w:bCs/>
          <w:sz w:val="24"/>
        </w:rPr>
        <w:t xml:space="preserve">Lớp Giao diện (Frontend):</w:t>
      </w:r>
      <w:r>
        <w:rPr>
          <w:rFonts w:ascii="Times New Roman" w:hAnsi="Times New Roman" w:eastAsia="Times New Roman"/>
          <w:sz w:val="24"/>
        </w:rPr>
        <w:t xml:space="preserve"> </w:t>
      </w:r>
      <w:r>
        <w:rPr>
          <w:rFonts w:ascii="Times New Roman" w:hAnsi="Times New Roman" w:eastAsia="Times New Roman"/>
          <w:sz w:val="24"/>
        </w:rPr>
        <w:t xml:space="preserve">Sử dụng thư viện React kết hợp TypeScript và Vite giúp tối ưu tốc độ tải trang, hiển thị mượt mà trên các thiết bị.</w:t>
      </w:r>
      <w:r/>
    </w:p>
    <w:p>
      <w:pPr>
        <w:pStyle w:val="699"/>
        <w:numPr>
          <w:ilvl w:val="0"/>
          <w:numId w:val="7"/>
        </w:numPr>
        <w:pBdr/>
        <w:spacing w:after="80" w:before="40" w:line="288" w:lineRule="auto"/>
        <w:ind/>
        <w:jc w:val="both"/>
        <w:rPr/>
      </w:pPr>
      <w:r>
        <w:rPr>
          <w:rFonts w:ascii="Times New Roman" w:hAnsi="Times New Roman" w:eastAsia="Times New Roman"/>
          <w:b/>
          <w:bCs/>
          <w:sz w:val="24"/>
        </w:rPr>
        <w:t xml:space="preserve">Lớp Cơ sở dữ liệu &amp; Logic (Backend):</w:t>
      </w:r>
      <w:r>
        <w:rPr>
          <w:rFonts w:ascii="Times New Roman" w:hAnsi="Times New Roman" w:eastAsia="Times New Roman"/>
          <w:sz w:val="24"/>
        </w:rPr>
        <w:t xml:space="preserve"> </w:t>
      </w:r>
      <w:r>
        <w:rPr>
          <w:rFonts w:ascii="Times New Roman" w:hAnsi="Times New Roman" w:eastAsia="Times New Roman"/>
          <w:sz w:val="24"/>
        </w:rPr>
        <w:t xml:space="preserve">Sử dụng Hệ quản trị CSDL PostgreSQL kết hợp Supabase (Self-hosted) triển khai trên hạ tầng máy chủ ảo; áp dụng cơ chế Row-Level Security (RLS) để phân quyền dữ liệu giữa 16 đơn vị.</w:t>
      </w:r>
      <w:r/>
    </w:p>
    <w:p>
      <w:pPr>
        <w:pStyle w:val="699"/>
        <w:numPr>
          <w:ilvl w:val="0"/>
          <w:numId w:val="7"/>
        </w:numPr>
        <w:pBdr/>
        <w:spacing w:after="80" w:before="40" w:line="288" w:lineRule="auto"/>
        <w:ind/>
        <w:jc w:val="both"/>
        <w:rPr/>
      </w:pPr>
      <w:r>
        <w:rPr>
          <w:rFonts w:ascii="Times New Roman" w:hAnsi="Times New Roman" w:eastAsia="Times New Roman"/>
          <w:b/>
          <w:bCs/>
          <w:sz w:val="24"/>
        </w:rPr>
        <w:t xml:space="preserve">Lớp Tích hợp (API):</w:t>
      </w:r>
      <w:r>
        <w:rPr>
          <w:rFonts w:ascii="Times New Roman" w:hAnsi="Times New Roman" w:eastAsia="Times New Roman"/>
          <w:sz w:val="24"/>
        </w:rPr>
        <w:t xml:space="preserve"> </w:t>
      </w:r>
      <w:r>
        <w:rPr>
          <w:rFonts w:ascii="Times New Roman" w:hAnsi="Times New Roman" w:eastAsia="Times New Roman"/>
          <w:sz w:val="24"/>
        </w:rPr>
        <w:t xml:space="preserve">Giao tiếp dữ liệu qua RESTful API mã hóa SSL/TLS; Trục văn bản xử lý gói tin XML phục vụ liên thông trực tiếp với Trục văn bản Bộ Xây dựng.</w:t>
      </w:r>
      <w:bookmarkEnd w:id="18"/>
      <w:r/>
    </w:p>
    <w:p>
      <w:pPr>
        <w:pStyle w:val="711"/>
        <w:pBdr/>
        <w:spacing w:after="80" w:before="200"/>
        <w:ind/>
        <w:jc w:val="left"/>
        <w:rPr/>
      </w:pPr>
      <w:r/>
      <w:bookmarkStart w:id="19" w:name="Xcc0ffaf4b14717af7b04a772a4ff15a906fd43d"/>
      <w:r>
        <w:rPr>
          <w:rFonts w:ascii="Times New Roman" w:hAnsi="Times New Roman" w:eastAsia="Times New Roman"/>
          <w:b/>
          <w:color w:val="003366"/>
          <w:sz w:val="26"/>
        </w:rPr>
        <w:t xml:space="preserve">4.3. Tiêu chuẩn An toàn thông tin và Khả năng mở rộng</w:t>
      </w:r>
      <w:r/>
    </w:p>
    <w:p>
      <w:pPr>
        <w:pStyle w:val="699"/>
        <w:numPr>
          <w:ilvl w:val="0"/>
          <w:numId w:val="8"/>
        </w:numPr>
        <w:pBdr/>
        <w:spacing w:after="80" w:before="40" w:line="288" w:lineRule="auto"/>
        <w:ind/>
        <w:jc w:val="both"/>
        <w:rPr/>
      </w:pPr>
      <w:r>
        <w:rPr>
          <w:rFonts w:ascii="Times New Roman" w:hAnsi="Times New Roman" w:eastAsia="Times New Roman"/>
          <w:b/>
          <w:bCs/>
          <w:sz w:val="24"/>
        </w:rPr>
        <w:t xml:space="preserve">Bảo mật đường truyền:</w:t>
      </w:r>
      <w:r>
        <w:rPr>
          <w:rFonts w:ascii="Times New Roman" w:hAnsi="Times New Roman" w:eastAsia="Times New Roman"/>
          <w:sz w:val="24"/>
        </w:rPr>
        <w:t xml:space="preserve"> </w:t>
      </w:r>
      <w:r>
        <w:rPr>
          <w:rFonts w:ascii="Times New Roman" w:hAnsi="Times New Roman" w:eastAsia="Times New Roman"/>
          <w:sz w:val="24"/>
        </w:rPr>
        <w:t xml:space="preserve">Mã hóa HTTPS toàn bộ kết nối và hỗ trợ kết nối kênh truyền riêng VPN.</w:t>
      </w:r>
      <w:r/>
    </w:p>
    <w:p>
      <w:pPr>
        <w:pStyle w:val="699"/>
        <w:numPr>
          <w:ilvl w:val="0"/>
          <w:numId w:val="8"/>
        </w:numPr>
        <w:pBdr/>
        <w:spacing w:after="80" w:before="40" w:line="288" w:lineRule="auto"/>
        <w:ind/>
        <w:jc w:val="both"/>
        <w:rPr/>
      </w:pPr>
      <w:r>
        <w:rPr>
          <w:rFonts w:ascii="Times New Roman" w:hAnsi="Times New Roman" w:eastAsia="Times New Roman"/>
          <w:b/>
          <w:bCs/>
          <w:sz w:val="24"/>
        </w:rPr>
        <w:t xml:space="preserve">Khả năng mở rộng:</w:t>
      </w:r>
      <w:r>
        <w:rPr>
          <w:rFonts w:ascii="Times New Roman" w:hAnsi="Times New Roman" w:eastAsia="Times New Roman"/>
          <w:sz w:val="24"/>
        </w:rPr>
        <w:t xml:space="preserve"> </w:t>
      </w:r>
      <w:r>
        <w:rPr>
          <w:rFonts w:ascii="Times New Roman" w:hAnsi="Times New Roman" w:eastAsia="Times New Roman"/>
          <w:sz w:val="24"/>
        </w:rPr>
        <w:t xml:space="preserve">Kiến trúc dạng phân hệ (Modular Service) cho phép mở rộng các tính năng nâng cao và liên thông dữ liệu trong tương lai mà không làm ảnh hưởng đến cấu trúc hệ thống.</w:t>
      </w:r>
      <w:r/>
    </w:p>
    <w:p>
      <w:pPr>
        <w:pBdr/>
        <w:spacing w:after="80" w:before="40" w:line="288" w:lineRule="auto"/>
        <w:ind/>
        <w:jc w:val="both"/>
        <w:rPr/>
      </w:pPr>
      <w:r>
        <w:rPr>
          <w:rFonts w:ascii="Times New Roman" w:hAnsi="Times New Roman" w:eastAsia="Times New Roman"/>
          <w:sz w:val="24"/>
        </w:rPr>
        <w:pict>
          <v:shape id="shape 5" o:spid="_x0000_s5" o:spt="1" type="#_x0000_t1" style="width:0.00pt;height:1.50pt;mso-wrap-distance-left:0.00pt;mso-wrap-distance-top:0.00pt;mso-wrap-distance-right:0.00pt;mso-wrap-distance-bottom:0.00pt;visibility:visible;" fillcolor="#FFFFFF" strokecolor="#000000" o:hr="t" o:hrstd="t" o:hralign="center" o:hrnoshade="f"/>
        </w:pict>
      </w:r>
      <w:bookmarkEnd w:id="19"/>
      <w:bookmarkEnd w:id="20"/>
      <w:r/>
    </w:p>
    <w:p>
      <w:pPr>
        <w:pStyle w:val="710"/>
        <w:pBdr/>
        <w:spacing w:after="120" w:before="280"/>
        <w:ind/>
        <w:jc w:val="left"/>
        <w:rPr/>
      </w:pPr>
      <w:r/>
      <w:bookmarkStart w:id="22" w:name="X298fa49cc748133d703b3f9cf5e363d51abbaa3"/>
      <w:r>
        <w:rPr>
          <w:rFonts w:ascii="Times New Roman" w:hAnsi="Times New Roman" w:eastAsia="Times New Roman"/>
          <w:b/>
          <w:color w:val="003366"/>
          <w:sz w:val="28"/>
        </w:rPr>
        <w:t xml:space="preserve">V. LỘ TRÌNH VÀ KẾ HOẠCH TRIỂN KHAI (GIAI ĐOẠN 2026 – 2027)</w:t>
      </w:r>
      <w:r/>
    </w:p>
    <w:p>
      <w:pPr>
        <w:pStyle w:val="698"/>
        <w:pBdr/>
        <w:spacing w:after="80" w:before="40" w:line="288" w:lineRule="auto"/>
        <w:ind/>
        <w:jc w:val="both"/>
        <w:rPr/>
      </w:pPr>
      <w:r>
        <w:rPr>
          <w:rFonts w:ascii="Times New Roman" w:hAnsi="Times New Roman" w:eastAsia="Times New Roman"/>
          <w:sz w:val="24"/>
        </w:rPr>
        <w:t xml:space="preserve">Lộ trình triển khai tổng kinh phí phần mềm</w:t>
      </w:r>
      <w:r>
        <w:rPr>
          <w:rFonts w:ascii="Times New Roman" w:hAnsi="Times New Roman" w:eastAsia="Times New Roman"/>
          <w:sz w:val="24"/>
        </w:rPr>
        <w:t xml:space="preserve"> </w:t>
      </w:r>
      <w:r>
        <w:rPr>
          <w:rFonts w:ascii="Times New Roman" w:hAnsi="Times New Roman" w:eastAsia="Times New Roman"/>
          <w:b/>
          <w:bCs/>
          <w:sz w:val="24"/>
        </w:rPr>
        <w:t xml:space="preserve">2.260.000.000 VNĐ</w:t>
      </w:r>
      <w:r>
        <w:rPr>
          <w:rFonts w:ascii="Times New Roman" w:hAnsi="Times New Roman" w:eastAsia="Times New Roman"/>
          <w:sz w:val="24"/>
        </w:rPr>
        <w:t xml:space="preserve"> </w:t>
      </w:r>
      <w:r>
        <w:rPr>
          <w:rFonts w:ascii="Times New Roman" w:hAnsi="Times New Roman" w:eastAsia="Times New Roman"/>
          <w:sz w:val="24"/>
        </w:rPr>
        <w:t xml:space="preserve">được phân kỳ theo 03 Giai đoạn (từ tháng 08/2026 đến tháng 03/2027):</w:t>
      </w:r>
      <w:r/>
    </w:p>
    <w:tbl>
      <w:tblPr>
        <w:tblStyle w:val="731"/>
        <w:jc w:val="center"/>
        <w:tblW w:w="5000" w:type="pct"/>
        <w:tblBorders/>
        <w:tblLayout w:type="fixed"/>
        <w:tblLook w:val="0020" w:firstRow="1" w:lastRow="0" w:firstColumn="0" w:lastColumn="0" w:noHBand="0" w:noVBand="0"/>
      </w:tblPr>
      <w:tblGrid>
        <w:gridCol w:w="1508"/>
        <w:gridCol w:w="1508"/>
        <w:gridCol w:w="1508"/>
        <w:gridCol w:w="1508"/>
        <w:gridCol w:w="1885"/>
      </w:tblGrid>
      <w:tr>
        <w:trPr>
          <w:cantSplit/>
          <w:tblHeader/>
        </w:trPr>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Giai đoạn triển khai</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Mốc thời gian</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Mục tiêu &amp; Nội dung Trọng tâm</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Thời lượng</w:t>
            </w:r>
            <w:r/>
          </w:p>
        </w:tc>
        <w:tc>
          <w:tcPr>
            <w:shd w:val="clear" w:color="auto" w:fill="003366"/>
            <w:tcBorders/>
            <w:tcMar>
              <w:left w:w="150" w:type="dxa"/>
              <w:top w:w="120" w:type="dxa"/>
              <w:right w:w="150" w:type="dxa"/>
              <w:bottom w:w="120" w:type="dxa"/>
            </w:tcMar>
            <w:vAlign w:val="center"/>
          </w:tcPr>
          <w:p>
            <w:pPr>
              <w:pStyle w:val="699"/>
              <w:pBdr/>
              <w:spacing w:after="40" w:before="40"/>
              <w:ind/>
              <w:jc w:val="center"/>
              <w:rPr/>
            </w:pPr>
            <w:r>
              <w:rPr>
                <w:rFonts w:ascii="Times New Roman" w:hAnsi="Times New Roman"/>
                <w:b/>
                <w:color w:val="ffffff"/>
                <w:sz w:val="22"/>
              </w:rPr>
              <w:t xml:space="preserve">Kinh phí Phần mềm</w:t>
            </w:r>
            <w:r/>
          </w:p>
        </w:tc>
      </w:tr>
      <w:tr>
        <w:trPr>
          <w:cantSplit/>
        </w:trPr>
        <w:tc>
          <w:tcPr>
            <w:shd w:val="clear" w:color="auto" w:fill="f9fafc"/>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Giai đoạn 1: Hoàn thiện thể chế &amp; Nâng cấp hạ tầng</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08/2026 - 09/2026</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Hoàn thiện thể chế, quy trình nghiệp vụ nội bộ.</w:t>
            </w:r>
            <w:r>
              <w:rPr>
                <w:rFonts w:ascii="Times New Roman" w:hAnsi="Times New Roman"/>
                <w:sz w:val="22"/>
              </w:rPr>
              <w:t xml:space="preserve">- Nâng cấp hạ tầng cơ bản (Máy chủ Cloud Server, Hệ thống NAS 50TB, Bảo mật).</w:t>
            </w:r>
            <w:r>
              <w:rPr>
                <w:rFonts w:ascii="Times New Roman" w:hAnsi="Times New Roman"/>
                <w:sz w:val="22"/>
              </w:rPr>
              <w:t xml:space="preserve">- Triển khai Lõi Dòng tiền Hợp đồng &amp; Nghiệp vụ Thử nghiệm (</w:t>
            </w:r>
            <w:r>
              <w:rPr>
                <w:rFonts w:ascii="Times New Roman" w:hAnsi="Times New Roman"/>
                <w:b/>
                <w:bCs/>
                <w:sz w:val="22"/>
              </w:rPr>
              <w:t xml:space="preserve">Phân hệ 2, 5</w:t>
            </w:r>
            <w:r>
              <w:rPr>
                <w:rFonts w:ascii="Times New Roman" w:hAnsi="Times New Roman"/>
                <w:sz w:val="22"/>
              </w:rPr>
              <w:t xml:space="preserve">).</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60 ngày</w:t>
            </w:r>
            <w:r>
              <w:rPr>
                <w:rFonts w:ascii="Times New Roman" w:hAnsi="Times New Roman"/>
                <w:sz w:val="22"/>
              </w:rPr>
              <w:t xml:space="preserve"> </w:t>
            </w:r>
            <w:r>
              <w:rPr>
                <w:rFonts w:ascii="Times New Roman" w:hAnsi="Times New Roman"/>
                <w:i/>
                <w:iCs/>
                <w:sz w:val="22"/>
              </w:rPr>
              <w:t xml:space="preserve">(2 tháng)</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910.000.000 VNĐ</w:t>
            </w:r>
            <w:r/>
          </w:p>
        </w:tc>
      </w:tr>
      <w:tr>
        <w:trPr>
          <w:cantSplit/>
        </w:trPr>
        <w:tc>
          <w:tcPr>
            <w:shd w:val="clear" w:color="auto" w:fill="ffffff"/>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Giai đoạn 2: Tích hợp hệ thống &amp; Kho dữ liệu số</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10/2026 - 01/2027</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Triển khai hệ thống tích hợp &amp; Văn phòng số (</w:t>
            </w:r>
            <w:r>
              <w:rPr>
                <w:rFonts w:ascii="Times New Roman" w:hAnsi="Times New Roman"/>
                <w:b/>
                <w:bCs/>
                <w:sz w:val="22"/>
              </w:rPr>
              <w:t xml:space="preserve">Phân hệ 3, 4, 6</w:t>
            </w:r>
            <w:r>
              <w:rPr>
                <w:rFonts w:ascii="Times New Roman" w:hAnsi="Times New Roman"/>
                <w:sz w:val="22"/>
              </w:rPr>
              <w:t xml:space="preserve">).</w:t>
            </w:r>
            <w:r>
              <w:rPr>
                <w:rFonts w:ascii="Times New Roman" w:hAnsi="Times New Roman"/>
                <w:sz w:val="22"/>
              </w:rPr>
              <w:t xml:space="preserve">- Xây dựng kho dữ liệu số, số hóa tài liệu và mở rộng ứng dụng số (</w:t>
            </w:r>
            <w:r>
              <w:rPr>
                <w:rFonts w:ascii="Times New Roman" w:hAnsi="Times New Roman"/>
                <w:b/>
                <w:bCs/>
                <w:sz w:val="22"/>
              </w:rPr>
              <w:t xml:space="preserve">Phân hệ 7</w:t>
            </w:r>
            <w:r>
              <w:rPr>
                <w:rFonts w:ascii="Times New Roman" w:hAnsi="Times New Roman"/>
                <w:sz w:val="22"/>
              </w:rPr>
              <w:t xml:space="preserve">).</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120 ngày</w:t>
            </w:r>
            <w:r>
              <w:rPr>
                <w:rFonts w:ascii="Times New Roman" w:hAnsi="Times New Roman"/>
                <w:sz w:val="22"/>
              </w:rPr>
              <w:t xml:space="preserve"> </w:t>
            </w:r>
            <w:r>
              <w:rPr>
                <w:rFonts w:ascii="Times New Roman" w:hAnsi="Times New Roman"/>
                <w:i/>
                <w:iCs/>
                <w:sz w:val="22"/>
              </w:rPr>
              <w:t xml:space="preserve">(4 tháng)</w:t>
            </w:r>
            <w:r/>
          </w:p>
        </w:tc>
        <w:tc>
          <w:tcPr>
            <w:shd w:val="clear" w:color="auto" w:fill="ffffff"/>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1.170.000.000 VNĐ</w:t>
            </w:r>
            <w:r/>
          </w:p>
        </w:tc>
      </w:tr>
      <w:tr>
        <w:trPr>
          <w:cantSplit/>
        </w:trPr>
        <w:tc>
          <w:tcPr>
            <w:shd w:val="clear" w:color="auto" w:fill="f9fafc"/>
            <w:tcBorders/>
            <w:tcMar>
              <w:left w:w="120" w:type="dxa"/>
              <w:top w:w="100" w:type="dxa"/>
              <w:right w:w="120" w:type="dxa"/>
              <w:bottom w:w="100" w:type="dxa"/>
            </w:tcMar>
            <w:vAlign w:val="center"/>
          </w:tcPr>
          <w:p>
            <w:pPr>
              <w:pStyle w:val="699"/>
              <w:pBdr/>
              <w:spacing w:after="40" w:before="40" w:line="276" w:lineRule="auto"/>
              <w:ind/>
              <w:jc w:val="center"/>
              <w:rPr/>
            </w:pPr>
            <w:r>
              <w:rPr>
                <w:rFonts w:ascii="Times New Roman" w:hAnsi="Times New Roman"/>
                <w:b/>
                <w:bCs/>
                <w:sz w:val="22"/>
              </w:rPr>
              <w:t xml:space="preserve">Giai đoạn 3: Sinh thái số &amp; Ra quyết định dữ liệu</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b/>
                <w:bCs/>
                <w:sz w:val="22"/>
              </w:rPr>
              <w:t xml:space="preserve">02/2027 - 03/2027</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Hoàn thiện hệ sinh thái số, tối ưu hóa quy trình luồng công việc.</w:t>
            </w:r>
            <w:r>
              <w:rPr>
                <w:rFonts w:ascii="Times New Roman" w:hAnsi="Times New Roman"/>
                <w:sz w:val="22"/>
              </w:rPr>
              <w:t xml:space="preserve">- Nâng cao năng lực phân tích dữ liệu và ra quyết định dựa trên dữ liệu (</w:t>
            </w:r>
            <w:r>
              <w:rPr>
                <w:rFonts w:ascii="Times New Roman" w:hAnsi="Times New Roman"/>
                <w:b/>
                <w:bCs/>
                <w:sz w:val="22"/>
              </w:rPr>
              <w:t xml:space="preserve">Phân hệ 1 - Dashboard BI &amp; Trợ lý AI-RAG</w:t>
            </w:r>
            <w:r>
              <w:rPr>
                <w:rFonts w:ascii="Times New Roman" w:hAnsi="Times New Roman"/>
                <w:sz w:val="22"/>
              </w:rPr>
              <w:t xml:space="preserve">).</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left"/>
              <w:rPr/>
            </w:pPr>
            <w:r>
              <w:rPr>
                <w:rFonts w:ascii="Times New Roman" w:hAnsi="Times New Roman"/>
                <w:sz w:val="22"/>
              </w:rPr>
              <w:t xml:space="preserve">~ 60 ngày</w:t>
            </w:r>
            <w:r>
              <w:rPr>
                <w:rFonts w:ascii="Times New Roman" w:hAnsi="Times New Roman"/>
                <w:sz w:val="22"/>
              </w:rPr>
              <w:t xml:space="preserve"> </w:t>
            </w:r>
            <w:r>
              <w:rPr>
                <w:rFonts w:ascii="Times New Roman" w:hAnsi="Times New Roman"/>
                <w:i/>
                <w:iCs/>
                <w:sz w:val="22"/>
              </w:rPr>
              <w:t xml:space="preserve">(2 tháng)</w:t>
            </w:r>
            <w:r/>
          </w:p>
        </w:tc>
        <w:tc>
          <w:tcPr>
            <w:shd w:val="clear" w:color="auto" w:fill="f9fafc"/>
            <w:tcBorders/>
            <w:tcMar>
              <w:left w:w="120" w:type="dxa"/>
              <w:top w:w="100" w:type="dxa"/>
              <w:right w:w="120" w:type="dxa"/>
              <w:bottom w:w="100" w:type="dxa"/>
            </w:tcMar>
            <w:vAlign w:val="center"/>
          </w:tcPr>
          <w:p>
            <w:pPr>
              <w:pStyle w:val="699"/>
              <w:pBdr/>
              <w:spacing w:after="40" w:before="40" w:line="276" w:lineRule="auto"/>
              <w:ind/>
              <w:jc w:val="right"/>
              <w:rPr/>
            </w:pPr>
            <w:r>
              <w:rPr>
                <w:rFonts w:ascii="Times New Roman" w:hAnsi="Times New Roman"/>
                <w:b/>
                <w:bCs/>
                <w:sz w:val="22"/>
              </w:rPr>
              <w:t xml:space="preserve">180.000.000 VNĐ</w:t>
            </w:r>
            <w:r/>
          </w:p>
        </w:tc>
      </w:tr>
    </w:tbl>
    <w:p>
      <w:pPr>
        <w:pStyle w:val="711"/>
        <w:pBdr/>
        <w:spacing w:after="80" w:before="200"/>
        <w:ind/>
        <w:jc w:val="left"/>
        <w:rPr/>
      </w:pPr>
      <w:r/>
      <w:bookmarkStart w:id="21" w:name="Xcce4647a427f051ee04c8b575b1f1f99c6b5d73"/>
      <w:r>
        <w:rPr>
          <w:rFonts w:ascii="Times New Roman" w:hAnsi="Times New Roman" w:eastAsia="Times New Roman"/>
          <w:b/>
          <w:color w:val="003366"/>
          <w:sz w:val="26"/>
        </w:rPr>
        <w:t xml:space="preserve">5.1. Chi tiết Phân kỳ Kế hoạch Triển khai (Tổng thời gian 8 tháng - ~ 240 ngày):</w:t>
      </w:r>
      <w:r/>
    </w:p>
    <w:p>
      <w:pPr>
        <w:pStyle w:val="699"/>
        <w:numPr>
          <w:ilvl w:val="0"/>
          <w:numId w:val="9"/>
        </w:numPr>
        <w:pBdr/>
        <w:spacing w:after="80" w:before="40" w:line="288" w:lineRule="auto"/>
        <w:ind/>
        <w:jc w:val="both"/>
        <w:rPr/>
      </w:pPr>
      <w:r>
        <w:rPr>
          <w:rFonts w:ascii="Times New Roman" w:hAnsi="Times New Roman" w:eastAsia="Times New Roman"/>
          <w:b/>
          <w:bCs/>
          <w:sz w:val="24"/>
        </w:rPr>
        <w:t xml:space="preserve">Giai đoạn 1 (08/2026 – 09/2026): Hoàn thiện thể chế, nâng cấp hạ tầng cơ bản (910.000.000 VNĐ)</w:t>
      </w:r>
      <w:r/>
    </w:p>
    <w:p>
      <w:pPr>
        <w:pStyle w:val="699"/>
        <w:numPr>
          <w:ilvl w:val="1"/>
          <w:numId w:val="10"/>
        </w:numPr>
        <w:pBdr/>
        <w:spacing w:after="80" w:before="40" w:line="288" w:lineRule="auto"/>
        <w:ind/>
        <w:jc w:val="both"/>
        <w:rPr/>
      </w:pPr>
      <w:r>
        <w:rPr>
          <w:rFonts w:ascii="Times New Roman" w:hAnsi="Times New Roman" w:eastAsia="Times New Roman"/>
          <w:b/>
          <w:bCs/>
          <w:sz w:val="24"/>
        </w:rPr>
        <w:t xml:space="preserve">Nội dung:</w:t>
      </w:r>
      <w:r>
        <w:rPr>
          <w:rFonts w:ascii="Times New Roman" w:hAnsi="Times New Roman" w:eastAsia="Times New Roman"/>
          <w:sz w:val="24"/>
        </w:rPr>
        <w:t xml:space="preserve"> </w:t>
      </w:r>
      <w:r>
        <w:rPr>
          <w:rFonts w:ascii="Times New Roman" w:hAnsi="Times New Roman" w:eastAsia="Times New Roman"/>
          <w:sz w:val="24"/>
        </w:rPr>
        <w:t xml:space="preserve">Hoàn thiện thể chế quy trình quản lý; Khởi tạo hạ tầng máy chủ Viettel Cloud và lắp đặt thiết bị lưu trữ NAS 50TB; Số hóa Lõi Quản lý Hợp đồng Quy chế 2815, Thu chi Dịch vụ và Hệ thống LIMS thử nghiệm (Phân hệ 2, 5).</w:t>
      </w:r>
      <w:r/>
    </w:p>
    <w:p>
      <w:pPr>
        <w:pStyle w:val="699"/>
        <w:numPr>
          <w:ilvl w:val="1"/>
          <w:numId w:val="10"/>
        </w:numPr>
        <w:pBdr/>
        <w:spacing w:after="80" w:before="40" w:line="288" w:lineRule="auto"/>
        <w:ind/>
        <w:jc w:val="both"/>
        <w:rPr/>
      </w:pPr>
      <w:r>
        <w:rPr>
          <w:rFonts w:ascii="Times New Roman" w:hAnsi="Times New Roman" w:eastAsia="Times New Roman"/>
          <w:b/>
          <w:bCs/>
          <w:sz w:val="24"/>
        </w:rPr>
        <w:t xml:space="preserve">Kết quả:</w:t>
      </w:r>
      <w:r>
        <w:rPr>
          <w:rFonts w:ascii="Times New Roman" w:hAnsi="Times New Roman" w:eastAsia="Times New Roman"/>
          <w:sz w:val="24"/>
        </w:rPr>
        <w:t xml:space="preserve"> </w:t>
      </w:r>
      <w:r>
        <w:rPr>
          <w:rFonts w:ascii="Times New Roman" w:hAnsi="Times New Roman" w:eastAsia="Times New Roman"/>
          <w:sz w:val="24"/>
        </w:rPr>
        <w:t xml:space="preserve">Chuẩn hóa hạ tầng an toàn thông tin, kiểm soát ngay dòng tiền hợp đồng và 11 phòng LAS-XD toàn quốc.</w:t>
      </w:r>
      <w:r/>
    </w:p>
    <w:p>
      <w:pPr>
        <w:pStyle w:val="699"/>
        <w:numPr>
          <w:ilvl w:val="0"/>
          <w:numId w:val="9"/>
        </w:numPr>
        <w:pBdr/>
        <w:spacing w:after="80" w:before="40" w:line="288" w:lineRule="auto"/>
        <w:ind/>
        <w:jc w:val="both"/>
        <w:rPr/>
      </w:pPr>
      <w:r>
        <w:rPr>
          <w:rFonts w:ascii="Times New Roman" w:hAnsi="Times New Roman" w:eastAsia="Times New Roman"/>
          <w:b/>
          <w:bCs/>
          <w:sz w:val="24"/>
        </w:rPr>
        <w:t xml:space="preserve">Giai đoạn 2 (10/2026 – 01/2027): Triển khai hệ thống tích hợp, xây dựng kho dữ liệu số, mở rộng ứng dụng số trong nghiệp vụ (1.170.000.000 VNĐ)</w:t>
      </w:r>
      <w:r/>
    </w:p>
    <w:p>
      <w:pPr>
        <w:pStyle w:val="699"/>
        <w:numPr>
          <w:ilvl w:val="1"/>
          <w:numId w:val="11"/>
        </w:numPr>
        <w:pBdr/>
        <w:spacing w:after="80" w:before="40" w:line="288" w:lineRule="auto"/>
        <w:ind/>
        <w:jc w:val="both"/>
        <w:rPr/>
      </w:pPr>
      <w:r>
        <w:rPr>
          <w:rFonts w:ascii="Times New Roman" w:hAnsi="Times New Roman" w:eastAsia="Times New Roman"/>
          <w:b/>
          <w:bCs/>
          <w:sz w:val="24"/>
        </w:rPr>
        <w:t xml:space="preserve">Nội dung:</w:t>
      </w:r>
      <w:r>
        <w:rPr>
          <w:rFonts w:ascii="Times New Roman" w:hAnsi="Times New Roman" w:eastAsia="Times New Roman"/>
          <w:sz w:val="24"/>
        </w:rPr>
        <w:t xml:space="preserve"> </w:t>
      </w:r>
      <w:r>
        <w:rPr>
          <w:rFonts w:ascii="Times New Roman" w:hAnsi="Times New Roman" w:eastAsia="Times New Roman"/>
          <w:sz w:val="24"/>
        </w:rPr>
        <w:t xml:space="preserve">Triển khai t</w:t>
      </w:r>
      <w:r>
        <w:rPr>
          <w:rFonts w:ascii="Times New Roman" w:hAnsi="Times New Roman" w:eastAsia="Times New Roman"/>
          <w:sz w:val="24"/>
        </w:rPr>
        <w:t xml:space="preserve">ích hợp Văn phòng số e-Office, Liên thông Trục văn bản Bộ Xây dựng, Quản lý Nhiệm vụ QLNN &amp; KHCN, Quản lý Nhân sự, Đào tạo &amp; Tòa soạn Tạp chí KHCN (Phân hệ 3, 4, 6); Xây dựng Kho cơ sở dữ liệu số hóa lưu trữ tập trung tài liệu kỹ thuật CAD/BIM (Phân hệ 7).</w:t>
      </w:r>
      <w:r/>
    </w:p>
    <w:p>
      <w:pPr>
        <w:pStyle w:val="699"/>
        <w:numPr>
          <w:ilvl w:val="1"/>
          <w:numId w:val="11"/>
        </w:numPr>
        <w:pBdr/>
        <w:spacing w:after="80" w:before="40" w:line="288" w:lineRule="auto"/>
        <w:ind/>
        <w:jc w:val="both"/>
        <w:rPr/>
      </w:pPr>
      <w:r>
        <w:rPr>
          <w:rFonts w:ascii="Times New Roman" w:hAnsi="Times New Roman" w:eastAsia="Times New Roman"/>
          <w:b/>
          <w:bCs/>
          <w:sz w:val="24"/>
        </w:rPr>
        <w:t xml:space="preserve">Kết quả:</w:t>
      </w:r>
      <w:r>
        <w:rPr>
          <w:rFonts w:ascii="Times New Roman" w:hAnsi="Times New Roman" w:eastAsia="Times New Roman"/>
          <w:sz w:val="24"/>
        </w:rPr>
        <w:t xml:space="preserve"> </w:t>
      </w:r>
      <w:r>
        <w:rPr>
          <w:rFonts w:ascii="Times New Roman" w:hAnsi="Times New Roman" w:eastAsia="Times New Roman"/>
          <w:sz w:val="24"/>
        </w:rPr>
        <w:t xml:space="preserve">Đưa Viện vào vận hành quy trình số hóa công văn, tập trung hóa kho tư liệu kỹ thuật và mở rộng ứng dụng số cho toàn thể cán bộ.</w:t>
      </w:r>
      <w:r/>
    </w:p>
    <w:p>
      <w:pPr>
        <w:pStyle w:val="699"/>
        <w:numPr>
          <w:ilvl w:val="0"/>
          <w:numId w:val="9"/>
        </w:numPr>
        <w:pBdr/>
        <w:spacing w:after="80" w:before="40" w:line="288" w:lineRule="auto"/>
        <w:ind/>
        <w:jc w:val="both"/>
        <w:rPr/>
      </w:pPr>
      <w:r>
        <w:rPr>
          <w:rFonts w:ascii="Times New Roman" w:hAnsi="Times New Roman" w:eastAsia="Times New Roman"/>
          <w:b/>
          <w:bCs/>
          <w:sz w:val="24"/>
        </w:rPr>
        <w:t xml:space="preserve">Giai đoạn 3 (02/2027 – 03/2027): Hoàn thiện hệ sinh thái số, tối ưu hóa quy trình, nâng cao năng lực phân tích dữ liệu và ra quyết định dựa trên dữ liệu (180.000.000 VNĐ)</w:t>
      </w:r>
      <w:r/>
    </w:p>
    <w:p>
      <w:pPr>
        <w:pStyle w:val="699"/>
        <w:numPr>
          <w:ilvl w:val="1"/>
          <w:numId w:val="12"/>
        </w:numPr>
        <w:pBdr/>
        <w:spacing w:after="80" w:before="40" w:line="288" w:lineRule="auto"/>
        <w:ind/>
        <w:jc w:val="both"/>
        <w:rPr/>
      </w:pPr>
      <w:r>
        <w:rPr>
          <w:rFonts w:ascii="Times New Roman" w:hAnsi="Times New Roman" w:eastAsia="Times New Roman"/>
          <w:b/>
          <w:bCs/>
          <w:sz w:val="24"/>
        </w:rPr>
        <w:t xml:space="preserve">Nội dung:</w:t>
      </w:r>
      <w:r>
        <w:rPr>
          <w:rFonts w:ascii="Times New Roman" w:hAnsi="Times New Roman" w:eastAsia="Times New Roman"/>
          <w:sz w:val="24"/>
        </w:rPr>
        <w:t xml:space="preserve"> </w:t>
      </w:r>
      <w:r>
        <w:rPr>
          <w:rFonts w:ascii="Times New Roman" w:hAnsi="Times New Roman" w:eastAsia="Times New Roman"/>
          <w:sz w:val="24"/>
        </w:rPr>
        <w:t xml:space="preserve">Hoàn thiện toàn diện hệ si</w:t>
      </w:r>
      <w:r>
        <w:rPr>
          <w:rFonts w:ascii="Times New Roman" w:hAnsi="Times New Roman" w:eastAsia="Times New Roman"/>
          <w:sz w:val="24"/>
        </w:rPr>
        <w:t xml:space="preserve">nh thái số ERP-IBST, tinh chỉnh tối ưu hóa quy trình luồng công việc; Kích hoạt Trợ lý Trí tuệ nhân tạo (AI-RAG) tra cứu Luật, Nghị định, Thông tư, QCVN, TCVN và hoàn thiện Trung tâm Điều hành BI Dashboard trực quan hóa dữ liệu cho Viện trưởng (Phân hệ 1).</w:t>
      </w:r>
      <w:r/>
    </w:p>
    <w:p>
      <w:pPr>
        <w:pStyle w:val="699"/>
        <w:numPr>
          <w:ilvl w:val="1"/>
          <w:numId w:val="12"/>
        </w:numPr>
        <w:pBdr/>
        <w:spacing w:after="80" w:before="40" w:line="288" w:lineRule="auto"/>
        <w:ind/>
        <w:jc w:val="both"/>
        <w:rPr/>
      </w:pPr>
      <w:r>
        <w:rPr>
          <w:rFonts w:ascii="Times New Roman" w:hAnsi="Times New Roman" w:eastAsia="Times New Roman"/>
          <w:b/>
          <w:bCs/>
          <w:sz w:val="24"/>
        </w:rPr>
        <w:t xml:space="preserve">Kết quả:</w:t>
      </w:r>
      <w:r>
        <w:rPr>
          <w:rFonts w:ascii="Times New Roman" w:hAnsi="Times New Roman" w:eastAsia="Times New Roman"/>
          <w:sz w:val="24"/>
        </w:rPr>
        <w:t xml:space="preserve"> </w:t>
      </w:r>
      <w:r>
        <w:rPr>
          <w:rFonts w:ascii="Times New Roman" w:hAnsi="Times New Roman" w:eastAsia="Times New Roman"/>
          <w:sz w:val="24"/>
        </w:rPr>
        <w:t xml:space="preserve">Hỗ trợ Lãnh đạo Viện ra quyết định điều hành dựa trên dữ liệu thời gian thực và hoàn thiện công tác chuyển đổi số.</w:t>
      </w:r>
      <w:r/>
    </w:p>
    <w:p>
      <w:pPr>
        <w:pBdr/>
        <w:spacing w:after="80" w:before="40" w:line="288" w:lineRule="auto"/>
        <w:ind/>
        <w:jc w:val="both"/>
        <w:rPr/>
      </w:pPr>
      <w:r>
        <w:rPr>
          <w:rFonts w:ascii="Times New Roman" w:hAnsi="Times New Roman" w:eastAsia="Times New Roman"/>
          <w:sz w:val="24"/>
        </w:rPr>
        <w:pict>
          <v:shape id="shape 6" o:spid="_x0000_s6" o:spt="1" type="#_x0000_t1" style="width:0.00pt;height:1.50pt;mso-wrap-distance-left:0.00pt;mso-wrap-distance-top:0.00pt;mso-wrap-distance-right:0.00pt;mso-wrap-distance-bottom:0.00pt;visibility:visible;" fillcolor="#FFFFFF" strokecolor="#000000" o:hr="t" o:hrstd="t" o:hralign="center" o:hrnoshade="f"/>
        </w:pict>
      </w:r>
      <w:r/>
    </w:p>
    <w:p>
      <w:pPr>
        <w:pStyle w:val="698"/>
        <w:pBdr/>
        <w:spacing w:after="80" w:before="40" w:line="288" w:lineRule="auto"/>
        <w:ind/>
        <w:jc w:val="both"/>
        <w:rPr/>
      </w:pPr>
      <w:r>
        <w:rPr>
          <w:rFonts w:ascii="Times New Roman" w:hAnsi="Times New Roman" w:eastAsia="Times New Roman"/>
          <w:b/>
          <w:bCs/>
          <w:sz w:val="24"/>
        </w:rPr>
        <w:t xml:space="preserve">ĐƠN VỊ LẬP BÁO GIÁ</w:t>
      </w:r>
      <w:r>
        <w:rPr>
          <w:rFonts w:ascii="Times New Roman" w:hAnsi="Times New Roman" w:eastAsia="Times New Roman"/>
          <w:sz w:val="24"/>
        </w:rPr>
        <w:br/>
      </w:r>
      <w:r>
        <w:rPr>
          <w:rFonts w:ascii="Times New Roman" w:hAnsi="Times New Roman" w:eastAsia="Times New Roman"/>
          <w:b/>
          <w:bCs/>
          <w:sz w:val="24"/>
        </w:rPr>
        <w:t xml:space="preserve">CÔNG TY CỔ PHẦN CÔNG NGHỆ VÀ TƯ VẤN XÂY DỰNG (CIC)</w:t>
      </w:r>
      <w:bookmarkEnd w:id="21"/>
      <w:bookmarkEnd w:id="22"/>
      <w:bookmarkEnd w:id="23"/>
      <w:r/>
    </w:p>
    <w:sectPr>
      <w:footnotePr>
        <w:numRestart w:val="eachSect"/>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onsolas">
    <w:panose1 w:val="020B060902020403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696"/>
    <w:next w:val="696"/>
    <w:link w:val="164"/>
    <w:uiPriority w:val="29"/>
    <w:qFormat/>
    <w:pPr>
      <w:pBdr/>
      <w:spacing w:before="160"/>
      <w:ind/>
      <w:jc w:val="center"/>
    </w:pPr>
    <w:rPr>
      <w:i/>
      <w:iCs/>
      <w:color w:val="404040" w:themeColor="text1" w:themeTint="BF"/>
    </w:rPr>
  </w:style>
  <w:style w:type="character" w:styleId="164">
    <w:name w:val="Quote Char"/>
    <w:basedOn w:val="730"/>
    <w:link w:val="163"/>
    <w:uiPriority w:val="29"/>
    <w:pPr>
      <w:pBdr/>
      <w:spacing/>
      <w:ind/>
    </w:pPr>
    <w:rPr>
      <w:i/>
      <w:iCs/>
      <w:color w:val="404040" w:themeColor="text1" w:themeTint="BF"/>
    </w:rPr>
  </w:style>
  <w:style w:type="paragraph" w:styleId="165">
    <w:name w:val="List Paragraph"/>
    <w:basedOn w:val="696"/>
    <w:uiPriority w:val="34"/>
    <w:qFormat/>
    <w:pPr>
      <w:pBdr/>
      <w:spacing/>
      <w:ind w:left="720"/>
      <w:contextualSpacing w:val="true"/>
    </w:pPr>
  </w:style>
  <w:style w:type="character" w:styleId="166">
    <w:name w:val="Intense Emphasis"/>
    <w:basedOn w:val="730"/>
    <w:uiPriority w:val="21"/>
    <w:qFormat/>
    <w:pPr>
      <w:pBdr/>
      <w:spacing/>
      <w:ind/>
    </w:pPr>
    <w:rPr>
      <w:i/>
      <w:iCs/>
      <w:color w:val="0f4761" w:themeColor="accent1" w:themeShade="BF"/>
    </w:rPr>
  </w:style>
  <w:style w:type="paragraph" w:styleId="167">
    <w:name w:val="Intense Quote"/>
    <w:basedOn w:val="696"/>
    <w:next w:val="69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30"/>
    <w:link w:val="167"/>
    <w:uiPriority w:val="30"/>
    <w:pPr>
      <w:pBdr/>
      <w:spacing/>
      <w:ind/>
    </w:pPr>
    <w:rPr>
      <w:i/>
      <w:iCs/>
      <w:color w:val="0f4761" w:themeColor="accent1" w:themeShade="BF"/>
    </w:rPr>
  </w:style>
  <w:style w:type="character" w:styleId="169">
    <w:name w:val="Intense Reference"/>
    <w:basedOn w:val="730"/>
    <w:uiPriority w:val="32"/>
    <w:qFormat/>
    <w:pPr>
      <w:pBdr/>
      <w:spacing/>
      <w:ind/>
    </w:pPr>
    <w:rPr>
      <w:b/>
      <w:bCs/>
      <w:smallCaps/>
      <w:color w:val="0f4761" w:themeColor="accent1" w:themeShade="BF"/>
      <w:spacing w:val="5"/>
    </w:rPr>
  </w:style>
  <w:style w:type="paragraph" w:styleId="170">
    <w:name w:val="No Spacing"/>
    <w:basedOn w:val="696"/>
    <w:uiPriority w:val="1"/>
    <w:qFormat/>
    <w:pPr>
      <w:pBdr/>
      <w:spacing w:after="0" w:line="240" w:lineRule="auto"/>
      <w:ind/>
    </w:pPr>
  </w:style>
  <w:style w:type="character" w:styleId="171">
    <w:name w:val="Subtle Emphasis"/>
    <w:basedOn w:val="730"/>
    <w:uiPriority w:val="19"/>
    <w:qFormat/>
    <w:pPr>
      <w:pBdr/>
      <w:spacing/>
      <w:ind/>
    </w:pPr>
    <w:rPr>
      <w:i/>
      <w:iCs/>
      <w:color w:val="404040" w:themeColor="text1" w:themeTint="BF"/>
    </w:rPr>
  </w:style>
  <w:style w:type="character" w:styleId="172">
    <w:name w:val="Emphasis"/>
    <w:basedOn w:val="730"/>
    <w:uiPriority w:val="20"/>
    <w:qFormat/>
    <w:pPr>
      <w:pBdr/>
      <w:spacing/>
      <w:ind/>
    </w:pPr>
    <w:rPr>
      <w:i/>
      <w:iCs/>
    </w:rPr>
  </w:style>
  <w:style w:type="character" w:styleId="173">
    <w:name w:val="Strong"/>
    <w:basedOn w:val="730"/>
    <w:uiPriority w:val="22"/>
    <w:qFormat/>
    <w:pPr>
      <w:pBdr/>
      <w:spacing/>
      <w:ind/>
    </w:pPr>
    <w:rPr>
      <w:b/>
      <w:bCs/>
    </w:rPr>
  </w:style>
  <w:style w:type="character" w:styleId="174">
    <w:name w:val="Subtle Reference"/>
    <w:basedOn w:val="730"/>
    <w:uiPriority w:val="31"/>
    <w:qFormat/>
    <w:pPr>
      <w:pBdr/>
      <w:spacing/>
      <w:ind/>
    </w:pPr>
    <w:rPr>
      <w:smallCaps/>
      <w:color w:val="5a5a5a" w:themeColor="text1" w:themeTint="A5"/>
    </w:rPr>
  </w:style>
  <w:style w:type="character" w:styleId="175">
    <w:name w:val="Book Title"/>
    <w:basedOn w:val="730"/>
    <w:uiPriority w:val="33"/>
    <w:qFormat/>
    <w:pPr>
      <w:pBdr/>
      <w:spacing/>
      <w:ind/>
    </w:pPr>
    <w:rPr>
      <w:b/>
      <w:bCs/>
      <w:i/>
      <w:iCs/>
      <w:spacing w:val="5"/>
    </w:rPr>
  </w:style>
  <w:style w:type="paragraph" w:styleId="176">
    <w:name w:val="Header"/>
    <w:basedOn w:val="696"/>
    <w:link w:val="177"/>
    <w:uiPriority w:val="99"/>
    <w:unhideWhenUsed/>
    <w:pPr>
      <w:pBdr/>
      <w:tabs>
        <w:tab w:val="center" w:leader="none" w:pos="4844"/>
        <w:tab w:val="right" w:leader="none" w:pos="9689"/>
      </w:tabs>
      <w:spacing w:after="0" w:line="240" w:lineRule="auto"/>
      <w:ind/>
    </w:pPr>
  </w:style>
  <w:style w:type="character" w:styleId="177">
    <w:name w:val="Header Char"/>
    <w:basedOn w:val="730"/>
    <w:link w:val="176"/>
    <w:uiPriority w:val="99"/>
    <w:pPr>
      <w:pBdr/>
      <w:spacing/>
      <w:ind/>
    </w:pPr>
  </w:style>
  <w:style w:type="paragraph" w:styleId="178">
    <w:name w:val="Footer"/>
    <w:basedOn w:val="696"/>
    <w:link w:val="179"/>
    <w:uiPriority w:val="99"/>
    <w:unhideWhenUsed/>
    <w:pPr>
      <w:pBdr/>
      <w:tabs>
        <w:tab w:val="center" w:leader="none" w:pos="4844"/>
        <w:tab w:val="right" w:leader="none" w:pos="9689"/>
      </w:tabs>
      <w:spacing w:after="0" w:line="240" w:lineRule="auto"/>
      <w:ind/>
    </w:pPr>
  </w:style>
  <w:style w:type="character" w:styleId="179">
    <w:name w:val="Footer Char"/>
    <w:basedOn w:val="730"/>
    <w:link w:val="178"/>
    <w:uiPriority w:val="99"/>
    <w:pPr>
      <w:pBdr/>
      <w:spacing/>
      <w:ind/>
    </w:pPr>
  </w:style>
  <w:style w:type="character" w:styleId="182">
    <w:name w:val="Footnote Text Char"/>
    <w:basedOn w:val="730"/>
    <w:link w:val="728"/>
    <w:uiPriority w:val="99"/>
    <w:semiHidden/>
    <w:pPr>
      <w:pBdr/>
      <w:spacing/>
      <w:ind/>
    </w:pPr>
    <w:rPr>
      <w:sz w:val="20"/>
      <w:szCs w:val="20"/>
    </w:rPr>
  </w:style>
  <w:style w:type="paragraph" w:styleId="184">
    <w:name w:val="endnote text"/>
    <w:basedOn w:val="696"/>
    <w:link w:val="185"/>
    <w:uiPriority w:val="99"/>
    <w:semiHidden/>
    <w:unhideWhenUsed/>
    <w:pPr>
      <w:pBdr/>
      <w:spacing w:after="0" w:line="240" w:lineRule="auto"/>
      <w:ind/>
    </w:pPr>
    <w:rPr>
      <w:sz w:val="20"/>
      <w:szCs w:val="20"/>
    </w:rPr>
  </w:style>
  <w:style w:type="character" w:styleId="185">
    <w:name w:val="Endnote Text Char"/>
    <w:basedOn w:val="730"/>
    <w:link w:val="184"/>
    <w:uiPriority w:val="99"/>
    <w:semiHidden/>
    <w:pPr>
      <w:pBdr/>
      <w:spacing/>
      <w:ind/>
    </w:pPr>
    <w:rPr>
      <w:sz w:val="20"/>
      <w:szCs w:val="20"/>
    </w:rPr>
  </w:style>
  <w:style w:type="character" w:styleId="186">
    <w:name w:val="endnote reference"/>
    <w:basedOn w:val="730"/>
    <w:uiPriority w:val="99"/>
    <w:semiHidden/>
    <w:unhideWhenUsed/>
    <w:pPr>
      <w:pBdr/>
      <w:spacing/>
      <w:ind/>
    </w:pPr>
    <w:rPr>
      <w:vertAlign w:val="superscript"/>
    </w:rPr>
  </w:style>
  <w:style w:type="character" w:styleId="188">
    <w:name w:val="FollowedHyperlink"/>
    <w:basedOn w:val="730"/>
    <w:uiPriority w:val="99"/>
    <w:semiHidden/>
    <w:unhideWhenUsed/>
    <w:pPr>
      <w:pBdr/>
      <w:spacing/>
      <w:ind/>
    </w:pPr>
    <w:rPr>
      <w:color w:val="954f72" w:themeColor="followedHyperlink"/>
      <w:u w:val="single"/>
    </w:rPr>
  </w:style>
  <w:style w:type="paragraph" w:styleId="189">
    <w:name w:val="toc 1"/>
    <w:basedOn w:val="696"/>
    <w:next w:val="696"/>
    <w:uiPriority w:val="39"/>
    <w:unhideWhenUsed/>
    <w:pPr>
      <w:pBdr/>
      <w:spacing w:after="100"/>
      <w:ind/>
    </w:pPr>
  </w:style>
  <w:style w:type="paragraph" w:styleId="190">
    <w:name w:val="toc 2"/>
    <w:basedOn w:val="696"/>
    <w:next w:val="696"/>
    <w:uiPriority w:val="39"/>
    <w:unhideWhenUsed/>
    <w:pPr>
      <w:pBdr/>
      <w:spacing w:after="100"/>
      <w:ind w:left="220"/>
    </w:pPr>
  </w:style>
  <w:style w:type="paragraph" w:styleId="191">
    <w:name w:val="toc 3"/>
    <w:basedOn w:val="696"/>
    <w:next w:val="696"/>
    <w:uiPriority w:val="39"/>
    <w:unhideWhenUsed/>
    <w:pPr>
      <w:pBdr/>
      <w:spacing w:after="100"/>
      <w:ind w:left="440"/>
    </w:pPr>
  </w:style>
  <w:style w:type="paragraph" w:styleId="192">
    <w:name w:val="toc 4"/>
    <w:basedOn w:val="696"/>
    <w:next w:val="696"/>
    <w:uiPriority w:val="39"/>
    <w:unhideWhenUsed/>
    <w:pPr>
      <w:pBdr/>
      <w:spacing w:after="100"/>
      <w:ind w:left="660"/>
    </w:pPr>
  </w:style>
  <w:style w:type="paragraph" w:styleId="193">
    <w:name w:val="toc 5"/>
    <w:basedOn w:val="696"/>
    <w:next w:val="696"/>
    <w:uiPriority w:val="39"/>
    <w:unhideWhenUsed/>
    <w:pPr>
      <w:pBdr/>
      <w:spacing w:after="100"/>
      <w:ind w:left="880"/>
    </w:pPr>
  </w:style>
  <w:style w:type="paragraph" w:styleId="194">
    <w:name w:val="toc 6"/>
    <w:basedOn w:val="696"/>
    <w:next w:val="696"/>
    <w:uiPriority w:val="39"/>
    <w:unhideWhenUsed/>
    <w:pPr>
      <w:pBdr/>
      <w:spacing w:after="100"/>
      <w:ind w:left="1100"/>
    </w:pPr>
  </w:style>
  <w:style w:type="paragraph" w:styleId="195">
    <w:name w:val="toc 7"/>
    <w:basedOn w:val="696"/>
    <w:next w:val="696"/>
    <w:uiPriority w:val="39"/>
    <w:unhideWhenUsed/>
    <w:pPr>
      <w:pBdr/>
      <w:spacing w:after="100"/>
      <w:ind w:left="1320"/>
    </w:pPr>
  </w:style>
  <w:style w:type="paragraph" w:styleId="196">
    <w:name w:val="toc 8"/>
    <w:basedOn w:val="696"/>
    <w:next w:val="696"/>
    <w:uiPriority w:val="39"/>
    <w:unhideWhenUsed/>
    <w:pPr>
      <w:pBdr/>
      <w:spacing w:after="100"/>
      <w:ind w:left="1540"/>
    </w:pPr>
  </w:style>
  <w:style w:type="paragraph" w:styleId="197">
    <w:name w:val="toc 9"/>
    <w:basedOn w:val="696"/>
    <w:next w:val="696"/>
    <w:uiPriority w:val="39"/>
    <w:unhideWhenUsed/>
    <w:pPr>
      <w:pBdr/>
      <w:spacing w:after="100"/>
      <w:ind w:left="1760"/>
    </w:pPr>
  </w:style>
  <w:style w:type="character" w:styleId="198">
    <w:name w:val="Placeholder Text"/>
    <w:basedOn w:val="730"/>
    <w:uiPriority w:val="99"/>
    <w:semiHidden/>
    <w:pPr>
      <w:pBdr/>
      <w:spacing/>
      <w:ind/>
    </w:pPr>
    <w:rPr>
      <w:color w:val="666666"/>
    </w:rPr>
  </w:style>
  <w:style w:type="paragraph" w:styleId="209">
    <w:name w:val="table of figures"/>
    <w:basedOn w:val="696"/>
    <w:next w:val="696"/>
    <w:uiPriority w:val="99"/>
    <w:unhideWhenUsed/>
    <w:pPr>
      <w:pBdr/>
      <w:spacing w:after="0" w:afterAutospacing="0"/>
      <w:ind/>
    </w:pPr>
  </w:style>
  <w:style w:type="paragraph" w:styleId="696" w:default="1">
    <w:name w:val="Normal"/>
    <w:qFormat/>
    <w:pPr>
      <w:pBdr/>
      <w:spacing/>
      <w:ind/>
    </w:pPr>
  </w:style>
  <w:style w:type="paragraph" w:styleId="697">
    <w:name w:val="Body Text"/>
    <w:basedOn w:val="696"/>
    <w:link w:val="739"/>
    <w:qFormat/>
    <w:pPr>
      <w:pBdr/>
      <w:spacing w:after="180" w:before="180"/>
      <w:ind/>
    </w:pPr>
  </w:style>
  <w:style w:type="paragraph" w:styleId="698" w:customStyle="1">
    <w:name w:val="First Paragraph"/>
    <w:basedOn w:val="697"/>
    <w:next w:val="697"/>
    <w:qFormat/>
    <w:pPr>
      <w:pBdr/>
      <w:spacing/>
      <w:ind/>
    </w:pPr>
  </w:style>
  <w:style w:type="paragraph" w:styleId="699" w:customStyle="1">
    <w:name w:val="Compact"/>
    <w:basedOn w:val="697"/>
    <w:qFormat/>
    <w:pPr>
      <w:pBdr/>
      <w:spacing w:after="36" w:before="36"/>
      <w:ind/>
    </w:pPr>
  </w:style>
  <w:style w:type="paragraph" w:styleId="700">
    <w:name w:val="Title"/>
    <w:basedOn w:val="696"/>
    <w:next w:val="697"/>
    <w:link w:val="701"/>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701" w:customStyle="1">
    <w:name w:val="Title Char"/>
    <w:basedOn w:val="730"/>
    <w:link w:val="700"/>
    <w:uiPriority w:val="10"/>
    <w:pPr>
      <w:pBdr/>
      <w:spacing/>
      <w:ind/>
    </w:pPr>
    <w:rPr>
      <w:rFonts w:asciiTheme="majorHAnsi" w:hAnsiTheme="majorHAnsi" w:eastAsiaTheme="majorEastAsia" w:cstheme="majorBidi"/>
      <w:sz w:val="56"/>
      <w:szCs w:val="56"/>
    </w:rPr>
  </w:style>
  <w:style w:type="paragraph" w:styleId="702">
    <w:name w:val="Subtitle"/>
    <w:basedOn w:val="700"/>
    <w:next w:val="697"/>
    <w:link w:val="703"/>
    <w:uiPriority w:val="11"/>
    <w:qFormat/>
    <w:pPr>
      <w:numPr>
        <w:ilvl w:val="1"/>
      </w:numPr>
      <w:pBdr/>
      <w:spacing/>
      <w:ind/>
    </w:pPr>
    <w:rPr>
      <w:rFonts w:eastAsiaTheme="majorEastAsia" w:cstheme="majorBidi"/>
      <w:spacing w:val="15"/>
      <w:sz w:val="28"/>
      <w:szCs w:val="28"/>
    </w:rPr>
  </w:style>
  <w:style w:type="character" w:styleId="703" w:customStyle="1">
    <w:name w:val="Subtitle Char"/>
    <w:basedOn w:val="730"/>
    <w:link w:val="702"/>
    <w:uiPriority w:val="11"/>
    <w:pPr>
      <w:pBdr/>
      <w:spacing/>
      <w:ind/>
    </w:pPr>
    <w:rPr>
      <w:rFonts w:eastAsiaTheme="majorEastAsia" w:cstheme="majorBidi"/>
      <w:color w:val="595959" w:themeColor="text1" w:themeTint="A6"/>
      <w:spacing w:val="15"/>
      <w:sz w:val="28"/>
      <w:szCs w:val="28"/>
    </w:rPr>
  </w:style>
  <w:style w:type="paragraph" w:styleId="704" w:customStyle="1">
    <w:name w:val="Author"/>
    <w:basedOn w:val="700"/>
    <w:next w:val="697"/>
    <w:qFormat/>
    <w:pPr>
      <w:keepNext w:val="true"/>
      <w:keepLines w:val="true"/>
      <w:pBdr/>
      <w:spacing/>
      <w:ind/>
    </w:pPr>
    <w:rPr>
      <w:sz w:val="24"/>
      <w:szCs w:val="24"/>
    </w:rPr>
  </w:style>
  <w:style w:type="paragraph" w:styleId="705">
    <w:name w:val="Date"/>
    <w:basedOn w:val="700"/>
    <w:next w:val="697"/>
    <w:qFormat/>
    <w:pPr>
      <w:keepNext w:val="true"/>
      <w:keepLines w:val="true"/>
      <w:pBdr/>
      <w:spacing/>
      <w:ind/>
    </w:pPr>
    <w:rPr>
      <w:sz w:val="24"/>
      <w:szCs w:val="24"/>
    </w:rPr>
  </w:style>
  <w:style w:type="paragraph" w:styleId="706" w:customStyle="1">
    <w:name w:val="Abstract Title"/>
    <w:basedOn w:val="696"/>
    <w:next w:val="707"/>
    <w:qFormat/>
    <w:pPr>
      <w:keepNext w:val="true"/>
      <w:keepLines w:val="true"/>
      <w:pBdr/>
      <w:spacing w:after="0" w:before="300"/>
      <w:ind/>
      <w:jc w:val="center"/>
    </w:pPr>
    <w:rPr>
      <w:b/>
      <w:sz w:val="20"/>
      <w:szCs w:val="20"/>
    </w:rPr>
  </w:style>
  <w:style w:type="paragraph" w:styleId="707" w:customStyle="1">
    <w:name w:val="Abstract"/>
    <w:basedOn w:val="696"/>
    <w:next w:val="697"/>
    <w:qFormat/>
    <w:pPr>
      <w:keepNext w:val="true"/>
      <w:keepLines w:val="true"/>
      <w:pBdr/>
      <w:spacing w:after="300" w:before="100"/>
      <w:ind/>
    </w:pPr>
    <w:rPr>
      <w:sz w:val="20"/>
      <w:szCs w:val="20"/>
    </w:rPr>
  </w:style>
  <w:style w:type="paragraph" w:styleId="708">
    <w:name w:val="Bibliography"/>
    <w:basedOn w:val="696"/>
    <w:next w:val="708"/>
    <w:qFormat/>
    <w:pPr>
      <w:pBdr/>
      <w:spacing/>
      <w:ind/>
    </w:pPr>
  </w:style>
  <w:style w:type="paragraph" w:styleId="709">
    <w:name w:val="Heading 1"/>
    <w:basedOn w:val="696"/>
    <w:next w:val="697"/>
    <w:link w:val="71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10">
    <w:name w:val="Heading 2"/>
    <w:basedOn w:val="696"/>
    <w:next w:val="697"/>
    <w:link w:val="719"/>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11">
    <w:name w:val="Heading 3"/>
    <w:basedOn w:val="696"/>
    <w:next w:val="697"/>
    <w:link w:val="72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12">
    <w:name w:val="Heading 4"/>
    <w:basedOn w:val="696"/>
    <w:next w:val="697"/>
    <w:link w:val="72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13">
    <w:name w:val="Heading 5"/>
    <w:basedOn w:val="696"/>
    <w:next w:val="697"/>
    <w:link w:val="72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14">
    <w:name w:val="Heading 6"/>
    <w:basedOn w:val="696"/>
    <w:next w:val="697"/>
    <w:link w:val="72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15">
    <w:name w:val="Heading 7"/>
    <w:basedOn w:val="696"/>
    <w:next w:val="697"/>
    <w:link w:val="72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16">
    <w:name w:val="Heading 8"/>
    <w:basedOn w:val="696"/>
    <w:next w:val="697"/>
    <w:link w:val="72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17">
    <w:name w:val="Heading 9"/>
    <w:basedOn w:val="696"/>
    <w:next w:val="697"/>
    <w:link w:val="72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8" w:customStyle="1">
    <w:name w:val="Heading 1 Char"/>
    <w:basedOn w:val="730"/>
    <w:link w:val="709"/>
    <w:uiPriority w:val="9"/>
    <w:pPr>
      <w:pBdr/>
      <w:spacing/>
      <w:ind/>
    </w:pPr>
    <w:rPr>
      <w:rFonts w:asciiTheme="majorHAnsi" w:hAnsiTheme="majorHAnsi" w:eastAsiaTheme="majorEastAsia" w:cstheme="majorBidi"/>
      <w:color w:val="0f4761" w:themeColor="accent1" w:themeShade="BF"/>
      <w:sz w:val="40"/>
      <w:szCs w:val="40"/>
    </w:rPr>
  </w:style>
  <w:style w:type="character" w:styleId="719" w:customStyle="1">
    <w:name w:val="Heading 2 Char"/>
    <w:basedOn w:val="730"/>
    <w:link w:val="710"/>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20" w:customStyle="1">
    <w:name w:val="Heading 3 Char"/>
    <w:basedOn w:val="730"/>
    <w:link w:val="711"/>
    <w:uiPriority w:val="9"/>
    <w:semiHidden/>
    <w:pPr>
      <w:pBdr/>
      <w:spacing/>
      <w:ind/>
    </w:pPr>
    <w:rPr>
      <w:rFonts w:eastAsiaTheme="majorEastAsia" w:cstheme="majorBidi"/>
      <w:color w:val="0f4761" w:themeColor="accent1" w:themeShade="BF"/>
      <w:sz w:val="28"/>
      <w:szCs w:val="28"/>
    </w:rPr>
  </w:style>
  <w:style w:type="character" w:styleId="721" w:customStyle="1">
    <w:name w:val="Heading 4 Char"/>
    <w:basedOn w:val="730"/>
    <w:link w:val="712"/>
    <w:uiPriority w:val="9"/>
    <w:semiHidden/>
    <w:pPr>
      <w:pBdr/>
      <w:spacing/>
      <w:ind/>
    </w:pPr>
    <w:rPr>
      <w:rFonts w:eastAsiaTheme="majorEastAsia" w:cstheme="majorBidi"/>
      <w:i/>
      <w:iCs/>
      <w:color w:val="0f4761" w:themeColor="accent1" w:themeShade="BF"/>
    </w:rPr>
  </w:style>
  <w:style w:type="character" w:styleId="722" w:customStyle="1">
    <w:name w:val="Heading 5 Char"/>
    <w:basedOn w:val="730"/>
    <w:link w:val="713"/>
    <w:uiPriority w:val="9"/>
    <w:semiHidden/>
    <w:pPr>
      <w:pBdr/>
      <w:spacing/>
      <w:ind/>
    </w:pPr>
    <w:rPr>
      <w:rFonts w:eastAsiaTheme="majorEastAsia" w:cstheme="majorBidi"/>
      <w:color w:val="0f4761" w:themeColor="accent1" w:themeShade="BF"/>
    </w:rPr>
  </w:style>
  <w:style w:type="character" w:styleId="723" w:customStyle="1">
    <w:name w:val="Heading 6 Char"/>
    <w:basedOn w:val="730"/>
    <w:link w:val="714"/>
    <w:uiPriority w:val="9"/>
    <w:semiHidden/>
    <w:pPr>
      <w:pBdr/>
      <w:spacing/>
      <w:ind/>
    </w:pPr>
    <w:rPr>
      <w:rFonts w:eastAsiaTheme="majorEastAsia" w:cstheme="majorBidi"/>
      <w:i/>
      <w:iCs/>
      <w:color w:val="595959" w:themeColor="text1" w:themeTint="A6"/>
    </w:rPr>
  </w:style>
  <w:style w:type="character" w:styleId="724" w:customStyle="1">
    <w:name w:val="Heading 7 Char"/>
    <w:basedOn w:val="730"/>
    <w:link w:val="715"/>
    <w:uiPriority w:val="9"/>
    <w:semiHidden/>
    <w:pPr>
      <w:pBdr/>
      <w:spacing/>
      <w:ind/>
    </w:pPr>
    <w:rPr>
      <w:rFonts w:eastAsiaTheme="majorEastAsia" w:cstheme="majorBidi"/>
      <w:color w:val="595959" w:themeColor="text1" w:themeTint="A6"/>
    </w:rPr>
  </w:style>
  <w:style w:type="character" w:styleId="725" w:customStyle="1">
    <w:name w:val="Heading 8 Char"/>
    <w:basedOn w:val="730"/>
    <w:link w:val="716"/>
    <w:uiPriority w:val="9"/>
    <w:semiHidden/>
    <w:pPr>
      <w:pBdr/>
      <w:spacing/>
      <w:ind/>
    </w:pPr>
    <w:rPr>
      <w:rFonts w:eastAsiaTheme="majorEastAsia" w:cstheme="majorBidi"/>
      <w:i/>
      <w:iCs/>
      <w:color w:val="272727" w:themeColor="text1" w:themeTint="D8"/>
    </w:rPr>
  </w:style>
  <w:style w:type="character" w:styleId="726" w:customStyle="1">
    <w:name w:val="Heading 9 Char"/>
    <w:basedOn w:val="730"/>
    <w:link w:val="717"/>
    <w:uiPriority w:val="9"/>
    <w:semiHidden/>
    <w:pPr>
      <w:pBdr/>
      <w:spacing/>
      <w:ind/>
    </w:pPr>
    <w:rPr>
      <w:rFonts w:eastAsiaTheme="majorEastAsia" w:cstheme="majorBidi"/>
      <w:color w:val="272727" w:themeColor="text1" w:themeTint="D8"/>
    </w:rPr>
  </w:style>
  <w:style w:type="paragraph" w:styleId="727">
    <w:name w:val="Block Text"/>
    <w:basedOn w:val="697"/>
    <w:next w:val="697"/>
    <w:uiPriority w:val="9"/>
    <w:unhideWhenUsed/>
    <w:qFormat/>
    <w:pPr>
      <w:pBdr/>
      <w:spacing w:after="100" w:before="100"/>
      <w:ind w:right="480" w:firstLine="0" w:left="480"/>
    </w:pPr>
  </w:style>
  <w:style w:type="paragraph" w:styleId="728">
    <w:name w:val="footnote text"/>
    <w:basedOn w:val="696"/>
    <w:next w:val="728"/>
    <w:uiPriority w:val="9"/>
    <w:unhideWhenUsed/>
    <w:qFormat/>
    <w:pPr>
      <w:pBdr/>
      <w:spacing/>
      <w:ind/>
    </w:pPr>
  </w:style>
  <w:style w:type="paragraph" w:styleId="729">
    <w:name w:val="Footnote Block Text"/>
    <w:basedOn w:val="728"/>
    <w:next w:val="728"/>
    <w:uiPriority w:val="9"/>
    <w:unhideWhenUsed/>
    <w:qFormat/>
    <w:pPr>
      <w:pBdr/>
      <w:spacing w:after="100" w:before="100"/>
      <w:ind w:right="480" w:firstLine="0" w:left="480"/>
    </w:pPr>
  </w:style>
  <w:style w:type="character" w:styleId="730" w:default="1">
    <w:name w:val="Default Paragraph Font"/>
    <w:semiHidden/>
    <w:unhideWhenUsed/>
    <w:pPr>
      <w:pBdr/>
      <w:spacing/>
      <w:ind/>
    </w:pPr>
  </w:style>
  <w:style w:type="table" w:styleId="731">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32" w:customStyle="1">
    <w:name w:val="Definition Term"/>
    <w:basedOn w:val="696"/>
    <w:next w:val="733"/>
    <w:pPr>
      <w:keepNext w:val="true"/>
      <w:keepLines w:val="true"/>
      <w:pBdr/>
      <w:spacing w:after="0"/>
      <w:ind/>
    </w:pPr>
    <w:rPr>
      <w:b/>
    </w:rPr>
  </w:style>
  <w:style w:type="paragraph" w:styleId="733" w:customStyle="1">
    <w:name w:val="Definition"/>
    <w:basedOn w:val="696"/>
    <w:pPr>
      <w:pBdr/>
      <w:spacing/>
      <w:ind/>
    </w:pPr>
  </w:style>
  <w:style w:type="paragraph" w:styleId="734">
    <w:name w:val="Caption"/>
    <w:basedOn w:val="696"/>
    <w:link w:val="739"/>
    <w:pPr>
      <w:pBdr/>
      <w:spacing w:after="120" w:before="0"/>
      <w:ind/>
    </w:pPr>
    <w:rPr>
      <w:i/>
    </w:rPr>
  </w:style>
  <w:style w:type="paragraph" w:styleId="735" w:customStyle="1">
    <w:name w:val="Table Caption"/>
    <w:basedOn w:val="734"/>
    <w:pPr>
      <w:keepNext w:val="true"/>
      <w:pBdr/>
      <w:spacing/>
      <w:ind/>
    </w:pPr>
  </w:style>
  <w:style w:type="paragraph" w:styleId="736" w:customStyle="1">
    <w:name w:val="Image Caption"/>
    <w:basedOn w:val="734"/>
    <w:pPr>
      <w:pBdr/>
      <w:spacing/>
      <w:ind/>
    </w:pPr>
  </w:style>
  <w:style w:type="paragraph" w:styleId="737" w:customStyle="1">
    <w:name w:val="Figure"/>
    <w:basedOn w:val="696"/>
    <w:pPr>
      <w:pBdr/>
      <w:spacing/>
      <w:ind/>
    </w:pPr>
  </w:style>
  <w:style w:type="paragraph" w:styleId="738" w:customStyle="1">
    <w:name w:val="Captioned Figure"/>
    <w:basedOn w:val="737"/>
    <w:pPr>
      <w:keepNext w:val="true"/>
      <w:pBdr/>
      <w:spacing/>
      <w:ind/>
    </w:pPr>
  </w:style>
  <w:style w:type="character" w:styleId="739" w:customStyle="1">
    <w:name w:val="Body Text Char"/>
    <w:basedOn w:val="730"/>
    <w:link w:val="697"/>
    <w:pPr>
      <w:pBdr/>
      <w:spacing/>
      <w:ind/>
    </w:pPr>
  </w:style>
  <w:style w:type="character" w:styleId="740" w:customStyle="1">
    <w:name w:val="Verbatim Char"/>
    <w:basedOn w:val="739"/>
    <w:pPr>
      <w:pBdr/>
      <w:spacing/>
      <w:ind/>
    </w:pPr>
    <w:rPr>
      <w:rFonts w:ascii="Consolas" w:hAnsi="Consolas"/>
      <w:sz w:val="22"/>
    </w:rPr>
  </w:style>
  <w:style w:type="character" w:styleId="741" w:customStyle="1">
    <w:name w:val="Section Number"/>
    <w:basedOn w:val="739"/>
    <w:pPr>
      <w:pBdr/>
      <w:spacing/>
      <w:ind/>
    </w:pPr>
  </w:style>
  <w:style w:type="character" w:styleId="742">
    <w:name w:val="footnote reference"/>
    <w:basedOn w:val="739"/>
    <w:pPr>
      <w:pBdr/>
      <w:spacing/>
      <w:ind/>
    </w:pPr>
    <w:rPr>
      <w:vertAlign w:val="superscript"/>
    </w:rPr>
  </w:style>
  <w:style w:type="character" w:styleId="743">
    <w:name w:val="Hyperlink"/>
    <w:basedOn w:val="739"/>
    <w:pPr>
      <w:pBdr/>
      <w:spacing/>
      <w:ind/>
    </w:pPr>
    <w:rPr>
      <w:color w:val="4f81bd" w:themeColor="accent1"/>
    </w:rPr>
  </w:style>
  <w:style w:type="paragraph" w:styleId="744">
    <w:name w:val="TOC Heading"/>
    <w:basedOn w:val="709"/>
    <w:next w:val="697"/>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45" w:customStyle="1">
    <w:name w:val="Source Code"/>
    <w:basedOn w:val="696"/>
    <w:link w:val="740"/>
    <w:pPr>
      <w:pBdr/>
      <w:spacing/>
      <w:ind/>
    </w:pPr>
  </w:style>
  <w:style w:type="character" w:styleId="746" w:customStyle="1">
    <w:name w:val="KeywordTok"/>
    <w:basedOn w:val="740"/>
    <w:pPr>
      <w:pBdr/>
      <w:spacing/>
      <w:ind/>
    </w:pPr>
    <w:rPr>
      <w:b/>
      <w:color w:val="007020"/>
    </w:rPr>
  </w:style>
  <w:style w:type="character" w:styleId="747" w:customStyle="1">
    <w:name w:val="DataTypeTok"/>
    <w:basedOn w:val="740"/>
    <w:pPr>
      <w:pBdr/>
      <w:spacing/>
      <w:ind/>
    </w:pPr>
    <w:rPr>
      <w:color w:val="902000"/>
    </w:rPr>
  </w:style>
  <w:style w:type="character" w:styleId="748" w:customStyle="1">
    <w:name w:val="DecValTok"/>
    <w:basedOn w:val="740"/>
    <w:pPr>
      <w:pBdr/>
      <w:spacing/>
      <w:ind/>
    </w:pPr>
    <w:rPr>
      <w:color w:val="40a070"/>
    </w:rPr>
  </w:style>
  <w:style w:type="character" w:styleId="749" w:customStyle="1">
    <w:name w:val="BaseNTok"/>
    <w:basedOn w:val="740"/>
    <w:pPr>
      <w:pBdr/>
      <w:spacing/>
      <w:ind/>
    </w:pPr>
    <w:rPr>
      <w:color w:val="40a070"/>
    </w:rPr>
  </w:style>
  <w:style w:type="character" w:styleId="750" w:customStyle="1">
    <w:name w:val="FloatTok"/>
    <w:basedOn w:val="740"/>
    <w:pPr>
      <w:pBdr/>
      <w:spacing/>
      <w:ind/>
    </w:pPr>
    <w:rPr>
      <w:color w:val="40a070"/>
    </w:rPr>
  </w:style>
  <w:style w:type="character" w:styleId="751" w:customStyle="1">
    <w:name w:val="ConstantTok"/>
    <w:basedOn w:val="740"/>
    <w:pPr>
      <w:pBdr/>
      <w:spacing/>
      <w:ind/>
    </w:pPr>
    <w:rPr>
      <w:color w:val="880000"/>
    </w:rPr>
  </w:style>
  <w:style w:type="character" w:styleId="752" w:customStyle="1">
    <w:name w:val="CharTok"/>
    <w:basedOn w:val="740"/>
    <w:pPr>
      <w:pBdr/>
      <w:spacing/>
      <w:ind/>
    </w:pPr>
    <w:rPr>
      <w:color w:val="4070a0"/>
    </w:rPr>
  </w:style>
  <w:style w:type="character" w:styleId="753" w:customStyle="1">
    <w:name w:val="SpecialCharTok"/>
    <w:basedOn w:val="740"/>
    <w:pPr>
      <w:pBdr/>
      <w:spacing/>
      <w:ind/>
    </w:pPr>
    <w:rPr>
      <w:color w:val="4070a0"/>
    </w:rPr>
  </w:style>
  <w:style w:type="character" w:styleId="754" w:customStyle="1">
    <w:name w:val="StringTok"/>
    <w:basedOn w:val="740"/>
    <w:pPr>
      <w:pBdr/>
      <w:spacing/>
      <w:ind/>
    </w:pPr>
    <w:rPr>
      <w:color w:val="4070a0"/>
    </w:rPr>
  </w:style>
  <w:style w:type="character" w:styleId="755" w:customStyle="1">
    <w:name w:val="VerbatimStringTok"/>
    <w:basedOn w:val="740"/>
    <w:pPr>
      <w:pBdr/>
      <w:spacing/>
      <w:ind/>
    </w:pPr>
    <w:rPr>
      <w:color w:val="4070a0"/>
    </w:rPr>
  </w:style>
  <w:style w:type="character" w:styleId="756" w:customStyle="1">
    <w:name w:val="SpecialStringTok"/>
    <w:basedOn w:val="740"/>
    <w:pPr>
      <w:pBdr/>
      <w:spacing/>
      <w:ind/>
    </w:pPr>
    <w:rPr>
      <w:color w:val="bb6688"/>
    </w:rPr>
  </w:style>
  <w:style w:type="character" w:styleId="757" w:customStyle="1">
    <w:name w:val="ImportTok"/>
    <w:basedOn w:val="740"/>
    <w:pPr>
      <w:pBdr/>
      <w:spacing/>
      <w:ind/>
    </w:pPr>
    <w:rPr>
      <w:b/>
      <w:color w:val="008000"/>
    </w:rPr>
  </w:style>
  <w:style w:type="character" w:styleId="758" w:customStyle="1">
    <w:name w:val="CommentTok"/>
    <w:basedOn w:val="740"/>
    <w:pPr>
      <w:pBdr/>
      <w:spacing/>
      <w:ind/>
    </w:pPr>
    <w:rPr>
      <w:i/>
      <w:color w:val="60a0b0"/>
    </w:rPr>
  </w:style>
  <w:style w:type="character" w:styleId="759" w:customStyle="1">
    <w:name w:val="DocumentationTok"/>
    <w:basedOn w:val="740"/>
    <w:pPr>
      <w:pBdr/>
      <w:spacing/>
      <w:ind/>
    </w:pPr>
    <w:rPr>
      <w:i/>
      <w:color w:val="ba2121"/>
    </w:rPr>
  </w:style>
  <w:style w:type="character" w:styleId="760" w:customStyle="1">
    <w:name w:val="AnnotationTok"/>
    <w:basedOn w:val="740"/>
    <w:pPr>
      <w:pBdr/>
      <w:spacing/>
      <w:ind/>
    </w:pPr>
    <w:rPr>
      <w:b/>
      <w:i/>
      <w:color w:val="60a0b0"/>
    </w:rPr>
  </w:style>
  <w:style w:type="character" w:styleId="761" w:customStyle="1">
    <w:name w:val="CommentVarTok"/>
    <w:basedOn w:val="740"/>
    <w:pPr>
      <w:pBdr/>
      <w:spacing/>
      <w:ind/>
    </w:pPr>
    <w:rPr>
      <w:b/>
      <w:i/>
      <w:color w:val="60a0b0"/>
    </w:rPr>
  </w:style>
  <w:style w:type="character" w:styleId="762" w:customStyle="1">
    <w:name w:val="OtherTok"/>
    <w:basedOn w:val="740"/>
    <w:pPr>
      <w:pBdr/>
      <w:spacing/>
      <w:ind/>
    </w:pPr>
    <w:rPr>
      <w:color w:val="007020"/>
    </w:rPr>
  </w:style>
  <w:style w:type="character" w:styleId="763" w:customStyle="1">
    <w:name w:val="FunctionTok"/>
    <w:basedOn w:val="740"/>
    <w:pPr>
      <w:pBdr/>
      <w:spacing/>
      <w:ind/>
    </w:pPr>
    <w:rPr>
      <w:color w:val="06287e"/>
    </w:rPr>
  </w:style>
  <w:style w:type="character" w:styleId="764" w:customStyle="1">
    <w:name w:val="VariableTok"/>
    <w:basedOn w:val="740"/>
    <w:pPr>
      <w:pBdr/>
      <w:spacing/>
      <w:ind/>
    </w:pPr>
    <w:rPr>
      <w:color w:val="19177c"/>
    </w:rPr>
  </w:style>
  <w:style w:type="character" w:styleId="765" w:customStyle="1">
    <w:name w:val="ControlFlowTok"/>
    <w:basedOn w:val="740"/>
    <w:pPr>
      <w:pBdr/>
      <w:spacing/>
      <w:ind/>
    </w:pPr>
    <w:rPr>
      <w:b/>
      <w:color w:val="007020"/>
    </w:rPr>
  </w:style>
  <w:style w:type="character" w:styleId="766" w:customStyle="1">
    <w:name w:val="OperatorTok"/>
    <w:basedOn w:val="740"/>
    <w:pPr>
      <w:pBdr/>
      <w:spacing/>
      <w:ind/>
    </w:pPr>
    <w:rPr>
      <w:color w:val="666666"/>
    </w:rPr>
  </w:style>
  <w:style w:type="character" w:styleId="767" w:customStyle="1">
    <w:name w:val="BuiltInTok"/>
    <w:basedOn w:val="740"/>
    <w:pPr>
      <w:pBdr/>
      <w:spacing/>
      <w:ind/>
    </w:pPr>
    <w:rPr>
      <w:color w:val="008000"/>
    </w:rPr>
  </w:style>
  <w:style w:type="character" w:styleId="768" w:customStyle="1">
    <w:name w:val="ExtensionTok"/>
    <w:basedOn w:val="740"/>
    <w:pPr>
      <w:pBdr/>
      <w:spacing/>
      <w:ind/>
    </w:pPr>
  </w:style>
  <w:style w:type="character" w:styleId="769" w:customStyle="1">
    <w:name w:val="PreprocessorTok"/>
    <w:basedOn w:val="740"/>
    <w:pPr>
      <w:pBdr/>
      <w:spacing/>
      <w:ind/>
    </w:pPr>
    <w:rPr>
      <w:color w:val="bc7a00"/>
    </w:rPr>
  </w:style>
  <w:style w:type="character" w:styleId="770" w:customStyle="1">
    <w:name w:val="AttributeTok"/>
    <w:basedOn w:val="740"/>
    <w:pPr>
      <w:pBdr/>
      <w:spacing/>
      <w:ind/>
    </w:pPr>
    <w:rPr>
      <w:color w:val="7d9029"/>
    </w:rPr>
  </w:style>
  <w:style w:type="character" w:styleId="771" w:customStyle="1">
    <w:name w:val="RegionMarkerTok"/>
    <w:basedOn w:val="740"/>
    <w:pPr>
      <w:pBdr/>
      <w:spacing/>
      <w:ind/>
    </w:pPr>
  </w:style>
  <w:style w:type="character" w:styleId="772" w:customStyle="1">
    <w:name w:val="InformationTok"/>
    <w:basedOn w:val="740"/>
    <w:pPr>
      <w:pBdr/>
      <w:spacing/>
      <w:ind/>
    </w:pPr>
    <w:rPr>
      <w:b/>
      <w:i/>
      <w:color w:val="60a0b0"/>
    </w:rPr>
  </w:style>
  <w:style w:type="character" w:styleId="773" w:customStyle="1">
    <w:name w:val="WarningTok"/>
    <w:basedOn w:val="740"/>
    <w:pPr>
      <w:pBdr/>
      <w:spacing/>
      <w:ind/>
    </w:pPr>
    <w:rPr>
      <w:b/>
      <w:i/>
      <w:color w:val="60a0b0"/>
    </w:rPr>
  </w:style>
  <w:style w:type="character" w:styleId="774" w:customStyle="1">
    <w:name w:val="AlertTok"/>
    <w:basedOn w:val="740"/>
    <w:pPr>
      <w:pBdr/>
      <w:spacing/>
      <w:ind/>
    </w:pPr>
    <w:rPr>
      <w:b/>
      <w:color w:val="ff0000"/>
    </w:rPr>
  </w:style>
  <w:style w:type="character" w:styleId="775" w:customStyle="1">
    <w:name w:val="ErrorTok"/>
    <w:basedOn w:val="740"/>
    <w:pPr>
      <w:pBdr/>
      <w:spacing/>
      <w:ind/>
    </w:pPr>
    <w:rPr>
      <w:b/>
      <w:color w:val="ff0000"/>
    </w:rPr>
  </w:style>
  <w:style w:type="character" w:styleId="776" w:customStyle="1">
    <w:name w:val="NormalTok"/>
    <w:basedOn w:val="740"/>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1</cp:revision>
  <dcterms:created xsi:type="dcterms:W3CDTF">2026-08-03T09:16:53Z</dcterms:created>
  <dcterms:modified xsi:type="dcterms:W3CDTF">2026-08-03T09:19:08Z</dcterms:modified>
</cp:coreProperties>
</file>