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32D" w:rsidRPr="00CB7202" w:rsidRDefault="004F032D" w:rsidP="004F032D">
      <w:pPr>
        <w:spacing w:before="120"/>
        <w:rPr>
          <w:rFonts w:ascii="Arial" w:hAnsi="Arial" w:cs="Arial"/>
          <w:sz w:val="20"/>
          <w:szCs w:val="20"/>
        </w:rPr>
      </w:pPr>
      <w:bookmarkStart w:id="0" w:name="_GoBack"/>
      <w:bookmarkEnd w:id="0"/>
      <w:r w:rsidRPr="00CB7202">
        <w:rPr>
          <w:rFonts w:ascii="Arial" w:hAnsi="Arial" w:cs="Arial"/>
          <w:sz w:val="20"/>
          <w:szCs w:val="20"/>
        </w:rPr>
        <w:t>không thông qua hợp đồng: là số tiền mà chủ đầu tư đề nghị cơ quan kiểm soát, thanh toán thực hiện thanh toán cho chủ đầu tư hoặc đơn vị thực hiện theo dự toán được duyệt (sau khi trừ số tiền thu hồi tạm ứng tại khoản 4 Mẫu số 03a/TT). Trong đó gồm tạm ứng (nếu có) và thanh toán khối lượng hoàn thành.</w:t>
      </w:r>
    </w:p>
    <w:p w:rsidR="004F032D" w:rsidRPr="00CB7202" w:rsidRDefault="004F032D" w:rsidP="004F032D">
      <w:pPr>
        <w:spacing w:before="120"/>
        <w:rPr>
          <w:rFonts w:ascii="Arial" w:hAnsi="Arial" w:cs="Arial"/>
          <w:i/>
          <w:sz w:val="20"/>
          <w:szCs w:val="20"/>
        </w:rPr>
      </w:pPr>
      <w:r w:rsidRPr="00CB7202">
        <w:rPr>
          <w:rFonts w:ascii="Arial" w:hAnsi="Arial" w:cs="Arial"/>
          <w:i/>
          <w:sz w:val="20"/>
          <w:szCs w:val="20"/>
        </w:rPr>
        <w:t>(Lưu ý: Giá trị đề nghị thanh toán lũy kế trong năm kế hoạch đến cuối kỳ này không được vượt kế hoạch vốn đã bố trí cho công việc hoặc dự án trong năm kế hoạch)</w:t>
      </w:r>
    </w:p>
    <w:p w:rsidR="004F032D" w:rsidRPr="00CB7202" w:rsidRDefault="004F032D" w:rsidP="004F032D">
      <w:pPr>
        <w:spacing w:before="120"/>
        <w:rPr>
          <w:rFonts w:ascii="Arial" w:hAnsi="Arial" w:cs="Arial"/>
          <w:b/>
          <w:sz w:val="20"/>
          <w:szCs w:val="20"/>
        </w:rPr>
      </w:pPr>
      <w:r w:rsidRPr="00CB7202">
        <w:rPr>
          <w:rFonts w:ascii="Arial" w:hAnsi="Arial" w:cs="Arial"/>
          <w:b/>
          <w:sz w:val="20"/>
          <w:szCs w:val="20"/>
        </w:rPr>
        <w:t>6. Lũy kế giá trị giải ngân gồm 2 phần:</w:t>
      </w:r>
    </w:p>
    <w:p w:rsidR="004F032D" w:rsidRPr="00CB7202" w:rsidRDefault="004F032D" w:rsidP="004F032D">
      <w:pPr>
        <w:spacing w:before="120"/>
        <w:rPr>
          <w:rFonts w:ascii="Arial" w:hAnsi="Arial" w:cs="Arial"/>
          <w:sz w:val="20"/>
          <w:szCs w:val="20"/>
        </w:rPr>
      </w:pPr>
      <w:r w:rsidRPr="00CB7202">
        <w:rPr>
          <w:rFonts w:ascii="Arial" w:hAnsi="Arial" w:cs="Arial"/>
          <w:sz w:val="20"/>
          <w:szCs w:val="20"/>
        </w:rPr>
        <w:t>- Tạm ứng: Giá trị tạm ứng còn lại chưa thu hồi đến cuối kỳ trước (khoản 1 Mẫu số 03a/TT) trừ thu hồi tạm ứng (khoản 4 Mẫu số 03a/TT) cộng phần tạm ứng (nếu có) của khoản 5 Mẫu số 03a/TT.</w:t>
      </w:r>
    </w:p>
    <w:p w:rsidR="004F032D" w:rsidRPr="00CB7202" w:rsidRDefault="004F032D" w:rsidP="004F032D">
      <w:pPr>
        <w:spacing w:before="120"/>
        <w:rPr>
          <w:rFonts w:ascii="Arial" w:hAnsi="Arial" w:cs="Arial"/>
          <w:sz w:val="20"/>
          <w:szCs w:val="20"/>
        </w:rPr>
      </w:pPr>
      <w:r w:rsidRPr="00CB7202">
        <w:rPr>
          <w:rFonts w:ascii="Arial" w:hAnsi="Arial" w:cs="Arial"/>
          <w:sz w:val="20"/>
          <w:szCs w:val="20"/>
        </w:rPr>
        <w:t>- Thanh toán khối lượng hoàn thành: là số tiền đã thanh toán khối lượng hoàn thành đến hết kỳ trước cộng với thu hồi tạm ứng (khoản 4 Mẫu số 03a/TT), cộng phần thanh toán giá trị khối lượng hoàn thành kỳ này (khoản 5 Mẫu số 03a/TT).</w:t>
      </w:r>
    </w:p>
    <w:p w:rsidR="004F032D" w:rsidRPr="00CB7202" w:rsidRDefault="004F032D" w:rsidP="004F032D">
      <w:pPr>
        <w:spacing w:before="120"/>
        <w:rPr>
          <w:rFonts w:ascii="Arial" w:hAnsi="Arial" w:cs="Arial"/>
          <w:b/>
          <w:sz w:val="20"/>
          <w:szCs w:val="20"/>
        </w:rPr>
      </w:pPr>
      <w:r w:rsidRPr="00CB7202">
        <w:rPr>
          <w:rFonts w:ascii="Arial" w:hAnsi="Arial" w:cs="Arial"/>
          <w:b/>
          <w:sz w:val="20"/>
          <w:szCs w:val="20"/>
        </w:rPr>
        <w:t>7. Đơn vị tiền là ngoại tệ áp dụng đối với dự án đầu tư công tại nước ngoài.</w:t>
      </w:r>
    </w:p>
    <w:p w:rsidR="004F032D" w:rsidRPr="00CB7202" w:rsidRDefault="004F032D" w:rsidP="004F032D">
      <w:pPr>
        <w:spacing w:before="120"/>
        <w:rPr>
          <w:rFonts w:ascii="Arial" w:hAnsi="Arial" w:cs="Arial"/>
          <w:sz w:val="20"/>
          <w:szCs w:val="20"/>
        </w:rPr>
      </w:pPr>
      <w:r w:rsidRPr="00CB7202">
        <w:rPr>
          <w:rFonts w:ascii="Arial" w:hAnsi="Arial" w:cs="Arial"/>
          <w:b/>
          <w:sz w:val="20"/>
          <w:szCs w:val="20"/>
        </w:rPr>
        <w:t>8. Trường hợp chủ đầu tư, ban quản lý dự án trực tiếp quản lý nhiều dự án:</w:t>
      </w:r>
      <w:r w:rsidRPr="00CB7202">
        <w:rPr>
          <w:rFonts w:ascii="Arial" w:hAnsi="Arial" w:cs="Arial"/>
          <w:sz w:val="20"/>
          <w:szCs w:val="20"/>
        </w:rPr>
        <w:t xml:space="preserve"> Chi phí quản lý dự án kê khối lượng công việc quản lý dự án đã thực hiện tương ứng với Dự án.</w:t>
      </w:r>
    </w:p>
    <w:p w:rsidR="004F032D" w:rsidRPr="00CB7202" w:rsidRDefault="004F032D" w:rsidP="004F032D">
      <w:pPr>
        <w:spacing w:before="120"/>
        <w:rPr>
          <w:rFonts w:ascii="Arial" w:hAnsi="Arial" w:cs="Arial"/>
          <w:sz w:val="20"/>
          <w:szCs w:val="20"/>
        </w:rPr>
      </w:pPr>
    </w:p>
    <w:p w:rsidR="004F032D" w:rsidRPr="00CB7202" w:rsidRDefault="004F032D" w:rsidP="004F032D">
      <w:pPr>
        <w:spacing w:before="120"/>
        <w:jc w:val="right"/>
        <w:rPr>
          <w:rFonts w:ascii="Arial" w:hAnsi="Arial" w:cs="Arial"/>
          <w:b/>
          <w:sz w:val="20"/>
          <w:szCs w:val="20"/>
        </w:rPr>
      </w:pPr>
      <w:r w:rsidRPr="00CB7202">
        <w:rPr>
          <w:rFonts w:ascii="Arial" w:hAnsi="Arial" w:cs="Arial"/>
          <w:b/>
          <w:sz w:val="20"/>
          <w:szCs w:val="20"/>
        </w:rPr>
        <w:t>Mẫu số 03.b/TT</w:t>
      </w:r>
    </w:p>
    <w:tbl>
      <w:tblPr>
        <w:tblW w:w="5000" w:type="pct"/>
        <w:tblCellMar>
          <w:left w:w="0" w:type="dxa"/>
          <w:right w:w="0" w:type="dxa"/>
        </w:tblCellMar>
        <w:tblLook w:val="01E0" w:firstRow="1" w:lastRow="1" w:firstColumn="1" w:lastColumn="1" w:noHBand="0" w:noVBand="0"/>
      </w:tblPr>
      <w:tblGrid>
        <w:gridCol w:w="7952"/>
        <w:gridCol w:w="5008"/>
      </w:tblGrid>
      <w:tr w:rsidR="004F032D" w:rsidTr="00BD6FD1">
        <w:tc>
          <w:tcPr>
            <w:tcW w:w="3068" w:type="pct"/>
            <w:shd w:val="clear" w:color="auto" w:fill="auto"/>
          </w:tcPr>
          <w:p w:rsidR="004F032D" w:rsidRDefault="004F032D"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 ĐƠN VỊ, TỔ CHỨC</w:t>
            </w:r>
            <w:r>
              <w:rPr>
                <w:rFonts w:ascii="Arial" w:hAnsi="Arial" w:cs="Arial"/>
                <w:b/>
                <w:bCs/>
                <w:sz w:val="20"/>
                <w:szCs w:val="20"/>
              </w:rPr>
              <w:br/>
              <w:t>LÀM NHIỆM VỤ BỒI THƯỜNG, HỖ TRỢ TÁI ĐỊNH CƯ</w:t>
            </w:r>
          </w:p>
        </w:tc>
        <w:tc>
          <w:tcPr>
            <w:tcW w:w="1932" w:type="pct"/>
            <w:shd w:val="clear" w:color="auto" w:fill="auto"/>
          </w:tcPr>
          <w:p w:rsidR="004F032D" w:rsidRDefault="004F032D" w:rsidP="00BD6FD1">
            <w:pPr>
              <w:widowControl w:val="0"/>
              <w:shd w:val="clear" w:color="auto" w:fill="FFFFFF"/>
              <w:spacing w:before="120"/>
              <w:jc w:val="center"/>
              <w:rPr>
                <w:rFonts w:ascii="Arial" w:hAnsi="Arial" w:cs="Arial"/>
                <w:b/>
                <w:bCs/>
                <w:sz w:val="20"/>
                <w:szCs w:val="20"/>
              </w:rPr>
            </w:pPr>
          </w:p>
        </w:tc>
      </w:tr>
    </w:tbl>
    <w:p w:rsidR="004F032D" w:rsidRPr="00CB7202" w:rsidRDefault="004F032D" w:rsidP="004F032D">
      <w:pPr>
        <w:spacing w:before="120"/>
        <w:jc w:val="center"/>
        <w:rPr>
          <w:rFonts w:ascii="Arial" w:hAnsi="Arial" w:cs="Arial"/>
          <w:b/>
          <w:sz w:val="20"/>
          <w:szCs w:val="20"/>
        </w:rPr>
      </w:pPr>
    </w:p>
    <w:p w:rsidR="004F032D" w:rsidRPr="00CB7202" w:rsidRDefault="004F032D" w:rsidP="004F032D">
      <w:pPr>
        <w:spacing w:before="120"/>
        <w:jc w:val="center"/>
        <w:rPr>
          <w:rFonts w:ascii="Arial" w:hAnsi="Arial" w:cs="Arial"/>
          <w:b/>
          <w:sz w:val="20"/>
          <w:szCs w:val="20"/>
        </w:rPr>
      </w:pPr>
      <w:r w:rsidRPr="00CB7202">
        <w:rPr>
          <w:rFonts w:ascii="Arial" w:hAnsi="Arial" w:cs="Arial"/>
          <w:b/>
          <w:sz w:val="20"/>
          <w:szCs w:val="20"/>
        </w:rPr>
        <w:t>BẢNG KÊ GIÁ TRỊ KHỐI LƯỢNG CÔNG VIỆC BỒI THƯỜNG, HỖ TRỢ, TÁI ĐỊNH CƯ ĐÃ THỰC HIỆN</w:t>
      </w:r>
    </w:p>
    <w:p w:rsidR="004F032D" w:rsidRPr="00CB7202" w:rsidRDefault="004F032D" w:rsidP="004F032D">
      <w:pPr>
        <w:spacing w:before="120"/>
        <w:rPr>
          <w:rFonts w:ascii="Arial" w:hAnsi="Arial" w:cs="Arial"/>
          <w:b/>
          <w:sz w:val="20"/>
          <w:szCs w:val="20"/>
        </w:rPr>
      </w:pPr>
      <w:r w:rsidRPr="00CB7202">
        <w:rPr>
          <w:rFonts w:ascii="Arial" w:hAnsi="Arial" w:cs="Arial"/>
          <w:b/>
          <w:sz w:val="20"/>
          <w:szCs w:val="20"/>
        </w:rPr>
        <w:t>Tên dự án:</w:t>
      </w:r>
    </w:p>
    <w:p w:rsidR="004F032D" w:rsidRPr="00CB7202" w:rsidRDefault="004F032D" w:rsidP="004F032D">
      <w:pPr>
        <w:spacing w:before="120"/>
        <w:rPr>
          <w:rFonts w:ascii="Arial" w:hAnsi="Arial" w:cs="Arial"/>
          <w:b/>
          <w:sz w:val="20"/>
          <w:szCs w:val="20"/>
        </w:rPr>
      </w:pPr>
      <w:r w:rsidRPr="00CB7202">
        <w:rPr>
          <w:rFonts w:ascii="Arial" w:hAnsi="Arial" w:cs="Arial"/>
          <w:b/>
          <w:sz w:val="20"/>
          <w:szCs w:val="20"/>
        </w:rPr>
        <w:t>Mã dự án:</w:t>
      </w:r>
    </w:p>
    <w:p w:rsidR="004F032D" w:rsidRPr="00CB7202" w:rsidRDefault="004F032D" w:rsidP="004F032D">
      <w:pPr>
        <w:spacing w:before="120"/>
        <w:rPr>
          <w:rFonts w:ascii="Arial" w:hAnsi="Arial" w:cs="Arial"/>
          <w:b/>
          <w:sz w:val="20"/>
          <w:szCs w:val="20"/>
        </w:rPr>
      </w:pPr>
      <w:r w:rsidRPr="00CB7202">
        <w:rPr>
          <w:rFonts w:ascii="Arial" w:hAnsi="Arial" w:cs="Arial"/>
          <w:b/>
          <w:sz w:val="20"/>
          <w:szCs w:val="20"/>
        </w:rPr>
        <w:t>Căn cứ Bảng tổng hợp thông tin Phương án bồi thường, hỗ trợ, tái định cư số....</w:t>
      </w:r>
    </w:p>
    <w:p w:rsidR="004F032D" w:rsidRPr="00CB7202" w:rsidRDefault="004F032D" w:rsidP="004F032D">
      <w:pPr>
        <w:spacing w:before="120"/>
        <w:rPr>
          <w:rFonts w:ascii="Arial" w:hAnsi="Arial" w:cs="Arial"/>
          <w:b/>
          <w:sz w:val="20"/>
          <w:szCs w:val="20"/>
        </w:rPr>
      </w:pPr>
      <w:r w:rsidRPr="00CB7202">
        <w:rPr>
          <w:rFonts w:ascii="Arial" w:hAnsi="Arial" w:cs="Arial"/>
          <w:b/>
          <w:sz w:val="20"/>
          <w:szCs w:val="20"/>
        </w:rPr>
        <w:t>Đơn vị, tổ chức thực hiện bồi thường, hỗ trợ tái định cư Thanh toán lần thứ: ...</w:t>
      </w:r>
    </w:p>
    <w:p w:rsidR="004F032D" w:rsidRPr="00CB7202" w:rsidRDefault="004F032D" w:rsidP="004F032D">
      <w:pPr>
        <w:spacing w:before="120"/>
        <w:jc w:val="right"/>
        <w:rPr>
          <w:rFonts w:ascii="Arial" w:hAnsi="Arial" w:cs="Arial"/>
          <w:sz w:val="20"/>
          <w:szCs w:val="20"/>
        </w:rPr>
      </w:pPr>
      <w:r w:rsidRPr="00CB7202">
        <w:rPr>
          <w:rFonts w:ascii="Arial" w:hAnsi="Arial" w:cs="Arial"/>
          <w:sz w:val="20"/>
          <w:szCs w:val="20"/>
        </w:rPr>
        <w:t>Đơn vị: đồng, ngoại tệ</w:t>
      </w:r>
    </w:p>
    <w:tbl>
      <w:tblPr>
        <w:tblW w:w="5000" w:type="pct"/>
        <w:tblCellMar>
          <w:left w:w="0" w:type="dxa"/>
          <w:right w:w="0" w:type="dxa"/>
        </w:tblCellMar>
        <w:tblLook w:val="0000" w:firstRow="0" w:lastRow="0" w:firstColumn="0" w:lastColumn="0" w:noHBand="0" w:noVBand="0"/>
      </w:tblPr>
      <w:tblGrid>
        <w:gridCol w:w="718"/>
        <w:gridCol w:w="3554"/>
        <w:gridCol w:w="1673"/>
        <w:gridCol w:w="1943"/>
        <w:gridCol w:w="1673"/>
        <w:gridCol w:w="1684"/>
        <w:gridCol w:w="1725"/>
      </w:tblGrid>
      <w:tr w:rsidR="004F032D" w:rsidRPr="00CB7202" w:rsidTr="00BD6FD1">
        <w:tc>
          <w:tcPr>
            <w:tcW w:w="277" w:type="pct"/>
            <w:vMerge w:val="restar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STT</w:t>
            </w:r>
          </w:p>
        </w:tc>
        <w:tc>
          <w:tcPr>
            <w:tcW w:w="1370" w:type="pct"/>
            <w:vMerge w:val="restar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Nội dung</w:t>
            </w:r>
          </w:p>
        </w:tc>
        <w:tc>
          <w:tcPr>
            <w:tcW w:w="1394" w:type="pct"/>
            <w:gridSpan w:val="2"/>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Quyết định phê duyệt phương án bồi thường, hỗ trợ, tái định cư</w:t>
            </w:r>
          </w:p>
        </w:tc>
        <w:tc>
          <w:tcPr>
            <w:tcW w:w="645" w:type="pct"/>
            <w:vMerge w:val="restar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Lũy kế số tiền đã chi trả cho đơn vị thụ hưởng đến trước kỳ này</w:t>
            </w:r>
          </w:p>
        </w:tc>
        <w:tc>
          <w:tcPr>
            <w:tcW w:w="649" w:type="pct"/>
            <w:vMerge w:val="restar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Số tiền đã chi trả cho đơn vị thụ hưởng trong kỳ này</w:t>
            </w:r>
          </w:p>
        </w:tc>
        <w:tc>
          <w:tcPr>
            <w:tcW w:w="665" w:type="pct"/>
            <w:vMerge w:val="restart"/>
            <w:tcBorders>
              <w:top w:val="single" w:sz="4" w:space="0" w:color="auto"/>
              <w:left w:val="single" w:sz="4" w:space="0" w:color="auto"/>
              <w:bottom w:val="nil"/>
              <w:right w:val="single" w:sz="4" w:space="0" w:color="auto"/>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Ghi chú</w:t>
            </w:r>
          </w:p>
        </w:tc>
      </w:tr>
      <w:tr w:rsidR="004F032D" w:rsidRPr="00CB7202" w:rsidTr="00BD6FD1">
        <w:tc>
          <w:tcPr>
            <w:tcW w:w="277" w:type="pct"/>
            <w:vMerge/>
            <w:tcBorders>
              <w:top w:val="nil"/>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1370" w:type="pct"/>
            <w:vMerge/>
            <w:tcBorders>
              <w:top w:val="nil"/>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Số ngày, tháng, năm</w:t>
            </w:r>
          </w:p>
        </w:tc>
        <w:tc>
          <w:tcPr>
            <w:tcW w:w="748"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Số tiền</w:t>
            </w:r>
          </w:p>
        </w:tc>
        <w:tc>
          <w:tcPr>
            <w:tcW w:w="645" w:type="pct"/>
            <w:vMerge/>
            <w:tcBorders>
              <w:top w:val="nil"/>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p>
        </w:tc>
        <w:tc>
          <w:tcPr>
            <w:tcW w:w="649" w:type="pct"/>
            <w:vMerge/>
            <w:tcBorders>
              <w:top w:val="nil"/>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65" w:type="pct"/>
            <w:vMerge/>
            <w:tcBorders>
              <w:top w:val="nil"/>
              <w:left w:val="single" w:sz="4" w:space="0" w:color="auto"/>
              <w:bottom w:val="nil"/>
              <w:right w:val="single" w:sz="4" w:space="0" w:color="auto"/>
            </w:tcBorders>
            <w:shd w:val="clear" w:color="auto" w:fill="FFFFFF"/>
            <w:vAlign w:val="center"/>
          </w:tcPr>
          <w:p w:rsidR="004F032D" w:rsidRPr="00CB7202" w:rsidRDefault="004F032D" w:rsidP="00BD6FD1">
            <w:pPr>
              <w:spacing w:before="120"/>
              <w:jc w:val="center"/>
              <w:rPr>
                <w:rFonts w:ascii="Arial" w:hAnsi="Arial" w:cs="Arial"/>
                <w:sz w:val="20"/>
                <w:szCs w:val="20"/>
              </w:rPr>
            </w:pPr>
          </w:p>
        </w:tc>
      </w:tr>
      <w:tr w:rsidR="004F032D" w:rsidRPr="00CB7202" w:rsidTr="00BD6FD1">
        <w:tc>
          <w:tcPr>
            <w:tcW w:w="277"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1</w:t>
            </w:r>
          </w:p>
        </w:tc>
        <w:tc>
          <w:tcPr>
            <w:tcW w:w="1370"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2</w:t>
            </w: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3</w:t>
            </w:r>
          </w:p>
        </w:tc>
        <w:tc>
          <w:tcPr>
            <w:tcW w:w="748"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4</w:t>
            </w: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5</w:t>
            </w:r>
          </w:p>
        </w:tc>
        <w:tc>
          <w:tcPr>
            <w:tcW w:w="649"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6</w:t>
            </w:r>
          </w:p>
        </w:tc>
        <w:tc>
          <w:tcPr>
            <w:tcW w:w="665" w:type="pct"/>
            <w:tcBorders>
              <w:top w:val="single" w:sz="4" w:space="0" w:color="auto"/>
              <w:left w:val="single" w:sz="4" w:space="0" w:color="auto"/>
              <w:bottom w:val="nil"/>
              <w:right w:val="single" w:sz="4" w:space="0" w:color="auto"/>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7</w:t>
            </w:r>
          </w:p>
        </w:tc>
      </w:tr>
      <w:tr w:rsidR="004F032D" w:rsidRPr="00CB7202" w:rsidTr="00BD6FD1">
        <w:tc>
          <w:tcPr>
            <w:tcW w:w="277"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I.</w:t>
            </w:r>
          </w:p>
        </w:tc>
        <w:tc>
          <w:tcPr>
            <w:tcW w:w="1370"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rPr>
                <w:rFonts w:ascii="Arial" w:hAnsi="Arial" w:cs="Arial"/>
                <w:b/>
                <w:sz w:val="20"/>
                <w:szCs w:val="20"/>
              </w:rPr>
            </w:pPr>
            <w:r w:rsidRPr="00CB7202">
              <w:rPr>
                <w:rFonts w:ascii="Arial" w:hAnsi="Arial" w:cs="Arial"/>
                <w:b/>
                <w:sz w:val="20"/>
                <w:szCs w:val="20"/>
              </w:rPr>
              <w:t>Tiền bồi thường, hỗ trợ, tái định cư (gồm chi trả người dân và chi phí khác)</w:t>
            </w: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748"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9"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65" w:type="pct"/>
            <w:tcBorders>
              <w:top w:val="single" w:sz="4" w:space="0" w:color="auto"/>
              <w:left w:val="single" w:sz="4" w:space="0" w:color="auto"/>
              <w:bottom w:val="nil"/>
              <w:right w:val="single" w:sz="4" w:space="0" w:color="auto"/>
            </w:tcBorders>
            <w:shd w:val="clear" w:color="auto" w:fill="FFFFFF"/>
            <w:vAlign w:val="center"/>
          </w:tcPr>
          <w:p w:rsidR="004F032D" w:rsidRPr="00CB7202" w:rsidRDefault="004F032D" w:rsidP="00BD6FD1">
            <w:pPr>
              <w:spacing w:before="120"/>
              <w:rPr>
                <w:rFonts w:ascii="Arial" w:hAnsi="Arial" w:cs="Arial"/>
                <w:sz w:val="20"/>
                <w:szCs w:val="20"/>
              </w:rPr>
            </w:pPr>
            <w:r w:rsidRPr="00CB7202">
              <w:rPr>
                <w:rFonts w:ascii="Arial" w:hAnsi="Arial" w:cs="Arial"/>
                <w:sz w:val="20"/>
                <w:szCs w:val="20"/>
              </w:rPr>
              <w:t>Chi phí thuộc mục 4.1.1 và 4.2.1 tại Bảng tổng hợp thông tin bồi thường, hỗ trợ, tái định cư</w:t>
            </w:r>
          </w:p>
        </w:tc>
      </w:tr>
      <w:tr w:rsidR="004F032D" w:rsidRPr="00CB7202" w:rsidTr="00BD6FD1">
        <w:tc>
          <w:tcPr>
            <w:tcW w:w="277"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1.</w:t>
            </w:r>
          </w:p>
        </w:tc>
        <w:tc>
          <w:tcPr>
            <w:tcW w:w="1370"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rPr>
                <w:rFonts w:ascii="Arial" w:hAnsi="Arial" w:cs="Arial"/>
                <w:sz w:val="20"/>
                <w:szCs w:val="20"/>
              </w:rPr>
            </w:pPr>
            <w:r w:rsidRPr="00CB7202">
              <w:rPr>
                <w:rFonts w:ascii="Arial" w:hAnsi="Arial" w:cs="Arial"/>
                <w:sz w:val="20"/>
                <w:szCs w:val="20"/>
              </w:rPr>
              <w:t>Tổng số tiền thanh toán cho các cơ quan, tổ chức</w:t>
            </w: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748"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9"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65" w:type="pct"/>
            <w:tcBorders>
              <w:top w:val="single" w:sz="4" w:space="0" w:color="auto"/>
              <w:left w:val="single" w:sz="4" w:space="0" w:color="auto"/>
              <w:bottom w:val="nil"/>
              <w:right w:val="single" w:sz="4" w:space="0" w:color="auto"/>
            </w:tcBorders>
            <w:shd w:val="clear" w:color="auto" w:fill="FFFFFF"/>
            <w:vAlign w:val="center"/>
          </w:tcPr>
          <w:p w:rsidR="004F032D" w:rsidRPr="00CB7202" w:rsidRDefault="004F032D" w:rsidP="00BD6FD1">
            <w:pPr>
              <w:spacing w:before="120"/>
              <w:rPr>
                <w:rFonts w:ascii="Arial" w:hAnsi="Arial" w:cs="Arial"/>
                <w:sz w:val="20"/>
                <w:szCs w:val="20"/>
              </w:rPr>
            </w:pPr>
          </w:p>
        </w:tc>
      </w:tr>
      <w:tr w:rsidR="004F032D" w:rsidRPr="00CB7202" w:rsidTr="00BD6FD1">
        <w:tc>
          <w:tcPr>
            <w:tcW w:w="277"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r w:rsidRPr="00CB7202">
              <w:rPr>
                <w:rFonts w:ascii="Arial" w:hAnsi="Arial" w:cs="Arial"/>
                <w:sz w:val="20"/>
                <w:szCs w:val="20"/>
              </w:rPr>
              <w:t>2.</w:t>
            </w:r>
          </w:p>
        </w:tc>
        <w:tc>
          <w:tcPr>
            <w:tcW w:w="1370"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rPr>
                <w:rFonts w:ascii="Arial" w:hAnsi="Arial" w:cs="Arial"/>
                <w:sz w:val="20"/>
                <w:szCs w:val="20"/>
              </w:rPr>
            </w:pPr>
            <w:r w:rsidRPr="00CB7202">
              <w:rPr>
                <w:rFonts w:ascii="Arial" w:hAnsi="Arial" w:cs="Arial"/>
                <w:sz w:val="20"/>
                <w:szCs w:val="20"/>
              </w:rPr>
              <w:t>Tổng số tiền thanh toán trực tiếp cho hộ dân</w:t>
            </w: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748"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5"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9" w:type="pct"/>
            <w:tcBorders>
              <w:top w:val="single" w:sz="4" w:space="0" w:color="auto"/>
              <w:left w:val="single" w:sz="4" w:space="0" w:color="auto"/>
              <w:bottom w:val="nil"/>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65" w:type="pct"/>
            <w:tcBorders>
              <w:top w:val="single" w:sz="4" w:space="0" w:color="auto"/>
              <w:left w:val="single" w:sz="4" w:space="0" w:color="auto"/>
              <w:bottom w:val="nil"/>
              <w:right w:val="single" w:sz="4" w:space="0" w:color="auto"/>
            </w:tcBorders>
            <w:shd w:val="clear" w:color="auto" w:fill="FFFFFF"/>
            <w:vAlign w:val="center"/>
          </w:tcPr>
          <w:p w:rsidR="004F032D" w:rsidRPr="00CB7202" w:rsidRDefault="004F032D" w:rsidP="00BD6FD1">
            <w:pPr>
              <w:spacing w:before="120"/>
              <w:rPr>
                <w:rFonts w:ascii="Arial" w:hAnsi="Arial" w:cs="Arial"/>
                <w:sz w:val="20"/>
                <w:szCs w:val="20"/>
              </w:rPr>
            </w:pPr>
          </w:p>
        </w:tc>
      </w:tr>
      <w:tr w:rsidR="004F032D" w:rsidRPr="00CB7202" w:rsidTr="00BD6FD1">
        <w:tc>
          <w:tcPr>
            <w:tcW w:w="277" w:type="pct"/>
            <w:tcBorders>
              <w:top w:val="single" w:sz="4" w:space="0" w:color="auto"/>
              <w:left w:val="single" w:sz="4" w:space="0" w:color="auto"/>
              <w:bottom w:val="single" w:sz="4" w:space="0" w:color="auto"/>
              <w:right w:val="nil"/>
            </w:tcBorders>
            <w:shd w:val="clear" w:color="auto" w:fill="FFFFFF"/>
            <w:vAlign w:val="center"/>
          </w:tcPr>
          <w:p w:rsidR="004F032D" w:rsidRPr="00CB7202" w:rsidRDefault="004F032D" w:rsidP="00BD6FD1">
            <w:pPr>
              <w:spacing w:before="120"/>
              <w:jc w:val="center"/>
              <w:rPr>
                <w:rFonts w:ascii="Arial" w:hAnsi="Arial" w:cs="Arial"/>
                <w:b/>
                <w:sz w:val="20"/>
                <w:szCs w:val="20"/>
              </w:rPr>
            </w:pPr>
            <w:r w:rsidRPr="00CB7202">
              <w:rPr>
                <w:rFonts w:ascii="Arial" w:hAnsi="Arial" w:cs="Arial"/>
                <w:b/>
                <w:sz w:val="20"/>
                <w:szCs w:val="20"/>
              </w:rPr>
              <w:t>II.</w:t>
            </w:r>
          </w:p>
        </w:tc>
        <w:tc>
          <w:tcPr>
            <w:tcW w:w="1370" w:type="pct"/>
            <w:tcBorders>
              <w:top w:val="single" w:sz="4" w:space="0" w:color="auto"/>
              <w:left w:val="single" w:sz="4" w:space="0" w:color="auto"/>
              <w:bottom w:val="single" w:sz="4" w:space="0" w:color="auto"/>
              <w:right w:val="nil"/>
            </w:tcBorders>
            <w:shd w:val="clear" w:color="auto" w:fill="FFFFFF"/>
            <w:vAlign w:val="center"/>
          </w:tcPr>
          <w:p w:rsidR="004F032D" w:rsidRPr="00CB7202" w:rsidRDefault="004F032D" w:rsidP="00BD6FD1">
            <w:pPr>
              <w:spacing w:before="120"/>
              <w:rPr>
                <w:rFonts w:ascii="Arial" w:hAnsi="Arial" w:cs="Arial"/>
                <w:b/>
                <w:sz w:val="20"/>
                <w:szCs w:val="20"/>
              </w:rPr>
            </w:pPr>
            <w:r w:rsidRPr="00CB7202">
              <w:rPr>
                <w:rFonts w:ascii="Arial" w:hAnsi="Arial" w:cs="Arial"/>
                <w:b/>
                <w:sz w:val="20"/>
                <w:szCs w:val="20"/>
              </w:rPr>
              <w:t>Chi phí khác</w:t>
            </w:r>
          </w:p>
        </w:tc>
        <w:tc>
          <w:tcPr>
            <w:tcW w:w="645" w:type="pct"/>
            <w:tcBorders>
              <w:top w:val="single" w:sz="4" w:space="0" w:color="auto"/>
              <w:left w:val="single" w:sz="4" w:space="0" w:color="auto"/>
              <w:bottom w:val="single" w:sz="4" w:space="0" w:color="auto"/>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748" w:type="pct"/>
            <w:tcBorders>
              <w:top w:val="single" w:sz="4" w:space="0" w:color="auto"/>
              <w:left w:val="single" w:sz="4" w:space="0" w:color="auto"/>
              <w:bottom w:val="single" w:sz="4" w:space="0" w:color="auto"/>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5" w:type="pct"/>
            <w:tcBorders>
              <w:top w:val="single" w:sz="4" w:space="0" w:color="auto"/>
              <w:left w:val="single" w:sz="4" w:space="0" w:color="auto"/>
              <w:bottom w:val="single" w:sz="4" w:space="0" w:color="auto"/>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49" w:type="pct"/>
            <w:tcBorders>
              <w:top w:val="single" w:sz="4" w:space="0" w:color="auto"/>
              <w:left w:val="single" w:sz="4" w:space="0" w:color="auto"/>
              <w:bottom w:val="single" w:sz="4" w:space="0" w:color="auto"/>
              <w:right w:val="nil"/>
            </w:tcBorders>
            <w:shd w:val="clear" w:color="auto" w:fill="FFFFFF"/>
            <w:vAlign w:val="center"/>
          </w:tcPr>
          <w:p w:rsidR="004F032D" w:rsidRPr="00CB7202" w:rsidRDefault="004F032D" w:rsidP="00BD6FD1">
            <w:pPr>
              <w:spacing w:before="120"/>
              <w:jc w:val="center"/>
              <w:rPr>
                <w:rFonts w:ascii="Arial" w:hAnsi="Arial" w:cs="Arial"/>
                <w:sz w:val="20"/>
                <w:szCs w:val="20"/>
              </w:rPr>
            </w:pP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F032D" w:rsidRPr="00CB7202" w:rsidRDefault="004F032D" w:rsidP="00BD6FD1">
            <w:pPr>
              <w:spacing w:before="120"/>
              <w:rPr>
                <w:rFonts w:ascii="Arial" w:hAnsi="Arial" w:cs="Arial"/>
                <w:sz w:val="20"/>
                <w:szCs w:val="20"/>
              </w:rPr>
            </w:pPr>
            <w:r w:rsidRPr="00CB7202">
              <w:rPr>
                <w:rFonts w:ascii="Arial" w:hAnsi="Arial" w:cs="Arial"/>
                <w:sz w:val="20"/>
                <w:szCs w:val="20"/>
              </w:rPr>
              <w:t>Chi phí thuộc mục 4.1.3 và 4.2.3 tại Bảng tổng hợp thông tin bồi thường, hỗ trợ, tái định cư</w:t>
            </w:r>
          </w:p>
        </w:tc>
      </w:tr>
    </w:tbl>
    <w:p w:rsidR="004F032D" w:rsidRPr="00CB7202" w:rsidRDefault="004F032D" w:rsidP="004F032D">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5772"/>
        <w:gridCol w:w="7188"/>
      </w:tblGrid>
      <w:tr w:rsidR="004F032D" w:rsidTr="00BD6FD1">
        <w:tc>
          <w:tcPr>
            <w:tcW w:w="2227" w:type="pct"/>
            <w:shd w:val="clear" w:color="auto" w:fill="auto"/>
          </w:tcPr>
          <w:p w:rsidR="004F032D" w:rsidRDefault="004F032D" w:rsidP="00BD6FD1">
            <w:pPr>
              <w:widowControl w:val="0"/>
              <w:shd w:val="clear" w:color="auto" w:fill="FFFFFF"/>
              <w:spacing w:before="120"/>
              <w:jc w:val="center"/>
              <w:rPr>
                <w:rFonts w:ascii="Arial" w:hAnsi="Arial" w:cs="Arial"/>
                <w:b/>
                <w:bCs/>
                <w:sz w:val="20"/>
                <w:szCs w:val="20"/>
              </w:rPr>
            </w:pPr>
          </w:p>
        </w:tc>
        <w:tc>
          <w:tcPr>
            <w:tcW w:w="2773" w:type="pct"/>
            <w:shd w:val="clear" w:color="auto" w:fill="auto"/>
          </w:tcPr>
          <w:p w:rsidR="004F032D" w:rsidRDefault="004F032D"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 xml:space="preserve">CHỦ ĐẦU TƯ/ ĐƠN VỊ, TỔ CHỨC LÀM NHIỆM VỤ </w:t>
            </w:r>
            <w:r>
              <w:rPr>
                <w:rFonts w:ascii="Arial" w:hAnsi="Arial" w:cs="Arial"/>
                <w:b/>
                <w:bCs/>
                <w:sz w:val="20"/>
                <w:szCs w:val="20"/>
              </w:rPr>
              <w:br/>
              <w:t>BỒI THƯỜNG, HỖ TRỢ, TÁI ĐỊNH CƯ</w:t>
            </w:r>
            <w:r>
              <w:rPr>
                <w:rFonts w:ascii="Arial" w:hAnsi="Arial" w:cs="Arial"/>
                <w:b/>
                <w:bCs/>
                <w:i/>
                <w:sz w:val="20"/>
                <w:szCs w:val="20"/>
              </w:rPr>
              <w:br/>
              <w:t>(Ký, ghi rõ họ tên và đóng dấu)</w:t>
            </w:r>
          </w:p>
        </w:tc>
      </w:tr>
    </w:tbl>
    <w:p w:rsidR="004F032D" w:rsidRPr="00CB7202" w:rsidRDefault="004F032D" w:rsidP="004F032D">
      <w:pPr>
        <w:spacing w:before="120"/>
        <w:rPr>
          <w:rFonts w:ascii="Arial" w:hAnsi="Arial" w:cs="Arial"/>
          <w:sz w:val="20"/>
          <w:szCs w:val="20"/>
        </w:rPr>
      </w:pPr>
    </w:p>
    <w:p w:rsidR="004F032D" w:rsidRPr="00CB7202" w:rsidRDefault="004F032D" w:rsidP="004F032D">
      <w:pPr>
        <w:spacing w:before="120"/>
        <w:jc w:val="center"/>
        <w:rPr>
          <w:rFonts w:ascii="Arial" w:hAnsi="Arial" w:cs="Arial"/>
          <w:b/>
          <w:sz w:val="20"/>
          <w:szCs w:val="20"/>
        </w:rPr>
      </w:pPr>
      <w:r w:rsidRPr="00CB7202">
        <w:rPr>
          <w:rFonts w:ascii="Arial" w:hAnsi="Arial" w:cs="Arial"/>
          <w:b/>
          <w:sz w:val="20"/>
          <w:szCs w:val="20"/>
        </w:rPr>
        <w:t>HƯỚNG DẪN</w:t>
      </w:r>
    </w:p>
    <w:p w:rsidR="004F032D" w:rsidRPr="00CB7202" w:rsidRDefault="004F032D" w:rsidP="004F032D">
      <w:pPr>
        <w:spacing w:before="120"/>
        <w:rPr>
          <w:rFonts w:ascii="Arial" w:hAnsi="Arial" w:cs="Arial"/>
          <w:b/>
          <w:sz w:val="20"/>
          <w:szCs w:val="20"/>
        </w:rPr>
      </w:pPr>
      <w:r w:rsidRPr="00CB7202">
        <w:rPr>
          <w:rFonts w:ascii="Arial" w:hAnsi="Arial" w:cs="Arial"/>
          <w:b/>
          <w:sz w:val="20"/>
          <w:szCs w:val="20"/>
        </w:rPr>
        <w:t>1. Về phương pháp ghi chép:</w:t>
      </w:r>
    </w:p>
    <w:p w:rsidR="004F032D" w:rsidRPr="00CB7202" w:rsidRDefault="004F032D" w:rsidP="004F032D">
      <w:pPr>
        <w:spacing w:before="120"/>
        <w:rPr>
          <w:rFonts w:ascii="Arial" w:hAnsi="Arial" w:cs="Arial"/>
          <w:sz w:val="20"/>
          <w:szCs w:val="20"/>
        </w:rPr>
      </w:pPr>
      <w:r w:rsidRPr="00CB7202">
        <w:rPr>
          <w:rFonts w:ascii="Arial" w:hAnsi="Arial" w:cs="Arial"/>
          <w:sz w:val="20"/>
          <w:szCs w:val="20"/>
        </w:rPr>
        <w:t>Bảng kê giá trị khối lượng bồi thường, hỗ trợ, tái định cư đã thực hiện được lập cho từng dự án. Trường hợp một dự án có nhiều phương án bồi thường được duyệt thì kê theo từng phương án bồi thường được duyệt, trong phạm vi số tiền thanh toán, chi trả cho các đối tượng thụ hưởng, người dân thuộc cùng một dự án. Các nội dung chỉ tiêu (cột 2) ghi theo tổng số.</w:t>
      </w:r>
    </w:p>
    <w:p w:rsidR="00770750" w:rsidRDefault="004F032D" w:rsidP="004F032D">
      <w:r w:rsidRPr="00CB7202">
        <w:rPr>
          <w:rFonts w:ascii="Arial" w:hAnsi="Arial" w:cs="Arial"/>
          <w:b/>
          <w:sz w:val="20"/>
          <w:szCs w:val="20"/>
        </w:rPr>
        <w:t>2. Về chữ</w:t>
      </w:r>
    </w:p>
    <w:sectPr w:rsidR="00770750" w:rsidSect="004F032D">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32D"/>
    <w:rsid w:val="001457CF"/>
    <w:rsid w:val="002209BF"/>
    <w:rsid w:val="004F0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98F39B-B378-4928-B6A1-C36F6590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2026-03-31T10:04:00Z</dcterms:created>
  <dcterms:modified xsi:type="dcterms:W3CDTF">2026-03-31T10:04:00Z</dcterms:modified>
</cp:coreProperties>
</file>