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3CD" w:rsidRPr="00CB7202" w:rsidRDefault="004B73CD" w:rsidP="004B73CD">
      <w:pPr>
        <w:spacing w:before="120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toán).</w:t>
      </w:r>
    </w:p>
    <w:p w:rsidR="004B73CD" w:rsidRPr="00CB7202" w:rsidRDefault="004B73CD" w:rsidP="004B73CD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dự án, công trình: ... Mã dự án đầu tư: ...</w:t>
      </w:r>
    </w:p>
    <w:p w:rsidR="00770750" w:rsidRDefault="004B73CD" w:rsidP="004B73CD">
      <w:r w:rsidRPr="00CB7202">
        <w:rPr>
          <w:rFonts w:ascii="Arial" w:hAnsi="Arial" w:cs="Arial"/>
          <w:sz w:val="20"/>
          <w:szCs w:val="20"/>
        </w:rPr>
        <w:t>Chủ đầu tư/Ban QLDA: ... Mã</w:t>
      </w:r>
    </w:p>
    <w:sectPr w:rsidR="00770750" w:rsidSect="004B73CD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3CD"/>
    <w:rsid w:val="001457CF"/>
    <w:rsid w:val="002209BF"/>
    <w:rsid w:val="004B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09723A-7DC7-4D39-836C-DF8D8B20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