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[CƠ QUAN CHUYÊN MÔN VỀ XÂY DỰNG]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</w:pPr>
      <w:r>
        <w:t>DỰ THẢO PHIẾU THÔNG BÁO BỔ SUNG, HOÀN THIỆN HỒ SƠ</w:t>
      </w:r>
    </w:p>
    <w:p>
      <w:r>
        <w:t>DỮ LIỆU MÔ PHỎNG — KHÔNG CÓ GIÁ TRỊ PHÁP LÝ</w:t>
      </w:r>
    </w:p>
    <w:p>
      <w:r>
        <w:t>Khung nội dung Mẫu số 15, Phụ lục I NĐ 217/2026/NĐ-CP.</w:t>
      </w:r>
    </w:p>
    <w:p>
      <w:r>
        <w:t>Dự án: Trường liên cấp Hương Xuân — hồ sơ mô phỏng</w:t>
      </w:r>
    </w:p>
    <w:p>
      <w:r>
        <w:t>Chưa xác nhận đủ điều kiện; các chỗ trong ngoặc vuông do chuyên viên hoàn thiện từ hồ sơ đã kiểm tra.</w:t>
      </w:r>
    </w:p>
    <w:p>
      <w:r>
        <w:t>Phạm vi pháp lý: đang chờ chuyên viên xác nhận.</w:t>
      </w:r>
    </w:p>
    <w:p>
      <w:r>
        <w:t>Kính gửi: [Cơ quan chuẩn bị dự án].</w:t>
      </w:r>
    </w:p>
    <w:p>
      <w:r>
        <w:t>Tờ trình số [chưa xác nhận], ngày [chưa xác nhận].</w:t>
      </w:r>
    </w:p>
    <w:p>
      <w:r>
        <w:t>Đối chiếu khoản 3 Điều 36 (bổ sung thành phần hồ sơ). Người thụ lý phải xác định đúng giai đoạn và nội dung trước khi phát hành.</w:t>
      </w:r>
    </w:p>
    <w:p>
      <w:r>
        <w:t>Danh sách bên dưới là ứng viên cần rà soát; mục chưa biết điều kiện áp dụng chưa được coi là tài liệu bắt buộc còn thiếu.</w:t>
      </w:r>
    </w:p>
    <w:p>
      <w:pPr>
        <w:pStyle w:val="Heading2"/>
      </w:pPr>
      <w:r>
        <w:t>Nội dung đề xuất cần xác minh</w:t>
      </w:r>
    </w:p>
    <w:p>
      <w:r>
        <w:t>Chủ trương / thông tin dự án / đề án du lịch rừng: Chưa xác định có thuộc trường hợp áp dụng. Xác định loại văn bản phù hợp trường hợp dự án</w:t>
      </w:r>
    </w:p>
    <w:p>
      <w:r>
        <w:t>Căn cứ đối chiếu: điểm a khoản 2 Điều 35 NĐ 217/2026</w:t>
      </w:r>
    </w:p>
    <w:p>
      <w:r>
        <w:t>Giấy tờ đầu tư chuyển tiếp: Chưa xác định có thuộc trường hợp áp dụng. Dự án chuyển tiếp không phải chấp thuận chủ trương</w:t>
      </w:r>
    </w:p>
    <w:p>
      <w:r>
        <w:t>Căn cứ đối chiếu: điểm b khoản 2 Điều 35 NĐ 217/2026</w:t>
      </w:r>
    </w:p>
    <w:p>
      <w:r>
        <w:t>Phương án kiến trúc và bản vẽ được lựa chọn: Chưa xác định có thuộc trường hợp áp dụng. Thuộc diện thi tuyển kiến trúc</w:t>
      </w:r>
    </w:p>
    <w:p>
      <w:r>
        <w:t>Căn cứ đối chiếu: điểm c khoản 2 Điều 35 NĐ 217/2026</w:t>
      </w:r>
    </w:p>
    <w:p>
      <w:r>
        <w:t>Văn bản và bản vẽ quy hoạch làm căn cứ lập dự án: Chưa liên kết tệp chứng cứ. Thành phần cơ bản theo điều khoản</w:t>
      </w:r>
    </w:p>
    <w:p>
      <w:r>
        <w:t>Căn cứ đối chiếu: điểm d khoản 2 Điều 35 NĐ 217/2026</w:t>
      </w:r>
    </w:p>
    <w:p>
      <w:r>
        <w:t>Thỏa thuận đấu nối hạ tầng: Chưa xác định có thuộc trường hợp áp dụng. Có yêu cầu đấu nối và văn bản tương ứng</w:t>
      </w:r>
    </w:p>
    <w:p>
      <w:r>
        <w:t>Căn cứ đối chiếu: điểm đ khoản 2 Điều 35 NĐ 217/2026</w:t>
      </w:r>
    </w:p>
    <w:p>
      <w:r>
        <w:t>Chấp thuận độ cao công trình: Chưa xác định có thuộc trường hợp áp dụng. Thuộc trường hợp phải chấp thuận độ cao, xét ngoại lệ đã có ý kiến khi duyệt quy hoạch</w:t>
      </w:r>
    </w:p>
    <w:p>
      <w:r>
        <w:t>Căn cứ đối chiếu: điểm đ khoản 2 Điều 35 NĐ 217/2026</w:t>
      </w:r>
    </w:p>
    <w:p>
      <w:r>
        <w:t>Tài liệu pháp lý khác liên quan: Chưa xác định có thuộc trường hợp áp dụng. Có yêu cầu theo quy định chuyên ngành hoặc trường hợp dự án</w:t>
      </w:r>
    </w:p>
    <w:p>
      <w:r>
        <w:t>Căn cứ đối chiếu: điểm e khoản 2 Điều 35 NĐ 217/2026</w:t>
      </w:r>
    </w:p>
    <w:p>
      <w:r>
        <w:t>Báo cáo thẩm tra thiết kế theo Mẫu số 02: Chưa xác định có thuộc trường hợp áp dụng. Xét khoản 5 Điều 26 Luật 135/2025 và trường hợp yêu cầu thẩm tra</w:t>
      </w:r>
    </w:p>
    <w:p>
      <w:r>
        <w:t>Căn cứ đối chiếu: điểm h khoản 2 Điều 35 NĐ 217/2026</w:t>
      </w:r>
    </w:p>
    <w:p>
      <w:r>
        <w:t>Chấp thuận danh mục tiêu chuẩn đường sắt: Chưa xác định có thuộc trường hợp áp dụng. Dự án đường sắt có yêu cầu chấp thuận</w:t>
      </w:r>
    </w:p>
    <w:p>
      <w:r>
        <w:t>Căn cứ đối chiếu: điểm i khoản 2 Điều 35 NĐ 217/2026</w:t>
      </w:r>
    </w:p>
    <w:p>
      <w:r>
        <w:t>TMĐT và dữ liệu giá, định mức, báo giá, thẩm định giá nếu có: Chưa xác định có thuộc trường hợp áp dụng. Dự án tại điểm a, b, c khoản 1 Điều 17 Luật 135/2025</w:t>
      </w:r>
    </w:p>
    <w:p>
      <w:r>
        <w:t>Căn cứ đối chiếu: điểm k khoản 2 Điều 35 NĐ 217/2026</w:t>
      </w:r>
    </w:p>
    <w:p>
      <w:r>
        <w:t>Báo cáo hiện trạng, xử phạt và kiểm định chịu lực: Chưa xác định có thuộc trường hợp áp dụng. Khắc phục vi phạm hành chính có yêu cầu thẩm định</w:t>
      </w:r>
    </w:p>
    <w:p>
      <w:r>
        <w:t>Căn cứ đối chiếu: điểm l khoản 2 Điều 35 NĐ 217/2026</w:t>
      </w:r>
    </w:p>
    <w:p>
      <w:r>
        <w:t>Khảo sát hiện trạng và kiểm định khi sửa chữa: Chưa xác định có thuộc trường hợp áp dụng. Sửa chữa/cải tạo; kiểm định khi liên quan chịu lực</w:t>
      </w:r>
    </w:p>
    <w:p>
      <w:r>
        <w:t>Căn cứ đối chiếu: điểm m khoản 2 Điều 35 NĐ 217/2026</w:t>
      </w:r>
    </w:p>
    <w:p>
      <w:pPr>
        <w:pStyle w:val="Heading2"/>
      </w:pPr>
      <w:r>
        <w:t>Thời hạn và xử lý tiếp theo</w:t>
      </w:r>
    </w:p>
    <w:p>
      <w:r>
        <w:t>Khoản 5 Điều 36: thời hạn khắc phục là 20 ngày làm việc từ ngày nhận yêu cầu, không kể thời gian bất khả kháng; hết hạn không bổ sung thì xử lý dừng thẩm định theo quy định.</w:t>
      </w:r>
    </w:p>
    <w:p>
      <w:r>
        <w:t>Bổ sung thành phần trong 05 ngày làm việc từ tiếp nhận, tối đa một lần; tạm dừng theo khoản 4 tối đa một lần. Chưa ghi ngày nhận, ngày hết hạn hoặc tình trạng ban hành trong bản dự thảo này.</w:t>
      </w:r>
    </w:p>
    <w:p>
      <w:r>
        <w:t>Hồ sơ trình lại sau khi đã dừng được tính lại thời hạn theo quy định. Cần lịch nghỉ và dữ liệu tiếp nhận thực tế để tính hạn.</w:t>
      </w:r>
    </w:p>
    <w:p>
      <w:pPr>
        <w:pStyle w:val="Heading2"/>
      </w:pPr>
      <w:r>
        <w:t>Nơi nhận và ký ban hành</w:t>
      </w:r>
    </w:p>
    <w:p>
      <w:r>
        <w:t>[Nơi nhận theo mẫu và thẩm quyền; lưu hồ sơ].</w:t>
      </w:r>
    </w:p>
    <w:p>
      <w:r>
        <w:t>[Chức danh, họ tên người ký — để trống chữ ký và con dấu].</w:t>
      </w:r>
    </w:p>
    <w:p>
      <w:r>
        <w:t>Nguồn cấu trúc biểu mẫu: https://datafiles.chinhphu.vn/cpp/files/vbpq/2026/6/pl217.pdf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