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thiết kế cơ sở mô phỏng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Diện tích sàn A1: 1.800 m²</w:t>
      </w:r>
    </w:p>
    <w:p>
      <w:r>
        <w:t>Diện tích sàn A2: 1.343 m²</w:t>
      </w:r>
    </w:p>
    <w:p>
      <w:r>
        <w:t>Diện tích sàn A3: 2.006 m²</w:t>
      </w:r>
    </w:p>
    <w:p>
      <w:r>
        <w:t>Diện tích sàn A4: 1.712 m²</w:t>
      </w:r>
    </w:p>
    <w:p>
      <w:r>
        <w:t>Diện tích sàn A5: 2.200 m²</w:t>
      </w:r>
    </w:p>
    <w:p>
      <w:r>
        <w:t>Diện tích sàn A6: 2.175 m²</w:t>
      </w:r>
    </w:p>
    <w:p>
      <w:r>
        <w:t>Diện tích sàn B: 2.357 m²</w:t>
      </w:r>
    </w:p>
    <w:p>
      <w:r>
        <w:t>Diện tích sàn C: 1.658 m²</w:t>
      </w:r>
    </w:p>
    <w:p>
      <w:r>
        <w:t>Diện tích sàn D: 1.577 m²</w:t>
      </w:r>
    </w:p>
    <w:p>
      <w:r>
        <w:t>Diện tích sàn G1: 503 m²</w:t>
      </w:r>
    </w:p>
    <w:p>
      <w:r>
        <w:t>Diện tích sàn G2: 220 m²</w:t>
      </w:r>
    </w:p>
    <w:p>
      <w:r>
        <w:t>Dung tích bể hữu ích: 45 m³</w:t>
      </w:r>
    </w:p>
    <w:p>
      <w:r>
        <w:t>Chiều dài ngoài bể: 7,12 m</w:t>
      </w:r>
    </w:p>
    <w:p>
      <w:r>
        <w:t>Chiều rộng ngoài bể: 5,35 m</w:t>
      </w:r>
    </w:p>
    <w:p>
      <w:r>
        <w:t>Chiều cao ngoài bể: 2,25 m</w:t>
      </w:r>
    </w:p>
    <w:p>
      <w:r>
        <w:t>Bố trí khối học, hiệu bộ, nội trú, bếp ăn và hành lang cầu theo tình huống minh họa.</w:t>
      </w:r>
    </w:p>
    <w:p>
      <w:r>
        <w:t>Chưa có bản vẽ đủ tỷ lệ, bảng tính kết cấu, thoát nạn và chữa cháy; không dùng để thi công.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