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năng lực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Đơn vị tư vấn mẫu A: SAMPLE-ORG-001; đơn vị tư vấn mẫu B: SAMPLE-ORG-002.</w:t>
      </w:r>
    </w:p>
    <w:p>
      <w:r>
        <w:t>Nhân sự mẫu A — chủ nhiệm; B — kiến trúc; C — kết cấu; D — MEP; E — chi phí; F — khảo sát.</w:t>
      </w:r>
    </w:p>
    <w:p>
      <w:r>
        <w:t>Chứng chỉ chủ trì MEP: SAMPLE-MEP-002</w:t>
      </w:r>
    </w:p>
    <w:p>
      <w:r>
        <w:t>Chứng chỉ chủ trì khảo sát: SAMPLE-KS-002</w:t>
      </w:r>
    </w:p>
    <w:p>
      <w:r>
        <w:t>Không sử dụng tên/chứng chỉ cá nhân thật. Chưa có chứng chỉ có giá trị pháp lý hoặc kết quả tra cứu.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