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PL04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Quyết định 539/QĐ-UBND ngày 04/03/2026.</w:t>
      </w:r>
    </w:p>
    <w:p>
      <w:r>
        <w:t>Chủ đầu tư mô phỏng: Ban quản lý dự án mẫu.</w:t>
      </w:r>
    </w:p>
    <w:p>
      <w:r>
        <w:t>Phạm vi mô phỏng: tổ chức chuẩn bị đầu tư và tiếp nhận tư vấn.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