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bộ-câu-hỏi-khảo-sát-thực-địa"/>
    <w:p>
      <w:pPr>
        <w:pStyle w:val="Heading1"/>
        <w:spacing w:line="312" w:lineRule="auto" w:before="360" w:after="240"/>
        <w:ind w:left="0" w:firstLine="0"/>
        <w:jc w:val="center"/>
      </w:pPr>
      <w:r>
        <w:rPr>
          <w:rFonts w:ascii="Times New Roman" w:hAnsi="Times New Roman" w:eastAsia="Times New Roman" w:cs="Times New Roman"/>
        </w:rPr>
        <w:t xml:space="preserve">BỘ CÂU HỎI KHẢO SÁT THỰC ĐỊA</w:t>
      </w:r>
    </w:p>
    <w:bookmarkStart w:id="12" w:name="X2b9903efe2267586a2a3e1ca8366a3598dd8933"/>
    <w:p>
      <w:pPr>
        <w:pStyle w:val="Heading2"/>
        <w:spacing w:line="312" w:lineRule="auto" w:before="240" w:after="240"/>
        <w:ind w:left="0" w:firstLine="0"/>
        <w:jc w:val="center"/>
      </w:pPr>
      <w:r>
        <w:rPr>
          <w:rFonts w:ascii="Times New Roman" w:hAnsi="Times New Roman" w:eastAsia="Times New Roman" w:cs="Times New Roman"/>
        </w:rPr>
        <w:t xml:space="preserve">CÔNG NGHỆ &amp; SỐ HÓA (PHÒNG CÔNG NGHỆ THÔNG TIN + TỔ LƯU TRỮ)</w:t>
      </w:r>
    </w:p>
    <w:p>
      <w:pPr>
        <w:pStyle w:val="FirstParagraph"/>
        <w:spacing w:line="312" w:lineRule="auto" w:before="80" w:after="80"/>
        <w:jc w:val="left"/>
      </w:pPr>
      <w:r>
        <w:rPr>
          <w:rFonts w:ascii="Times New Roman" w:hAnsi="Times New Roman" w:eastAsia="Times New Roman" w:cs="Times New Roman"/>
          <w:b/>
          <w:bCs/>
        </w:rPr>
        <w:t xml:space="preserve">THÔNG TIN NGƯỜI TRẢ LỜI KHẢO SÁT:</w:t>
      </w:r>
      <w:r>
        <w:rPr>
          <w:rFonts w:ascii="Times New Roman" w:hAnsi="Times New Roman" w:eastAsia="Times New Roman" w:cs="Times New Roman"/>
        </w:rPr>
        <w:br/>
      </w:r>
      <w:r>
        <w:rPr>
          <w:rFonts w:ascii="Times New Roman" w:hAnsi="Times New Roman" w:eastAsia="Times New Roman" w:cs="Times New Roman"/>
        </w:rPr>
        <w:t xml:space="preserve">Họ và tên cán bộ: ……………………………………………………………………………</w:t>
      </w:r>
      <w:r>
        <w:rPr>
          <w:rFonts w:ascii="Times New Roman" w:hAnsi="Times New Roman" w:eastAsia="Times New Roman" w:cs="Times New Roman"/>
        </w:rPr>
        <w:br/>
      </w:r>
      <w:r>
        <w:rPr>
          <w:rFonts w:ascii="Times New Roman" w:hAnsi="Times New Roman" w:eastAsia="Times New Roman" w:cs="Times New Roman"/>
        </w:rPr>
        <w:t xml:space="preserve">Chức vụ / Bộ phận: ……………………………………………………………………………</w:t>
      </w:r>
      <w:r>
        <w:rPr>
          <w:rFonts w:ascii="Times New Roman" w:hAnsi="Times New Roman" w:eastAsia="Times New Roman" w:cs="Times New Roman"/>
        </w:rPr>
        <w:br/>
      </w:r>
      <w:r>
        <w:rPr>
          <w:rFonts w:ascii="Times New Roman" w:hAnsi="Times New Roman" w:eastAsia="Times New Roman" w:cs="Times New Roman"/>
        </w:rPr>
        <w:t xml:space="preserve">Số điện thoại / Email: ……………………………………………………………………………</w:t>
      </w:r>
    </w:p>
    <w:p>
      <w:pPr>
        <w:spacing w:line="312" w:lineRule="auto" w:before="80" w:after="80"/>
        <w:jc w:val="left"/>
      </w:pPr>
      <w:r>
        <w:rPr>
          <w:rFonts w:ascii="Times New Roman" w:hAnsi="Times New Roman" w:eastAsia="Times New Roman" w:cs="Times New Roman"/>
        </w:rPr>
        <w:pict>
          <v:rect style="width:0;height:1.5pt" o:hralign="center" o:hrstd="t" o:hr="t"/>
        </w:pict>
      </w:r>
    </w:p>
    <w:bookmarkStart w:id="9" w:name="X1adbedaa45cf97cfdd8a3597436165ec4cead26"/>
    <w:p>
      <w:pPr>
        <w:pStyle w:val="Heading3"/>
        <w:spacing w:line="312" w:lineRule="auto" w:before="280" w:after="160"/>
        <w:ind w:left="0" w:firstLine="0"/>
        <w:jc w:val="left"/>
      </w:pPr>
      <w:r>
        <w:rPr>
          <w:rFonts w:ascii="Times New Roman" w:hAnsi="Times New Roman" w:eastAsia="Times New Roman" w:cs="Times New Roman"/>
        </w:rPr>
        <w:t xml:space="preserve">Khối 6A: Mô hình thông tin công trình &amp; Môi trường dữ liệu chung</w:t>
      </w:r>
    </w:p>
    <w:p>
      <w:pPr>
        <w:numPr>
          <w:ilvl w:val="0"/>
          <w:numId w:val="1001"/>
        </w:numPr>
        <w:spacing w:line="312" w:lineRule="auto" w:before="80" w:after="80"/>
        <w:jc w:val="left"/>
      </w:pPr>
      <w:r>
        <w:rPr>
          <w:rFonts w:ascii="Times New Roman" w:hAnsi="Times New Roman" w:eastAsia="Times New Roman" w:cs="Times New Roman"/>
          <w:b/>
          <w:bCs/>
        </w:rPr>
        <w:t xml:space="preserve">Kinh nghiệm thực tế trong ứng dụng Mô hình thông tin công trình (BIM) tại đơn vị:</w:t>
      </w:r>
    </w:p>
    <w:p>
      <w:pPr>
        <w:pStyle w:val="Compact"/>
        <w:numPr>
          <w:ilvl w:val="1"/>
          <w:numId w:val="1002"/>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Khảo sát mức độ tiếp cận công nghệ mô hình 3D thực tế của đơn vị để đưa ra lộ trình tích hợp BIM phù hợp.</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Đã từng yêu cầu nhà thầu nộp mô hình BIM trong hồ sơ mời thầu và nghiệm thu dự án thực tế.</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Chưa áp dụng BIM cho bất kỳ dự án nào, mới dừng lại ở việc thiết kế bản vẽ 2D truyền thống (AutoCAD).</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Đang chuẩn bị thí điểm BIM cho một dự án sắp triển khai.</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1"/>
        </w:numPr>
        <w:spacing w:line="312" w:lineRule="auto" w:before="80" w:after="80"/>
        <w:jc w:val="left"/>
      </w:pPr>
      <w:r>
        <w:rPr>
          <w:rFonts w:ascii="Times New Roman" w:hAnsi="Times New Roman" w:eastAsia="Times New Roman" w:cs="Times New Roman"/>
          <w:b/>
          <w:bCs/>
        </w:rPr>
        <w:t xml:space="preserve">Khó khăn lớn nhất khi trao đổi, chia sẻ tài liệu dự án với các nhà thầu thông qua các kênh không chính thống (Zalo, Email, Drive…) là gì và nhu cầu thiết lập CDE chuyên nghiệp:</w:t>
      </w:r>
    </w:p>
    <w:p>
      <w:pPr>
        <w:pStyle w:val="Compact"/>
        <w:numPr>
          <w:ilvl w:val="1"/>
          <w:numId w:val="1003"/>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Đánh giá rủi ro thất lạc thông tin để đề xuất quy định bắt buộc quản lý tài liệu qua CDE.</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Thường xuyên bị thất lạc tài liệu, khó kiểm soát phiên bản bản vẽ mới nhất dẫn đến nhà thầu thi công sai bản vẽ tại hiện trường.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Rủi ro rò rỉ thông tin dự án hoặc tài liệu thương mại mật của Công ty do bảo mật các kênh Zalo/Email cá nhân kém.</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Quy trình kiểm soát tài liệu giấy song song với bản scan điện tử bị mâu thuẫn, gây quá tải cho bộ phận lưu trữ.</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1"/>
        </w:numPr>
        <w:spacing w:line="312" w:lineRule="auto" w:before="80" w:after="80"/>
        <w:jc w:val="left"/>
      </w:pPr>
      <w:r>
        <w:rPr>
          <w:rFonts w:ascii="Times New Roman" w:hAnsi="Times New Roman" w:eastAsia="Times New Roman" w:cs="Times New Roman"/>
          <w:b/>
          <w:bCs/>
        </w:rPr>
        <w:t xml:space="preserve">Khả năng vận hành và kiểm tra mô hình BIM của nhân sự phòng Kỹ thuật:</w:t>
      </w:r>
    </w:p>
    <w:p>
      <w:pPr>
        <w:pStyle w:val="Compact"/>
        <w:numPr>
          <w:ilvl w:val="1"/>
          <w:numId w:val="1004"/>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Đánh giá năng lực sử dụng phần mềm chuyên dụng của cán bộ làm cơ sở lập chương trình đào tạo kỹ năng BIM.</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Có cán bộ sử dụng thành thạo Revit, Navisworks hoặc phần mềm tương đương để thẩm tra xung đột mô hình.</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Nhân sự chưa có kỹ năng sử dụng phần mềm BIM, chỉ có thể xem mô hình định dạng 3D cơ bản.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Hoàn toàn chưa được tiếp cận hoặc đào tạo về phần mềm BIM.</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1"/>
        </w:numPr>
        <w:spacing w:line="312" w:lineRule="auto" w:before="80" w:after="80"/>
        <w:jc w:val="left"/>
      </w:pPr>
      <w:r>
        <w:rPr>
          <w:rFonts w:ascii="Times New Roman" w:hAnsi="Times New Roman" w:eastAsia="Times New Roman" w:cs="Times New Roman"/>
          <w:b/>
          <w:bCs/>
        </w:rPr>
        <w:t xml:space="preserve">Định hướng rà soát và ứng dụng BIM đối với các dự án đầu tư nhóm B trở lên tại đơn vị:</w:t>
      </w:r>
    </w:p>
    <w:p>
      <w:pPr>
        <w:pStyle w:val="Compact"/>
        <w:numPr>
          <w:ilvl w:val="1"/>
          <w:numId w:val="1005"/>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Thu thập định hướng của lãnh đạo về phương thức triển khai BIM (tự thực hiện hay thuê ngoài toàn bộ) để biên soạn Quy trình quản lý BIM/CDE phù hợp thực tế.</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Đã có kế hoạch cụ thể về việc đào tạo nhân sự và định hướng hạ tầng phần mềm BIM/CDE.</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Mới chỉ có định hướng chung, đang trong quá trình tìm hiểu và lập kế hoạch đào tạo.</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Định hướng thuê ngoài 100% dịch vụ lập và kiểm soát mô hình BIM thông qua nhà thầu tư vấn.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bookmarkEnd w:id="9"/>
    <w:bookmarkStart w:id="10" w:name="Xeafbb49ceb2b25068260a965e219a66e8e737a5"/>
    <w:p>
      <w:pPr>
        <w:pStyle w:val="Heading3"/>
        <w:spacing w:line="312" w:lineRule="auto" w:before="280" w:after="160"/>
        <w:ind w:left="0" w:firstLine="0"/>
        <w:jc w:val="left"/>
      </w:pPr>
      <w:r>
        <w:rPr>
          <w:rFonts w:ascii="Times New Roman" w:hAnsi="Times New Roman" w:eastAsia="Times New Roman" w:cs="Times New Roman"/>
        </w:rPr>
        <w:t xml:space="preserve">Khối 6B: Quy trình số hóa và Lưu trữ hồ sơ hoàn thành (Quy trình 161)</w:t>
      </w:r>
    </w:p>
    <w:p>
      <w:pPr>
        <w:numPr>
          <w:ilvl w:val="0"/>
          <w:numId w:val="1006"/>
        </w:numPr>
        <w:spacing w:line="312" w:lineRule="auto" w:before="80" w:after="80"/>
        <w:jc w:val="left"/>
      </w:pPr>
      <w:r>
        <w:rPr>
          <w:rFonts w:ascii="Times New Roman" w:hAnsi="Times New Roman" w:eastAsia="Times New Roman" w:cs="Times New Roman"/>
          <w:b/>
          <w:bCs/>
        </w:rPr>
        <w:t xml:space="preserve">Hiện trạng hạ tầng lưu trữ và quản lý hồ sơ dự án điện tử (Quy trình 161):</w:t>
      </w:r>
    </w:p>
    <w:p>
      <w:pPr>
        <w:pStyle w:val="Compact"/>
        <w:numPr>
          <w:ilvl w:val="1"/>
          <w:numId w:val="1007"/>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Tối ưu hóa cấu trúc thư mục lưu trữ mạng theo Quy trình 161 để cán bộ dễ dàng tra cứu hồ sơ hoàn công cũ.</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Lưu trữ tập trung trên hệ thống máy chủ nội bộ (Server) hoặc thiết bị NAS của Công ty, cấu trúc thư mục chuẩn theo QT 161.</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Mỗi phòng ban chuyên môn tự lưu trữ trên máy tính cá nhân hoặc ổ cứng mạng riêng, cấu trúc thư mục tự phát.</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Tỷ lệ số hóa hồ sơ dự án hiện nay còn thấp (dưới 30%), chủ yếu vẫn quản lý và tra cứu bằng hồ sơ giấy.</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6"/>
        </w:numPr>
        <w:spacing w:line="312" w:lineRule="auto" w:before="80" w:after="80"/>
        <w:jc w:val="left"/>
      </w:pPr>
      <w:r>
        <w:rPr>
          <w:rFonts w:ascii="Times New Roman" w:hAnsi="Times New Roman" w:eastAsia="Times New Roman" w:cs="Times New Roman"/>
          <w:b/>
          <w:bCs/>
        </w:rPr>
        <w:t xml:space="preserve">Khả năng ứng dụng Nhật ký thi công điện tử và Biên bản nghiệm thu điện tử (có chữ ký số):</w:t>
      </w:r>
    </w:p>
    <w:p>
      <w:pPr>
        <w:pStyle w:val="Compact"/>
        <w:numPr>
          <w:ilvl w:val="1"/>
          <w:numId w:val="1008"/>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Cắt giảm việc in ấn hồ sơ giấy đồ sộ bằng cách chuyển đổi sang biên bản điện tử có chữ ký số.</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Hạ tầng CNTT của Công ty hoàn toàn đáp ứng và cán bộ sẵn sàng sử dụng chữ ký số để ký biên bản điện tử.</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Hạ tầng chưa sẵn sàng, đồng thời nhà thầu cũng chưa quen việc sử dụng chữ ký số trên công trường.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Gặp vướng mắc pháp lý về mặt công nhận tính pháp lý của nhật ký thi công điện tử trong hồ sơ quyết toán hoàn thành.</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6"/>
        </w:numPr>
        <w:spacing w:line="312" w:lineRule="auto" w:before="80" w:after="80"/>
        <w:jc w:val="left"/>
      </w:pPr>
      <w:r>
        <w:rPr>
          <w:rFonts w:ascii="Times New Roman" w:hAnsi="Times New Roman" w:eastAsia="Times New Roman" w:cs="Times New Roman"/>
          <w:b/>
          <w:bCs/>
        </w:rPr>
        <w:t xml:space="preserve">Đánh giá dung lượng và độ an toàn của hệ thống lưu trữ điện tử hồ sơ hoàn thành (thời hạn 5-10 năm):</w:t>
      </w:r>
    </w:p>
    <w:p>
      <w:pPr>
        <w:pStyle w:val="Compact"/>
        <w:numPr>
          <w:ilvl w:val="1"/>
          <w:numId w:val="1009"/>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Đề xuất phương án sao lưu dự phòng (backup) tự động và nâng cấp dung lượng máy chủ lưu trữ hồ sơ công trình lâu dài.</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Hệ thống máy chủ có dung lượng lớn, backup định kỳ và bảo đảm an toàn dữ liệu tuyệt đối.</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Dung lượng máy chủ nội bộ sắp quá tải, cần đầu tư nâng cấp hoặc chuyển hướng sang lưu trữ đám mây (Cloud).</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Chưa có cơ chế backup tự động, nguy cơ mất dữ liệu khi gặp sự cố phần cứng.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bookmarkEnd w:id="10"/>
    <w:bookmarkStart w:id="11" w:name="X2fe930050c4d04958d2222c8c855de373ec3031"/>
    <w:p>
      <w:pPr>
        <w:pStyle w:val="Heading3"/>
        <w:spacing w:line="312" w:lineRule="auto" w:before="280" w:after="160"/>
        <w:ind w:left="0" w:firstLine="0"/>
        <w:jc w:val="left"/>
      </w:pPr>
      <w:r>
        <w:rPr>
          <w:rFonts w:ascii="Times New Roman" w:hAnsi="Times New Roman" w:eastAsia="Times New Roman" w:cs="Times New Roman"/>
        </w:rPr>
        <w:t xml:space="preserve">Khối 6C: Đánh giá phương án tổ chức Ban QLDA — Chuyển đổi số &amp; Công nghệ</w:t>
      </w:r>
      <w:r>
        <w:rPr>
          <w:rFonts w:ascii="Times New Roman" w:hAnsi="Times New Roman" w:eastAsia="Times New Roman" w:cs="Times New Roman"/>
        </w:rPr>
        <w:t xml:space="preserve"> </w:t>
      </w:r>
      <w:r>
        <w:rPr>
          <w:rFonts w:ascii="Times New Roman" w:hAnsi="Times New Roman" w:eastAsia="Times New Roman" w:cs="Times New Roman"/>
          <w:i/>
          <w:iCs/>
        </w:rPr>
        <w:t xml:space="preserve">(Ánh xạ Bảng chấm điểm 6.2)</w:t>
      </w:r>
    </w:p>
    <w:p>
      <w:pPr>
        <w:numPr>
          <w:ilvl w:val="0"/>
          <w:numId w:val="1010"/>
        </w:numPr>
        <w:spacing w:line="312" w:lineRule="auto" w:before="80" w:after="80"/>
        <w:jc w:val="left"/>
      </w:pPr>
      <w:r>
        <w:rPr>
          <w:rFonts w:ascii="Times New Roman" w:hAnsi="Times New Roman" w:eastAsia="Times New Roman" w:cs="Times New Roman"/>
          <w:b/>
          <w:bCs/>
        </w:rPr>
        <w:t xml:space="preserve">[TC-09] Đánh giá thời gian cần thiết để Ban QLDA có thể vận hành Môi trường Dữ liệu Chung (CDE) nếu tự triển khai nội bộ (Phương án 1) so với thuê tư vấn QLDA chuyên nghiệp đã có hạ tầng CDE sẵn (Phương án 3):</w:t>
      </w:r>
    </w:p>
    <w:p>
      <w:pPr>
        <w:pStyle w:val="Compact"/>
        <w:numPr>
          <w:ilvl w:val="1"/>
          <w:numId w:val="1011"/>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So sánh tốc độ triển khai CDE giữa tự lực (phụ thuộc hạ tầng CNTT Công ty) và thuê ngoài (dùng hạ tầng của tư vấn).</w:t>
      </w:r>
    </w:p>
    <w:p>
      <w:pPr>
        <w:pStyle w:val="Compact"/>
        <w:numPr>
          <w:ilvl w:val="1"/>
          <w:numId w:val="1011"/>
        </w:numPr>
        <w:spacing w:line="312" w:lineRule="auto" w:before="80" w:after="80"/>
        <w:jc w:val="left"/>
      </w:pPr>
      <w:r>
        <w:rPr>
          <w:rFonts w:ascii="Times New Roman" w:hAnsi="Times New Roman" w:eastAsia="Times New Roman" w:cs="Times New Roman"/>
          <w:i/>
          <w:iCs/>
        </w:rPr>
        <w:t xml:space="preserve">Tiêu chí chấm điểm:</w:t>
      </w:r>
      <w:r>
        <w:rPr>
          <w:rFonts w:ascii="Times New Roman" w:hAnsi="Times New Roman" w:eastAsia="Times New Roman" w:cs="Times New Roman"/>
        </w:rPr>
        <w:t xml:space="preserve"> </w:t>
      </w:r>
      <w:r>
        <w:rPr>
          <w:rFonts w:ascii="Times New Roman" w:hAnsi="Times New Roman" w:eastAsia="Times New Roman" w:cs="Times New Roman"/>
        </w:rPr>
        <w:t xml:space="preserve">TC-09 — Sẵn sàng triển khai CDE/BIM (Trọng số: 6%)</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Tự triển khai: cần 6–12 tháng chuẩn bị (mua phần mềm, thiết lập máy chủ, đào tạo nhân sự).</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Tự triển khai: cần 12–18 tháng do hạ tầng CNTT hiện tại chưa đáp ứng.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Thuê tư vấn QLDA chuyên nghiệp có sẵn CDE: có thể vận hành ngay trong 1–3 tháng.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10"/>
        </w:numPr>
        <w:spacing w:line="312" w:lineRule="auto" w:before="80" w:after="80"/>
        <w:jc w:val="left"/>
      </w:pPr>
      <w:r>
        <w:rPr>
          <w:rFonts w:ascii="Times New Roman" w:hAnsi="Times New Roman" w:eastAsia="Times New Roman" w:cs="Times New Roman"/>
          <w:b/>
          <w:bCs/>
        </w:rPr>
        <w:t xml:space="preserve">[TC-10] Định hướng của Công ty về hệ thống quản lý điện tử (ERP/e-workflow) cho công tác quản lý dự án đầu tư xây dựng trong tương lai:</w:t>
      </w:r>
    </w:p>
    <w:p>
      <w:pPr>
        <w:pStyle w:val="Compact"/>
        <w:numPr>
          <w:ilvl w:val="1"/>
          <w:numId w:val="1012"/>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Xác định lộ trình xây dựng hệ thống ERP/e-workflow quản lý dự án (chưa triển khai) để đánh giá mức độ tương thích của từng phương án tổ chức khi ERP được phát triển.</w:t>
      </w:r>
    </w:p>
    <w:p>
      <w:pPr>
        <w:pStyle w:val="Compact"/>
        <w:numPr>
          <w:ilvl w:val="1"/>
          <w:numId w:val="1012"/>
        </w:numPr>
        <w:spacing w:line="312" w:lineRule="auto" w:before="80" w:after="80"/>
        <w:jc w:val="left"/>
      </w:pPr>
      <w:r>
        <w:rPr>
          <w:rFonts w:ascii="Times New Roman" w:hAnsi="Times New Roman" w:eastAsia="Times New Roman" w:cs="Times New Roman"/>
          <w:i/>
          <w:iCs/>
        </w:rPr>
        <w:t xml:space="preserve">Tiêu chí chấm điểm:</w:t>
      </w:r>
      <w:r>
        <w:rPr>
          <w:rFonts w:ascii="Times New Roman" w:hAnsi="Times New Roman" w:eastAsia="Times New Roman" w:cs="Times New Roman"/>
        </w:rPr>
        <w:t xml:space="preserve"> </w:t>
      </w:r>
      <w:r>
        <w:rPr>
          <w:rFonts w:ascii="Times New Roman" w:hAnsi="Times New Roman" w:eastAsia="Times New Roman" w:cs="Times New Roman"/>
        </w:rPr>
        <w:t xml:space="preserve">TC-10 — Tích hợp ERP/e-workflow (Trọng số: 5%)</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Công ty đã có kế hoạch cụ thể xây dựng hệ thống ERP tích hợp quản lý dự án trong 1–2 năm tới — ưu tiên phương án tổ chức Ban QLDA dễ tích hợp nhất.</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Có định hướng nhưng chưa có kế hoạch và ngân sách cụ thể — ERP là mục tiêu trung hạn (3–5 năm).</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Chưa có định hướng rõ ràng — ưu tiên giải quyết vấn đề tổ chức trước, ERP tính sau.</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10"/>
        </w:numPr>
        <w:spacing w:line="312" w:lineRule="auto" w:before="80" w:after="80"/>
        <w:jc w:val="left"/>
      </w:pPr>
      <w:r>
        <w:rPr>
          <w:rFonts w:ascii="Times New Roman" w:hAnsi="Times New Roman" w:eastAsia="Times New Roman" w:cs="Times New Roman"/>
          <w:b/>
          <w:bCs/>
        </w:rPr>
        <w:t xml:space="preserve">[TC-10] Hiện tại, luồng phê duyệt hồ sơ dự án (từ Ban QLDA lên TGĐ) đang thực hiện bằng hình thức nào?</w:t>
      </w:r>
    </w:p>
    <w:p>
      <w:pPr>
        <w:pStyle w:val="Compact"/>
        <w:numPr>
          <w:ilvl w:val="1"/>
          <w:numId w:val="1013"/>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Đánh giá mức độ sẵn sàng chuyển đổi sang luồng phê duyệt điện tử (e-workflow) — Ban QLDA trực thuộc (PA1) sẽ tích hợp liền mạch nhất vào hệ thống e-workflow chung của Công ty.</w:t>
      </w:r>
    </w:p>
    <w:p>
      <w:pPr>
        <w:pStyle w:val="Compact"/>
        <w:numPr>
          <w:ilvl w:val="1"/>
          <w:numId w:val="1013"/>
        </w:numPr>
        <w:spacing w:line="312" w:lineRule="auto" w:before="80" w:after="80"/>
        <w:jc w:val="left"/>
      </w:pPr>
      <w:r>
        <w:rPr>
          <w:rFonts w:ascii="Times New Roman" w:hAnsi="Times New Roman" w:eastAsia="Times New Roman" w:cs="Times New Roman"/>
          <w:i/>
          <w:iCs/>
        </w:rPr>
        <w:t xml:space="preserve">Tiêu chí chấm điểm:</w:t>
      </w:r>
      <w:r>
        <w:rPr>
          <w:rFonts w:ascii="Times New Roman" w:hAnsi="Times New Roman" w:eastAsia="Times New Roman" w:cs="Times New Roman"/>
        </w:rPr>
        <w:t xml:space="preserve"> </w:t>
      </w:r>
      <w:r>
        <w:rPr>
          <w:rFonts w:ascii="Times New Roman" w:hAnsi="Times New Roman" w:eastAsia="Times New Roman" w:cs="Times New Roman"/>
        </w:rPr>
        <w:t xml:space="preserve">TC-10 — Tích hợp ERP/e-workflow (Trọng số: 5%)</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100% hồ sơ giấy, trình ký tay, luân chuyển vật lý giữa các phòng ban.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Kết hợp: hồ sơ giấy + email trao đổi + scan gửi qua mạng nội bộ, nhưng bản gốc vẫn ký tay.</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Đã có phần mềm quản lý văn bản/trình ký điện tử (ví dụ: VNPT iOffice, Viettel eOffice) cho một số loại hồ sơ.</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pStyle w:val="FirstParagraph"/>
        <w:spacing w:line="312" w:lineRule="auto" w:before="80" w:after="80"/>
        <w:jc w:val="left"/>
      </w:pPr>
      <w:r>
        <w:rPr>
          <w:rFonts w:ascii="Times New Roman" w:hAnsi="Times New Roman" w:eastAsia="Times New Roman" w:cs="Times New Roman"/>
        </w:rPr>
        <w:t xml:space="preserve">….</w:t>
      </w:r>
    </w:p>
    <w:bookmarkEnd w:id="11"/>
    <w:bookmarkEnd w:id="12"/>
    <w:bookmarkEnd w:id="13"/>
    <w:sectPr>
      <w:footnotePr>
        <w:numRestart w:val="eachSect"/>
      </w:footnotePr>
      <w:pgSz w:w="11906" w:h="16838"/>
      <w:pgMar w:top="1134" w:bottom="1134" w:left="1417"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1"/>
  </w:num>
  <w:num w:numId="1008">
    <w:abstractNumId w:val="991"/>
  </w:num>
  <w:num w:numId="1009">
    <w:abstractNumId w:val="991"/>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80" w:after="80" w:line="312" w:lineRule="auto"/>
      <w:ind w:firstLine="0"/>
      <w:jc w:val="left"/>
    </w:pPr>
    <w:rPr>
      <w:rFonts w:ascii="Times New Roman" w:hAnsi="Times New Roman" w:eastAsia="Times New Roman" w:cs="Times New Roman"/>
      <w:color w:val="000000"/>
      <w:sz w:val="26"/>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240"/>
      <w:jc w:val="center"/>
      <w:outlineLvl w:val="0"/>
    </w:pPr>
    <w:rPr>
      <w:rFonts w:asciiTheme="majorHAnsi" w:cstheme="majorBidi" w:eastAsiaTheme="majorEastAsia" w:hAnsiTheme="majorHAnsi" w:ascii="Times New Roman" w:hAnsi="Times New Roman" w:eastAsia="Times New Roman" w:cs="Times New Roman"/>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60" w:before="160"/>
      <w:jc w:val="center"/>
      <w:outlineLvl w:val="1"/>
    </w:pPr>
    <w:rPr>
      <w:rFonts w:asciiTheme="majorHAnsi" w:cstheme="majorBidi" w:eastAsiaTheme="majorEastAsia" w:hAnsiTheme="majorHAnsi" w:ascii="Times New Roman" w:hAnsi="Times New Roman" w:eastAsia="Times New Roman" w:cs="Times New Roman"/>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jc w:val="left"/>
      <w:outlineLvl w:val="2"/>
    </w:pPr>
    <w:rPr>
      <w:rFonts w:cstheme="majorBidi" w:eastAsiaTheme="majorEastAsia" w:ascii="Times New Roman" w:hAnsi="Times New Roman" w:eastAsia="Times New Roman" w:cs="Times New Roman"/>
      <w:b/>
      <w:color w:val="000000"/>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2026-06-16T16:43:39Z</dcterms:created>
  <dcterms:modified xsi:type="dcterms:W3CDTF">2026-06-16T16:43:39Z</dcterms:modified>
</cp:coreProperties>
</file>

<file path=docProps/custom.xml><?xml version="1.0" encoding="utf-8"?>
<Properties xmlns="http://schemas.openxmlformats.org/officeDocument/2006/custom-properties" xmlns:vt="http://schemas.openxmlformats.org/officeDocument/2006/docPropsVTypes"/>
</file>