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3E6F"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5D5D20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6E869F5"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2D35B40C" w14:textId="77777777" w:rsidR="00EA5809" w:rsidRDefault="00EA5809">
      <w:pPr>
        <w:jc w:val="center"/>
        <w:rPr>
          <w:rFonts w:ascii="Times New Roman" w:eastAsia="Times New Roman" w:hAnsi="Times New Roman" w:cs="Times New Roman"/>
          <w:b/>
          <w:bCs/>
          <w:color w:val="000000"/>
          <w:sz w:val="28"/>
          <w:szCs w:val="28"/>
        </w:rPr>
      </w:pPr>
    </w:p>
    <w:p w14:paraId="0048F440"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09CEDE1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602B03F4"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Rà soát, tái cấu trúc và chuẩn hóa hệ thống quản trị đầu tư xây dựng VICEM Hà Tiên theo quy định pháp luật hiện hành và quy định quản trị của VICEM</w:t>
      </w:r>
    </w:p>
    <w:p w14:paraId="6D43898F" w14:textId="77777777" w:rsidR="00C16B2B" w:rsidRDefault="00C16B2B">
      <w:pPr>
        <w:jc w:val="both"/>
        <w:rPr>
          <w:rFonts w:ascii="Times New Roman" w:eastAsia="Times New Roman" w:hAnsi="Times New Roman" w:cs="Times New Roman"/>
          <w:color w:val="000000"/>
          <w:sz w:val="28"/>
          <w:szCs w:val="28"/>
        </w:rPr>
      </w:pPr>
    </w:p>
    <w:p w14:paraId="53013360"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701CD09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1C7B7EE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48C077E7"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1AC4A8CB"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058C3F5A"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0671DBC"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3EEC9E6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3C6254B1" w14:textId="77777777">
        <w:tc>
          <w:tcPr>
            <w:tcW w:w="1668" w:type="dxa"/>
          </w:tcPr>
          <w:p w14:paraId="168669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D7A07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0D8EB28B"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36642EC0"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53E1D78C" w14:textId="77777777">
        <w:tc>
          <w:tcPr>
            <w:tcW w:w="1668" w:type="dxa"/>
          </w:tcPr>
          <w:p w14:paraId="2357D5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B9644B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4ED81D1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463E3AD1" w14:textId="77777777">
        <w:tc>
          <w:tcPr>
            <w:tcW w:w="1668" w:type="dxa"/>
          </w:tcPr>
          <w:p w14:paraId="1A16F2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7D72122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1C2EB0B8"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31EC1FC9" w14:textId="77777777">
        <w:tc>
          <w:tcPr>
            <w:tcW w:w="1668" w:type="dxa"/>
          </w:tcPr>
          <w:p w14:paraId="5C6331B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64768EB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34D275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4A8C254E"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487044D6" w14:textId="77777777">
        <w:tc>
          <w:tcPr>
            <w:tcW w:w="1668" w:type="dxa"/>
            <w:tcBorders>
              <w:top w:val="nil"/>
              <w:left w:val="nil"/>
              <w:bottom w:val="nil"/>
              <w:right w:val="nil"/>
            </w:tcBorders>
            <w:vAlign w:val="center"/>
          </w:tcPr>
          <w:p w14:paraId="7D7FFF8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327A778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1F47F9D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274977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2226C400" w14:textId="77777777">
        <w:trPr>
          <w:trHeight w:val="448"/>
        </w:trPr>
        <w:tc>
          <w:tcPr>
            <w:tcW w:w="1668" w:type="dxa"/>
            <w:tcBorders>
              <w:top w:val="nil"/>
              <w:left w:val="nil"/>
              <w:bottom w:val="nil"/>
              <w:right w:val="nil"/>
            </w:tcBorders>
            <w:vAlign w:val="center"/>
          </w:tcPr>
          <w:p w14:paraId="160DB2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267BA8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70FFD8A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0A58C1B0" w14:textId="77777777">
        <w:trPr>
          <w:trHeight w:val="100"/>
        </w:trPr>
        <w:tc>
          <w:tcPr>
            <w:tcW w:w="1668" w:type="dxa"/>
            <w:tcBorders>
              <w:top w:val="nil"/>
              <w:left w:val="nil"/>
              <w:bottom w:val="nil"/>
              <w:right w:val="nil"/>
            </w:tcBorders>
            <w:vAlign w:val="center"/>
          </w:tcPr>
          <w:p w14:paraId="443A054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00EA118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2EAEFE26"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04BFBF0D" w14:textId="77777777">
        <w:trPr>
          <w:trHeight w:val="100"/>
        </w:trPr>
        <w:tc>
          <w:tcPr>
            <w:tcW w:w="1668" w:type="dxa"/>
            <w:tcBorders>
              <w:top w:val="nil"/>
              <w:left w:val="nil"/>
              <w:bottom w:val="nil"/>
              <w:right w:val="nil"/>
            </w:tcBorders>
            <w:vAlign w:val="center"/>
          </w:tcPr>
          <w:p w14:paraId="0A0B3FA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6C9619D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556AFED9"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4B10FEA2"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thỏa thuận ký kết hợp đồng với những điều khoản sau:</w:t>
      </w:r>
    </w:p>
    <w:p w14:paraId="66056D6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9441A55"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44B3150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2539B76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323CF348"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674DF25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3456BDA3"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7EB5DB5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21ADBE7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2170343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688F23A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56578E11"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77F1F8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18CB5DB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Rà soát, tái cấu trúc và chuẩn hóa hệ thống quản trị đầu tư xây dựng VICEM Hà Tiên theo quy định pháp luật hiện hành và quy định quản trị của VICEM”.</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14:paraId="4CD747AA"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79E52D34"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68042C09" w14:textId="77777777"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Mô hình tổ chức quản trị đầu tư xây dựng mới của VICEM Hà Tiên phù hợp với Luật Xây dựng số 135/2025/QH15 ngày 10/12/2025; Luật số 68/2025/QH15 ngày 14/6/2025; các văn bản pháp luật khác có liên quan; đồng thời phù hợp với định hướng phát triển của VICEM Hà Tiên (kèm sơ đồ tổ chức, ma trận chức năng, ma trận RACI)</w:t>
      </w:r>
      <w:bookmarkEnd w:id="1"/>
      <w:r>
        <w:rPr>
          <w:rFonts w:ascii="Times New Roman" w:eastAsia="Times New Roman" w:hAnsi="Times New Roman" w:cs="Times New Roman"/>
          <w:color w:val="0000CC"/>
          <w:sz w:val="26"/>
          <w:szCs w:val="26"/>
        </w:rPr>
        <w:t>.</w:t>
      </w:r>
    </w:p>
    <w:p w14:paraId="031A30C3" w14:textId="77777777"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mới của VICEM Hà Tiên (gồm 08 quy chế nội bộ: quản lý ĐTXD; quản lý chi phí đầu tư; đấu thầu; quản lý hợp đồng; nghiệm thu – bàn giao; quyết toán vốn đầu tư; phân cấp, phân quyền ĐTXD; kiểm soát nội bộ dự án), kèm hệ thống biểu mẫu chuẩn hóa.</w:t>
      </w:r>
    </w:p>
    <w:p w14:paraId="1ECD5400"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trình SOP đầu tư xây dựng chuẩn hóa theo 03 giai đoạn (chuẩn bị đầu tư, thực hiện, kết thúc), theo định hướng tiêu chuẩn ISO và sơ đồ luồng công việc (workflow) điện tử.</w:t>
      </w:r>
    </w:p>
    <w:p w14:paraId="461C4F75"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phân cấp, phân quyền đầu tư xây dựng (ma trận thẩm quyền giữa các cấp), đồng bộ với Điều lệ và Quy chế đầu tư xây dựng của VICEM.</w:t>
      </w:r>
    </w:p>
    <w:p w14:paraId="4721029C"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lastRenderedPageBreak/>
        <w:t>+ Bộ chỉ số KPI quản lý dự án (tiến độ, chi phí, chất lượng, hiệu quả đầu tư) và hệ thống quản trị rủi ro ĐTXD (Risk Register, Sổ tay quản lý rủi ro dự án, Ma trận rủi ro toàn công ty).</w:t>
      </w:r>
    </w:p>
    <w:p w14:paraId="586E02F9" w14:textId="3F6C77CA"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Lộ trình chuyển đổi số hoạt động đầu tư xây dựng (định hướng PMIS, quản lý hồ sơ và nhật ký công trình điện tử, dashboard lãnh đạo, áp dụng BIM đối với dự án lớn). Việc triển khai số hóa chi tiết, đầu tư phần mềm không thuộc phạm vi hợp đồng riêng.</w:t>
      </w:r>
    </w:p>
    <w:p w14:paraId="0F74DE4E"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Kế hoạch triển khai áp dụng trong 03 năm.</w:t>
      </w:r>
    </w:p>
    <w:p w14:paraId="118113A1"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1FDAD14C"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289C00D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03D9F73B"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60 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5BEE36D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độ thực hiện, giai đoạn, sản phẩm bàn giao chi tiết của hợp đồng quy định tại Phụ lục 02 hợp đồng này. </w:t>
      </w:r>
    </w:p>
    <w:p w14:paraId="5CBB074F"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0E1451C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3C92A865"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615307C0"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tab/>
        <w:tab/>
        <w:t>455.000.000 đồng.</w:t>
      </w:r>
    </w:p>
    <w:p w14:paraId="495D4184"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tab/>
        <w:tab/>
        <w:t xml:space="preserve">  </w:t>
        <w:tab/>
        <w:t xml:space="preserve">  36.400.000 đồng.</w:t>
      </w:r>
    </w:p>
    <w:p w14:paraId="19A74CF5"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tab/>
        <w:tab/>
        <w:t>491.400.000 đồng.</w:t>
      </w:r>
    </w:p>
    <w:p w14:paraId="42400AFA"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2DF1E699" w14:textId="77777777"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42843E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07C1402C"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1BC7904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51F5F74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641BA38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14:paraId="135D31E3"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w:t>
        <w:lastRenderedPageBreak/>
        <w:t xml:space="preserve">hợp đồng trong vòng 15 ngày làm việc kể từ ngày nhận được đầy đủ hồ sơ thanh toán hợp lệ, bao gồm: </w:t>
      </w:r>
    </w:p>
    <w:p w14:paraId="794F7BA5"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79477342"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451D90C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p>
    <w:p w14:paraId="1A4902FC" w14:textId="77777777" w:rsidR="00DC307B" w:rsidRDefault="00DC307B" w:rsidP="00DC307B">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7E043058" w14:textId="77777777" w:rsidR="00BB0ADA" w:rsidRDefault="00BB0ADA" w:rsidP="00BB0ADA">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color w:val="000000"/>
          <w:sz w:val="26"/>
          <w:szCs w:val="26"/>
        </w:rPr>
        <w:t>Báo cáo đề xuất phương án tổ chức mô hình quản lý dự án (bản chính);</w:t>
      </w:r>
    </w:p>
    <w:p w14:paraId="01BFA605"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3050BFA5"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24D4EEC4"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17D8AD2C"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6E782DE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1385C43F"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0DC669C0"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FD39B75"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t>Điều 7. Bảo lãnh hợp đồng (Không áp dụng)</w:t>
      </w:r>
    </w:p>
    <w:p w14:paraId="43FF8D87"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3DE54C7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0B30B3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0FC2B16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3B1C5D2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A2ED63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1DC100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725F006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419E796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7A4786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7BABD74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0A6F240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64C4E00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6FD43A9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9.2 Nghĩa vụ của Bên B:</w:t>
      </w:r>
    </w:p>
    <w:p w14:paraId="3BD7E9C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6531339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2B941034"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6A3E5C27"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14:paraId="7562260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5159968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74F1D8D1"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14:paraId="7D17C73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Xuất hoá đơn tài chính theo quy định cho Bên A.</w:t>
      </w:r>
    </w:p>
    <w:p w14:paraId="14420AB5"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44A17C20" w14:textId="77777777"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14:paraId="02239E36"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2B793524"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14:paraId="63F87068"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CFD3DD1"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2A395451"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14:paraId="746475A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D02536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6D47224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5CFB325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2BC8371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3AF51E67"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689C3B1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4C93F43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630CBC6B"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14:paraId="7AA537E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14:paraId="2F5F5DE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11E436E3" w14:textId="77777777" w:rsidTr="00AD1473">
        <w:trPr>
          <w:trHeight w:val="2258"/>
        </w:trPr>
        <w:tc>
          <w:tcPr>
            <w:tcW w:w="4928" w:type="dxa"/>
          </w:tcPr>
          <w:p w14:paraId="78A17865"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14:paraId="6594BDF7"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16488F9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8B8513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20FA263" w14:textId="77777777" w:rsidR="00AD1473" w:rsidRPr="00AD1473" w:rsidRDefault="00AD1473" w:rsidP="00AD1473">
            <w:pPr>
              <w:jc w:val="center"/>
              <w:rPr>
                <w:rFonts w:ascii="Times New Roman" w:eastAsia="Times New Roman" w:hAnsi="Times New Roman" w:cs="Times New Roman"/>
                <w:b/>
                <w:color w:val="000000"/>
                <w:sz w:val="26"/>
                <w:szCs w:val="26"/>
              </w:rPr>
            </w:pPr>
          </w:p>
          <w:p w14:paraId="3CD584DC" w14:textId="77777777" w:rsidR="00AD1473" w:rsidRPr="00AD1473" w:rsidRDefault="00AD1473" w:rsidP="00AD1473">
            <w:pPr>
              <w:jc w:val="center"/>
              <w:rPr>
                <w:rFonts w:ascii="Times New Roman" w:eastAsia="Times New Roman" w:hAnsi="Times New Roman" w:cs="Times New Roman"/>
                <w:b/>
                <w:color w:val="000000"/>
                <w:sz w:val="26"/>
                <w:szCs w:val="26"/>
              </w:rPr>
            </w:pPr>
          </w:p>
          <w:p w14:paraId="6656BE0B"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14:paraId="28C588D6"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3D1F2F3E" w14:textId="77777777"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70642B85" w14:textId="77777777" w:rsidR="00AD1473" w:rsidRDefault="00AD1473" w:rsidP="00AD1473">
            <w:pPr>
              <w:jc w:val="center"/>
              <w:rPr>
                <w:rFonts w:ascii="Times New Roman" w:eastAsia="Times New Roman" w:hAnsi="Times New Roman" w:cs="Times New Roman"/>
                <w:b/>
                <w:color w:val="000000"/>
                <w:sz w:val="26"/>
                <w:szCs w:val="26"/>
              </w:rPr>
            </w:pPr>
          </w:p>
          <w:p w14:paraId="4DE690E4" w14:textId="77777777" w:rsidR="00AD1473" w:rsidRDefault="00AD1473" w:rsidP="00AD1473">
            <w:pPr>
              <w:jc w:val="center"/>
              <w:rPr>
                <w:rFonts w:ascii="Times New Roman" w:eastAsia="Times New Roman" w:hAnsi="Times New Roman" w:cs="Times New Roman"/>
                <w:b/>
                <w:color w:val="000000"/>
                <w:sz w:val="26"/>
                <w:szCs w:val="26"/>
              </w:rPr>
            </w:pPr>
          </w:p>
          <w:p w14:paraId="2151532C" w14:textId="77777777" w:rsidR="00AD1473" w:rsidRDefault="00AD1473" w:rsidP="00AD1473">
            <w:pPr>
              <w:jc w:val="center"/>
              <w:rPr>
                <w:rFonts w:ascii="Times New Roman" w:eastAsia="Times New Roman" w:hAnsi="Times New Roman" w:cs="Times New Roman"/>
                <w:b/>
                <w:color w:val="000000"/>
                <w:sz w:val="26"/>
                <w:szCs w:val="26"/>
              </w:rPr>
            </w:pPr>
          </w:p>
          <w:p w14:paraId="47F07861" w14:textId="77777777" w:rsidR="00AD1473" w:rsidRDefault="00AD1473" w:rsidP="00AD1473">
            <w:pPr>
              <w:jc w:val="center"/>
              <w:rPr>
                <w:rFonts w:ascii="Times New Roman" w:eastAsia="Times New Roman" w:hAnsi="Times New Roman" w:cs="Times New Roman"/>
                <w:b/>
                <w:color w:val="000000"/>
                <w:sz w:val="26"/>
                <w:szCs w:val="26"/>
              </w:rPr>
            </w:pPr>
          </w:p>
          <w:p w14:paraId="6F470052"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7B1A67EC"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3F11B12F" w14:textId="77777777" w:rsidR="00317BFC" w:rsidRDefault="00317BFC">
      <w:pPr>
        <w:jc w:val="center"/>
        <w:rPr>
          <w:rFonts w:ascii="Times New Roman" w:eastAsia="Times New Roman" w:hAnsi="Times New Roman" w:cs="Times New Roman"/>
          <w:color w:val="000000"/>
          <w:sz w:val="26"/>
          <w:szCs w:val="26"/>
        </w:rPr>
      </w:pPr>
    </w:p>
    <w:p w14:paraId="24C73A0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A0921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1B5F2B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2D1FDB12"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thầu thực hiện các nhóm công việc sau:</w:t>
      </w:r>
    </w:p>
    <w:p w14:paraId="3A24109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Rà soát và đánh giá hiện trạng toàn bộ hệ thống đầu tư xây dựng:</w:t>
      </w:r>
    </w:p>
    <w:p w14:paraId="149D3C89"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tổng thể một số dự án điển hình trong 05 năm gần nhất;</w:t>
      </w:r>
    </w:p>
    <w:p w14:paraId="6F2818C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mô hình tổ chức ĐTXD hiện nay: Ban Quản lý dự án; các phòng kỹ thuật; các đơn vị thành viên;</w:t>
      </w:r>
    </w:p>
    <w:p w14:paraId="704B6F4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năng lực nhân sự theo chức danh (số lượng, chất lượng, chứng chỉ hành nghề/năng lực), phân tích SWOT;</w:t>
      </w:r>
    </w:p>
    <w:p w14:paraId="18F98AC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các bất cập: chậm tiến độ; tăng tổng mức đầu tư; điều chỉnh thiết kế; vướng đấu thầu; vướng quyết toán; chồng chéo thẩm quyền.</w:t>
      </w:r>
    </w:p>
    <w:p w14:paraId="384CE75B"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Thiết kế mô hình quản trị đầu tư xây dựng mới cho VICEM Hà Tiên:</w:t>
      </w:r>
    </w:p>
    <w:p w14:paraId="79544E58"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đề xuất tối thiểu 03 phương án tổ chức kèm ưu, nhược điểm, khung tiêu chí và bảng so sánh; ưu tiên tận dụng nhân lực hiện hữu; khuyến nghị phương án;</w:t>
      </w:r>
    </w:p>
    <w:p w14:paraId="324E805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Sơ đồ tổ chức; Ma trận chức năng; Ma trận RACI.</w:t>
      </w:r>
    </w:p>
    <w:p w14:paraId="089DE1D3"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Chuẩn hóa toàn bộ quy trình ĐTXD (giai đoạn chuẩn bị đầu tư, thực hiện, kết thúc):</w:t>
      </w:r>
    </w:p>
    <w:p w14:paraId="2BECFDD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Bộ SOP ĐTXD; quy trình theo định hướng ISO; sơ đồ luồng công việc (workflow) điện tử.</w:t>
      </w:r>
    </w:p>
    <w:p w14:paraId="3DD23489"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Xây dựng hệ thống phân cấp, phân quyền:</w:t>
      </w:r>
    </w:p>
    <w:p w14:paraId="44363E0A"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ma trận thẩm quyền (chủ trương đầu tư; phê duyệt dự án; điều chỉnh TMĐT; chỉ định thầu; quyết toán...) phân định rõ giữa các cấp (Tổng giám đốc, HĐQT, VICEM);</w:t>
      </w:r>
    </w:p>
    <w:p w14:paraId="6FF6F06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Kết quả: tránh vượt thẩm quyền; giảm thời gian trình ký; đồng bộ với Điều lệ VICEM và Quy chế ĐTXD của VICEM; tăng tính chủ động, giảm phụ thuộc Tổng công ty VICEM.</w:t>
      </w:r>
    </w:p>
    <w:p w14:paraId="6F719966"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Xây dựng hệ thống biểu mẫu chuẩn kèm theo các quy chế, quy trình.</w:t>
      </w:r>
    </w:p>
    <w:p w14:paraId="7416D32A"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Xây dựng hệ thống KPI quản lý dự án:</w:t>
      </w:r>
    </w:p>
    <w:p w14:paraId="2AAFEEDD"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Tiến độ: SPI; tỷ lệ hoàn thành kế hoạch. Chi phí: CPI; tỷ lệ vượt TMĐT. Chất lượng: số lỗi nghiệm thu; số sự cố. Hiệu quả đầu tư: NPV; IRR; thời gian hoàn vốn.</w:t>
      </w:r>
    </w:p>
    <w:p w14:paraId="3A6B70D2"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Xây dựng hệ thống quản trị rủi ro ĐTXD:</w:t>
      </w:r>
    </w:p>
    <w:p w14:paraId="46D40EA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Risk Register cho các nhóm: pháp lý; thiết kế; đấu thầu; thi công; môi trường; hợp đồng; thanh, quyết toán;</w:t>
      </w:r>
    </w:p>
    <w:p w14:paraId="50428810"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Sổ tay quản lý rủi ro dự án; Ma trận rủi ro toàn công ty.</w:t>
      </w:r>
    </w:p>
    <w:p w14:paraId="236AA98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Chuyển đổi số hoạt động ĐTXD:</w:t>
      </w:r>
    </w:p>
    <w:p w14:paraId="4DF6601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Định hướng PMIS (Hệ thống thông tin quản lý dự án); quản lý hồ sơ điện tử; nhật ký công trình điện tử; dashboard lãnh đạo; BIM đối với dự án lớn; tích hợp SAP/ERP (nếu có);</w:t>
      </w:r>
    </w:p>
    <w:p w14:paraId="7FD1D14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Việc triển khai số hóa chi tiết, đầu tư phần mềm thuộc phạm vi hợp đồng riêng, không thuộc phạm vi hợp đồng này.</w:t>
      </w:r>
    </w:p>
    <w:p w14:paraId="2F55CEEF"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Xây dựng bộ quy chế nội bộ mới (08 quy chế):</w:t>
      </w:r>
    </w:p>
    <w:p w14:paraId="09F0675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Quy chế quản lý ĐTXD; (2) Quy chế quản lý chi phí đầu tư; (3) Quy chế đấu thầu; (4) Quy chế quản lý hợp đồng; (5) Quy chế nghiệm thu – bàn giao; (6) Quy chế quyết toán vốn đầu tư; (7) Quy định phân cấp, phân quyền ĐTXD; (8) Quy chế kiểm soát nội bộ dự án.</w:t>
      </w:r>
    </w:p>
    <w:p w14:paraId="66B93724"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Đào tạo và chuyển giao:</w:t>
      </w:r>
    </w:p>
    <w:p w14:paraId="6A85454E"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Đào tạo HĐQT; Ban Tổng giám đốc; Ban ĐTXD; các nhà máy;</w:t>
      </w:r>
    </w:p>
    <w:p w14:paraId="15C0AA63"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Kèm: Sổ tay hướng dẫn; bộ tài liệu đào tạo; hỗ trợ áp dụng từ 06 đến 12 tháng.</w:t>
      </w:r>
    </w:p>
    <w:p w14:paraId="1B5564C5"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công việc nêu trên được thực hiện trên cơ sở tuân thủ: Luật Xây dựng số 135/2025/QH15; Luật Đấu thầu số 22/2023/QH15 (đã được sửa đổi, bổ sung bởi Luật số 57/2024/QH15 và Luật số 90/2025/QH15); Luật số 68/2025/QH15; các văn bản hướng dẫn, các quy định pháp luật và quy định quản trị của VICEM có liên quan.</w:t>
      </w:r>
    </w:p>
    <w:p w14:paraId="36079403"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5BC604A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56ACE15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414DB7A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5D8C1EF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38DEA7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56698CA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2A46F62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7F5E3B8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5D1F034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09CCEAF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5600152"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1F1F61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11F067B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4EC7298D"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4991D2CD"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60 ngày kể từ ngày Hợp đồng có hiệu lực.</w:t>
      </w:r>
    </w:p>
    <w:p w14:paraId="7A50CE5F"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điểm thực hiện: Trụ sở VICEM Hà Tiên hoặc địa điểm khác phù hợp với tính chất công việc</w:t>
      </w:r>
    </w:p>
    <w:p w14:paraId="090A12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627FA805" w14:textId="0DF1248E"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Thực hiện đầy đủ các nhóm công việc quy định tại Mục 1 Phụ lục này (rà soát, đánh giá hiện trạng; thiết kế mô hình quản trị ĐTXD mới; chuẩn hóa quy trình SOP; phân cấp, phân quyền; hệ thống biểu mẫu chuẩn; hệ thống KPI; quản trị rủi ro; chuyển đổi số; bộ quy chế nội bộ mới; đào tạo, chuyển giao), bảo đảm tuân thủ và phù hợp với quy định pháp luật </w:t>
        <w:lastRenderedPageBreak/>
        <w:t>hiện hành và quy định quản trị của VICEM. Bao gồm nhưng không giới hạn các quy định pháp luật sau:</w:t>
      </w:r>
    </w:p>
    <w:p w14:paraId="565DC372"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661FE16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0160E77"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1935EF55"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452B4C5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291CBC3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4E6D413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506B3CB5" w14:textId="77777777" w:rsidR="00AD1473" w:rsidRDefault="00AD1473">
      <w:pPr>
        <w:rPr>
          <w:rFonts w:ascii="Times New Roman" w:eastAsia="Times New Roman" w:hAnsi="Times New Roman" w:cs="Times New Roman"/>
          <w:color w:val="000000"/>
          <w:sz w:val="26"/>
          <w:szCs w:val="26"/>
        </w:rPr>
      </w:pPr>
    </w:p>
    <w:p w14:paraId="3D04DD4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60 ngày.</w:t>
      </w:r>
    </w:p>
    <w:p w14:paraId="7EA98105"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trPr>
          <w:tblHeader/>
        </w:trP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TT</w:t>
            </w:r>
          </w:p>
        </w:tc>
        <w:tc>
          <w:tcPr>
            <w:tcW w:w="7004"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Giai đoạn triển khai</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Tiến độ</w:t>
            </w:r>
          </w:p>
        </w:tc>
        <w:tc>
          <w:tcPr>
            <w:tcW w:w="2286"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Phụ trách</w:t>
            </w:r>
          </w:p>
        </w:tc>
        <w:tc>
          <w:tcPr>
            <w:tcW w:w="302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Kết quả bàn giao</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HẠNG MỤC 1: KHẢO SÁT, ĐÁNH GIÁ HIỆN TRẠNG VÀ THIẾT KẾ MÔ HÌNH QUẢN TRỊ ĐTXD</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 25</w:t>
            </w:r>
          </w:p>
        </w:tc>
        <w:tc>
          <w:tcPr>
            <w:tcW w:w="2286"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Rà soát tài liệu; khảo sát, đánh giá hiện trạng: mô hình tổ chức ĐTXD (Ban QLDA, các phòng kỹ thuật, các đơn vị thành viên); năng lực nhân sự theo chức danh; một số dự án điển hình trong 05 năm; phân tích SWOT; các bất cập (chậm tiến độ, tăng TMĐT, điều chỉnh thiết kế, vướng đấu thầu, vướng quyết toán, chồng chéo thẩm quyền).</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 12</w:t>
            </w:r>
          </w:p>
        </w:tc>
        <w:tc>
          <w:tcPr>
            <w:tcW w:w="2286"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Nhà thầu phụ trách,</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VICEM Hà Tiên phối hợp</w:t>
            </w:r>
          </w:p>
        </w:tc>
        <w:tc>
          <w:tcPr>
            <w:tcW w:w="3025"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khảo sát và đánh giá hiện trạng hệ thống ĐTXD (kèm phân tích SWOT, đánh giá nhân sự theo chức danh, phân loại danh mục dự án);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khoảng cách pháp lý;</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đề xuất mô hình tổ chức quản trị ĐTXD mới (kèm sơ đồ tổ chức, ma trận chức năng, ma trận RACI).</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Khảo sát thực địa.</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 18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mô hình quản trị ĐTXD mới: phân tích tối thiểu 03 phương án tổ chức (khung tiêu chí, bảng so sánh, tham chiếu PVN/EVN/HUD/Hòa Phát), khuyến nghị phương án và lộ trình; tổng hợp, hoàn thiện Báo cáo Hạng mục 1.</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19 – 25</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HẠNG MỤC 2: CHUẨN HÓA QUY TRÌNH, QUY CHẾ, PHÂN CẤP, KPI, QUẢN TRỊ RỦI RO, CHUYỂN ĐỔI SỐ VÀ ĐÀO TẠO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25 – 60</w:t>
            </w:r>
          </w:p>
        </w:tc>
        <w:tc>
          <w:tcPr>
            <w:tcW w:w="2286"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Chuẩn hóa toàn bộ quy trình SOP ĐTXD (giai đoạn chuẩn bị đầu tư, thực hiện, kết thúc) theo định hướng ISO, sơ đồ luồng công việc điện tử; xây dựng hệ thống biểu mẫu chuẩn.</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25 – 33</w:t>
            </w:r>
          </w:p>
        </w:tc>
        <w:tc>
          <w:tcPr>
            <w:tcW w:w="2286"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Nhà thầu phụ trách,</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VICEM Hà Tiên phối hợp</w:t>
            </w:r>
          </w:p>
        </w:tc>
        <w:tc>
          <w:tcPr>
            <w:tcW w:w="3025"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quy trình SOP ĐTXD (03 giai đoạn, định hướng ISO, workflow điện tử) và hệ thống biểu mẫu chuẩn;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phân cấp, phân quyền (ma trận thẩm quyền);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08 quy chế nội bộ mới;</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KPI quản lý dự án và hệ thống quản trị rủi ro (Risk Register, Sổ tay rủi ro, Ma trận rủi ro);</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Lộ trình chuyển đổi số ĐTXD;</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Kế hoạch triển khai áp dụng 03 năm;</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tài liệu đào tạo, tập huấn.</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phân cấp, phân quyền: ma trận thẩm quyền giữa các cấp; đồng bộ với Điều lệ và Quy chế ĐTXD của VICEM.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33 – 38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2.3</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Soạn thảo 08 quy chế nội bộ mới (ưu tiên nhóm có rủi ro pháp lý cao).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38 – 47</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2.4</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KPI quản lý dự án và hệ thống quản trị rủi ro ĐTXD (Risk Register, Sổ tay quản lý rủi ro, Ma trận rủi ro toàn công ty).</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47 – 52</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2.5</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lộ trình chuyển đổi số hoạt động ĐTXD và Kế hoạch triển khai áp dụng 03 năm.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52 – 55</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2.6</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Lấy ý kiến VICEM Hà Tiên và hoàn thiện sản phẩm.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55 – 58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2.7</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Đào tạo, chuyển giao: 02 buổi đào tạo cho HĐQT, Ban Tổng giám đốc, Ban ĐTXD và các nhà máy; bàn giao sổ tay hướng dẫn và bộ tài liệu đào tạo.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58 – 60</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bl>
    <w:p w14:paraId="3C6CCDCD"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9FF3" w14:textId="77777777" w:rsidR="00D43FB0" w:rsidRDefault="00D43FB0">
      <w:r>
        <w:separator/>
      </w:r>
    </w:p>
  </w:endnote>
  <w:endnote w:type="continuationSeparator" w:id="0">
    <w:p w14:paraId="1404DC8D" w14:textId="77777777" w:rsidR="00D43FB0" w:rsidRDefault="00D4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87E2F3-85C9-4223-AA8A-EA0F32AD4ED6}"/>
    <w:embedBold r:id="rId2" w:fontKey="{1A3E50C1-5876-4031-85FF-B030FEE33F5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95645589-4DC9-441B-A013-67E9DB1F21B9}"/>
  </w:font>
  <w:font w:name="Georgia">
    <w:panose1 w:val="02040502050405020303"/>
    <w:charset w:val="00"/>
    <w:family w:val="roman"/>
    <w:pitch w:val="variable"/>
    <w:sig w:usb0="00000287" w:usb1="00000000" w:usb2="00000000" w:usb3="00000000" w:csb0="0000009F" w:csb1="00000000"/>
    <w:embedItalic r:id="rId4" w:fontKey="{903DD895-2774-473C-B827-507DCFD4F119}"/>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11C66871"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03A181FC"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3844" w14:textId="77777777" w:rsidR="00D43FB0" w:rsidRDefault="00D43FB0">
      <w:r>
        <w:separator/>
      </w:r>
    </w:p>
  </w:footnote>
  <w:footnote w:type="continuationSeparator" w:id="0">
    <w:p w14:paraId="6FCE54DC" w14:textId="77777777" w:rsidR="00D43FB0" w:rsidRDefault="00D4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675281">
    <w:abstractNumId w:val="2"/>
  </w:num>
  <w:num w:numId="2" w16cid:durableId="2134249765">
    <w:abstractNumId w:val="0"/>
  </w:num>
  <w:num w:numId="3" w16cid:durableId="116485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D6F3B"/>
    <w:rsid w:val="00317BFC"/>
    <w:rsid w:val="003224F0"/>
    <w:rsid w:val="003C7D80"/>
    <w:rsid w:val="003D7C50"/>
    <w:rsid w:val="003F312C"/>
    <w:rsid w:val="004529DB"/>
    <w:rsid w:val="004B197F"/>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C16B2B"/>
    <w:rsid w:val="00D12D2B"/>
    <w:rsid w:val="00D34C79"/>
    <w:rsid w:val="00D43FB0"/>
    <w:rsid w:val="00D96D9D"/>
    <w:rsid w:val="00DC307B"/>
    <w:rsid w:val="00E15857"/>
    <w:rsid w:val="00E27A73"/>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FFEA68"/>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83B205-9C4B-4AD5-A70D-8D51C031A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17</cp:revision>
  <cp:lastPrinted>2026-06-18T03:27:00Z</cp:lastPrinted>
  <dcterms:created xsi:type="dcterms:W3CDTF">2026-06-18T01:57:00Z</dcterms:created>
  <dcterms:modified xsi:type="dcterms:W3CDTF">2026-06-18T07:16:00Z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