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3E6F" w14:textId="77777777"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14:paraId="65D5D20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14:paraId="56E869F5" w14:textId="77777777"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14:paraId="2D35B40C" w14:textId="77777777" w:rsidR="00EA5809" w:rsidRDefault="00EA5809">
      <w:pPr>
        <w:jc w:val="center"/>
        <w:rPr>
          <w:rFonts w:ascii="Times New Roman" w:eastAsia="Times New Roman" w:hAnsi="Times New Roman" w:cs="Times New Roman"/>
          <w:b/>
          <w:bCs/>
          <w:color w:val="000000"/>
          <w:sz w:val="28"/>
          <w:szCs w:val="28"/>
        </w:rPr>
      </w:pPr>
    </w:p>
    <w:p w14:paraId="0048F440" w14:textId="77777777"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14:paraId="09CEDE18"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14:paraId="602B03F4"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Rà soát, tái cấu trúc và chuẩn hóa hệ thống quản trị đầu tư xây dựng VICEM Hà Tiên theo quy định pháp luật hiện hành và quy định quản trị của VICEM</w:t>
      </w:r>
    </w:p>
    <w:p w14:paraId="6D43898F" w14:textId="77777777" w:rsidR="00C16B2B" w:rsidRDefault="00C16B2B">
      <w:pPr>
        <w:jc w:val="both"/>
        <w:rPr>
          <w:rFonts w:ascii="Times New Roman" w:eastAsia="Times New Roman" w:hAnsi="Times New Roman" w:cs="Times New Roman"/>
          <w:color w:val="000000"/>
          <w:sz w:val="28"/>
          <w:szCs w:val="28"/>
        </w:rPr>
      </w:pPr>
    </w:p>
    <w:p w14:paraId="53013360"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14:paraId="701CD099"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14:paraId="1C7B7EE9"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14:paraId="48C077E7"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14:paraId="1AC4A8CB"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14:paraId="058C3F5A"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14:paraId="70671DBC" w14:textId="77777777"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14:paraId="3EEC9E6C" w14:textId="77777777"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14:paraId="3C6254B1" w14:textId="77777777">
        <w:tc>
          <w:tcPr>
            <w:tcW w:w="1668" w:type="dxa"/>
          </w:tcPr>
          <w:p w14:paraId="1686691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14:paraId="3D7A07E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14:paraId="0D8EB28B"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14:paraId="36642EC0"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53E1D78C" w14:textId="77777777">
        <w:tc>
          <w:tcPr>
            <w:tcW w:w="1668" w:type="dxa"/>
          </w:tcPr>
          <w:p w14:paraId="2357D51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14:paraId="7B9644B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4ED81D1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14:paraId="463E3AD1" w14:textId="77777777">
        <w:tc>
          <w:tcPr>
            <w:tcW w:w="1668" w:type="dxa"/>
          </w:tcPr>
          <w:p w14:paraId="1A16F2E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14:paraId="7D72122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1C2EB0B8"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14:paraId="31EC1FC9" w14:textId="77777777">
        <w:tc>
          <w:tcPr>
            <w:tcW w:w="1668" w:type="dxa"/>
          </w:tcPr>
          <w:p w14:paraId="5C6331B3"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14:paraId="64768EB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334D275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14:paraId="4A8C254E" w14:textId="77777777"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14:paraId="487044D6" w14:textId="77777777">
        <w:tc>
          <w:tcPr>
            <w:tcW w:w="1668" w:type="dxa"/>
            <w:tcBorders>
              <w:top w:val="nil"/>
              <w:left w:val="nil"/>
              <w:bottom w:val="nil"/>
              <w:right w:val="nil"/>
            </w:tcBorders>
            <w:vAlign w:val="center"/>
          </w:tcPr>
          <w:p w14:paraId="7D7FFF8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14:paraId="327A778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14:paraId="1F47F9D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14:paraId="2749773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2226C400" w14:textId="77777777">
        <w:trPr>
          <w:trHeight w:val="448"/>
        </w:trPr>
        <w:tc>
          <w:tcPr>
            <w:tcW w:w="1668" w:type="dxa"/>
            <w:tcBorders>
              <w:top w:val="nil"/>
              <w:left w:val="nil"/>
              <w:bottom w:val="nil"/>
              <w:right w:val="nil"/>
            </w:tcBorders>
            <w:vAlign w:val="center"/>
          </w:tcPr>
          <w:p w14:paraId="160DB23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14:paraId="267BA89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14:paraId="70FFD8A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14:paraId="0A58C1B0" w14:textId="77777777">
        <w:trPr>
          <w:trHeight w:val="100"/>
        </w:trPr>
        <w:tc>
          <w:tcPr>
            <w:tcW w:w="1668" w:type="dxa"/>
            <w:tcBorders>
              <w:top w:val="nil"/>
              <w:left w:val="nil"/>
              <w:bottom w:val="nil"/>
              <w:right w:val="nil"/>
            </w:tcBorders>
            <w:vAlign w:val="center"/>
          </w:tcPr>
          <w:p w14:paraId="443A054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14:paraId="00EA1186"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2EAEFE26"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14:paraId="04BFBF0D" w14:textId="77777777">
        <w:trPr>
          <w:trHeight w:val="100"/>
        </w:trPr>
        <w:tc>
          <w:tcPr>
            <w:tcW w:w="1668" w:type="dxa"/>
            <w:tcBorders>
              <w:top w:val="nil"/>
              <w:left w:val="nil"/>
              <w:bottom w:val="nil"/>
              <w:right w:val="nil"/>
            </w:tcBorders>
            <w:vAlign w:val="center"/>
          </w:tcPr>
          <w:p w14:paraId="0A0B3FA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14:paraId="6C9619D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556AFED9"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14:paraId="4B10FEA2"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thỏa thuận ký kết hợp đồng với những điều khoản sau:</w:t>
      </w:r>
    </w:p>
    <w:p w14:paraId="66056D6F"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14:paraId="79441A55"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14:paraId="44B3150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14:paraId="2539B76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14:paraId="323CF348"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14:paraId="674DF25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14:paraId="3456BDA3"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14:paraId="7EB5DB5F"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14:paraId="21ADBE74"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14:paraId="2170343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14:paraId="688F23A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14:paraId="56578E11"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14:paraId="77F1F83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14:paraId="18CB5DB9"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Rà soát, tái cấu trúc và chuẩn hóa hệ thống quản trị đầu tư xây dựng VICEM Hà Tiên theo quy định pháp luật hiện hành và quy định quản trị của VICEM”.</w:t>
      </w:r>
      <w:r>
        <w:rPr>
          <w:rFonts w:ascii="Times New Roman" w:eastAsia="Times New Roman" w:hAnsi="Times New Roman" w:cs="Times New Roman"/>
          <w:color w:val="000000"/>
          <w:sz w:val="26"/>
          <w:szCs w:val="26"/>
        </w:rPr>
        <w:t xml:space="preserve"> Danh mục sản phẩm đính kèm tại Phụ lục 1 và Phụ lục 2 của hợp đồng này. </w:t>
      </w:r>
    </w:p>
    <w:p w14:paraId="4CD747AA" w14:textId="77777777"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14:paraId="79E52D34" w14:textId="77777777"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14:paraId="68042C09" w14:textId="77777777" w:rsidR="006870EB" w:rsidRPr="00B82359" w:rsidRDefault="006870EB" w:rsidP="0075338D">
      <w:pPr>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 w:name="_Hlk232666337"/>
      <w:r>
        <w:rPr>
          <w:rFonts w:ascii="Times New Roman" w:eastAsia="Times New Roman" w:hAnsi="Times New Roman" w:cs="Times New Roman"/>
          <w:color w:val="0000CC"/>
          <w:sz w:val="26"/>
          <w:szCs w:val="26"/>
        </w:rPr>
        <w:t>Mô hình tổ chức quản trị đầu tư xây dựng mới của VICEM Hà Tiên phù hợp với Luật Xây dựng số 135/2025/QH15 ngày 10/12/2025; Luật số 68/2025/QH15 ngày 14/6/2025; các văn bản pháp luật khác có liên quan; đồng thời phù hợp với định hướng phát triển của VICEM Hà Tiên (kèm sơ đồ tổ chức, ma trận chức năng, ma trận RACI)</w:t>
      </w:r>
      <w:bookmarkEnd w:id="1"/>
      <w:r>
        <w:rPr>
          <w:rFonts w:ascii="Times New Roman" w:eastAsia="Times New Roman" w:hAnsi="Times New Roman" w:cs="Times New Roman"/>
          <w:color w:val="0000CC"/>
          <w:sz w:val="26"/>
          <w:szCs w:val="26"/>
        </w:rPr>
        <w:t>.</w:t>
      </w:r>
    </w:p>
    <w:p w14:paraId="031A30C3" w14:textId="77777777"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chế đầu tư xây dựng mới của VICEM Hà Tiên (gồm 08 quy chế nội bộ: quản lý ĐTXD; quản lý chi phí đầu tư; đấu thầu; quản lý hợp đồng; nghiệm thu – bàn giao; quyết toán vốn đầu tư; phân cấp, phân quyền ĐTXD; kiểm soát nội bộ dự án), kèm hệ thống biểu mẫu chuẩn hóa.</w:t>
      </w:r>
    </w:p>
    <w:p w14:paraId="1ECD5400"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trình SOP đầu tư xây dựng chuẩn hóa theo 03 giai đoạn (chuẩn bị đầu tư, thực hiện, kết thúc), theo định hướng tiêu chuẩn ISO và sơ đồ luồng công việc (workflow) điện tử.</w:t>
      </w:r>
    </w:p>
    <w:p w14:paraId="461C4F75"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phân cấp, phân quyền đầu tư xây dựng (ma trận thẩm quyền giữa các cấp), đồng bộ với Điều lệ và Quy chế đầu tư xây dựng của VICEM.</w:t>
      </w:r>
    </w:p>
    <w:p w14:paraId="4721029C"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lastRenderedPageBreak/>
        <w:t>+ Bộ chỉ số KPI quản lý dự án (tiến độ, chi phí, chất lượng, hiệu quả đầu tư) và hệ thống quản trị rủi ro ĐTXD (Risk Register, Sổ tay quản lý rủi ro dự án, Ma trận rủi ro toàn công ty).</w:t>
      </w:r>
    </w:p>
    <w:p w14:paraId="586E02F9" w14:textId="3F6C77CA"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Lộ trình chuyển đổi số hoạt động đầu tư xây dựng (định hướng PMIS, quản lý hồ sơ và nhật ký công trình điện tử, dashboard lãnh đạo, áp dụng BIM đối với dự án lớn). Việc triển khai số hóa chi tiết, đầu tư phần mềm không thuộc phạm vi hợp đồng riêng.</w:t>
      </w:r>
    </w:p>
    <w:p w14:paraId="0F74DE4E"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Kế hoạch triển khai áp dụng trong 03 năm.</w:t>
      </w:r>
    </w:p>
    <w:p w14:paraId="118113A1" w14:textId="77777777"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14:paraId="1FDAD14C"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14:paraId="289C00DD"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địa điểm, tiến độ thực hiện hợp đồng</w:t>
      </w:r>
    </w:p>
    <w:p w14:paraId="03D9F73B"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60 ngày kể từ ngày hợp đồng có hiệu lực. </w:t>
      </w:r>
      <w:r>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14:paraId="5BEE36D9"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Tiến độ thực hiện, giai đoạn, sản phẩm bàn giao chi tiết của hợp đồng quy định tại Phụ lục 02 hợp đồng này. </w:t>
      </w:r>
    </w:p>
    <w:p w14:paraId="5CBB074F" w14:textId="77777777"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14:paraId="0E1451C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14:paraId="3C92A865" w14:textId="77777777" w:rsidR="00C16B2B"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14:paraId="615307C0"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tab/>
        <w:tab/>
        <w:t>455.000.000 đồng.</w:t>
      </w:r>
    </w:p>
    <w:p w14:paraId="495D4184"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tab/>
        <w:tab/>
        <w:t xml:space="preserve">  </w:t>
        <w:tab/>
        <w:t xml:space="preserve">  36.400.000 đồng.</w:t>
      </w:r>
    </w:p>
    <w:p w14:paraId="19A74CF5"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tab/>
        <w:tab/>
        <w:t>491.400.000 đồng.</w:t>
      </w:r>
    </w:p>
    <w:p w14:paraId="42400AFA" w14:textId="77777777"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14:paraId="2DF1E699" w14:textId="77777777"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14:paraId="342843E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14:paraId="07C1402C" w14:textId="77777777"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14:paraId="1BC7904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14:paraId="51F5F743"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14:paraId="641BA38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14:paraId="135D31E3"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t xml:space="preserve"> </w:t>
      </w:r>
      <w:r>
        <w:rPr>
          <w:rFonts w:ascii="Times New Roman" w:eastAsia="Times New Roman" w:hAnsi="Times New Roman" w:cs="Times New Roman"/>
          <w:color w:val="000000"/>
          <w:sz w:val="26"/>
          <w:szCs w:val="26"/>
        </w:rPr>
        <w:t>quy định tại Hạng mục 1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w:t>
        <w:lastRenderedPageBreak/>
        <w:t xml:space="preserve">hợp đồng trong vòng 15 ngày làm việc kể từ ngày nhận được đầy đủ hồ sơ thanh toán hợp lệ, bao gồm: </w:t>
      </w:r>
    </w:p>
    <w:p w14:paraId="794F7BA5"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14:paraId="79477342"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451D90C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Bản báo cáo khoảng cách pháp lý (bản chính);</w:t>
      </w:r>
    </w:p>
    <w:p w14:paraId="1A4902FC" w14:textId="77777777" w:rsidR="00DC307B" w:rsidRDefault="00DC307B" w:rsidP="00DC307B">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Báo cáo khảo sát hiện trạng chính thức (bản chính);</w:t>
      </w:r>
    </w:p>
    <w:p w14:paraId="7E043058" w14:textId="77777777" w:rsidR="00BB0ADA" w:rsidRDefault="00BB0ADA" w:rsidP="00BB0ADA">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w:t>
      </w:r>
      <w:r>
        <w:rPr>
          <w:rFonts w:ascii="Times New Roman" w:eastAsia="Times New Roman" w:hAnsi="Times New Roman" w:cs="Times New Roman"/>
          <w:color w:val="000000"/>
          <w:sz w:val="26"/>
          <w:szCs w:val="26"/>
        </w:rPr>
        <w:t>Báo cáo đề xuất phương án tổ chức mô hình quản lý dự án (bản chính);</w:t>
      </w:r>
    </w:p>
    <w:p w14:paraId="01BFA605"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14:paraId="3050BFA5"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14:paraId="24D4EEC4" w14:textId="77777777"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17D8AD2C"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14:paraId="6E782DE6"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14:paraId="1385C43F"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14:paraId="0DC669C0"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14:paraId="0FD39B75" w14:textId="77777777"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t>Điều 7. Bảo lãnh hợp đồng (Không áp dụng)</w:t>
      </w:r>
    </w:p>
    <w:p w14:paraId="43FF8D87" w14:textId="77777777"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14:paraId="3DE54C75"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14:paraId="20B30B3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14:paraId="0FC2B16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14:paraId="3B1C5D2A"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14:paraId="4A2ED63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14:paraId="01DC1003"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14:paraId="725F006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14:paraId="419E796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14:paraId="77A47866"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14:paraId="7BABD74A"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14:paraId="0A6F240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14:paraId="64C4E00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14:paraId="6FD43A9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9.2 Nghĩa vụ của Bên B:</w:t>
      </w:r>
    </w:p>
    <w:p w14:paraId="3BD7E9C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14:paraId="6531339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14:paraId="2B941034" w14:textId="77777777"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14:paraId="6A3E5C27" w14:textId="77777777"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Bên B chịu trách nhiệm về tính hợp pháp, tính phù hợp của các quy chế, quy trình do mình soạn thảo theo quy định pháp luật hiện hành tại thời điểm bàn giao.</w:t>
      </w:r>
    </w:p>
    <w:p w14:paraId="75622605"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14:paraId="5159968F"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14:paraId="74F1D8D1" w14:textId="77777777"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Trong thời hạn từ 06 (sáu) đến 12 (mười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p>
    <w:p w14:paraId="7D17C73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Xuất hoá đơn tài chính theo quy định cho Bên A.</w:t>
      </w:r>
    </w:p>
    <w:p w14:paraId="14420AB5" w14:textId="77777777"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14:paraId="44A17C20" w14:textId="77777777"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Cs/>
          <w:color w:val="0000CC"/>
          <w:sz w:val="26"/>
          <w:szCs w:val="26"/>
        </w:rPr>
        <w:t>10.1. Đối với Bên A</w:t>
      </w:r>
    </w:p>
    <w:p w14:paraId="02239E36"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14:paraId="2B793524"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b/>
        <w:t>10.2. Đối với Bên B</w:t>
      </w:r>
    </w:p>
    <w:p w14:paraId="63F87068"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14:paraId="4CFD3DD1"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14:paraId="2A395451" w14:textId="77777777"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 Bên B chậm tiến độ thực hiện công việc sẽ bị phạt 0,1% giá trị hợp đồng cho mỗi ngày chậm nhưng tổng mức phạt không vượt quá 8% giá trị phần nghĩa vụ bị vi phạm theo quy định pháp luật.</w:t>
      </w:r>
    </w:p>
    <w:p w14:paraId="746475A6"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14:paraId="4D02536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14:paraId="6D47224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14:paraId="5CFB325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14:paraId="2BC8371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14:paraId="3AF51E67"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14:paraId="689C3B1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14:paraId="4C93F43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sẽ giải quyết tại Toà án có thẩm quyền</w:t>
      </w:r>
      <w:r>
        <w:t xml:space="preserve"> </w:t>
      </w:r>
      <w:r>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14:paraId="630CBC6B" w14:textId="77777777"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12.3. Bên B cam kết bảo mật tuyệt đối mọi thông tin, dữ liệu, hồ sơ, quy trình nội bộ của Bên A trong thời hạn thực hiện Hợp đồng và sau khi Hợp đồng chấm dứt.</w:t>
      </w:r>
    </w:p>
    <w:p w14:paraId="7AA537E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 Hợp đồng làm thành 04 bản (bằng tiếng Việt) có giá trị pháp lý như nhau, Bên A giữ 02 bản, Bên B giữ 02 bản;</w:t>
      </w:r>
    </w:p>
    <w:p w14:paraId="2F5F5DE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14:paraId="11E436E3" w14:textId="77777777" w:rsidTr="00AD1473">
        <w:trPr>
          <w:trHeight w:val="2258"/>
        </w:trPr>
        <w:tc>
          <w:tcPr>
            <w:tcW w:w="4928" w:type="dxa"/>
          </w:tcPr>
          <w:p w14:paraId="78A17865"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B</w:t>
            </w:r>
          </w:p>
          <w:p w14:paraId="6594BDF7"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16488F90" w14:textId="77777777" w:rsidR="00AD1473" w:rsidRPr="00AD1473" w:rsidRDefault="00AD1473" w:rsidP="00AD1473">
            <w:pPr>
              <w:jc w:val="center"/>
              <w:rPr>
                <w:rFonts w:ascii="Times New Roman" w:eastAsia="Times New Roman" w:hAnsi="Times New Roman" w:cs="Times New Roman"/>
                <w:b/>
                <w:color w:val="000000"/>
                <w:sz w:val="26"/>
                <w:szCs w:val="26"/>
              </w:rPr>
            </w:pPr>
          </w:p>
          <w:p w14:paraId="78B85130" w14:textId="77777777" w:rsidR="00AD1473" w:rsidRPr="00AD1473" w:rsidRDefault="00AD1473" w:rsidP="00AD1473">
            <w:pPr>
              <w:jc w:val="center"/>
              <w:rPr>
                <w:rFonts w:ascii="Times New Roman" w:eastAsia="Times New Roman" w:hAnsi="Times New Roman" w:cs="Times New Roman"/>
                <w:b/>
                <w:color w:val="000000"/>
                <w:sz w:val="26"/>
                <w:szCs w:val="26"/>
              </w:rPr>
            </w:pPr>
          </w:p>
          <w:p w14:paraId="520FA263" w14:textId="77777777" w:rsidR="00AD1473" w:rsidRPr="00AD1473" w:rsidRDefault="00AD1473" w:rsidP="00AD1473">
            <w:pPr>
              <w:jc w:val="center"/>
              <w:rPr>
                <w:rFonts w:ascii="Times New Roman" w:eastAsia="Times New Roman" w:hAnsi="Times New Roman" w:cs="Times New Roman"/>
                <w:b/>
                <w:color w:val="000000"/>
                <w:sz w:val="26"/>
                <w:szCs w:val="26"/>
              </w:rPr>
            </w:pPr>
          </w:p>
          <w:p w14:paraId="3CD584DC" w14:textId="77777777" w:rsidR="00AD1473" w:rsidRPr="00AD1473" w:rsidRDefault="00AD1473" w:rsidP="00AD1473">
            <w:pPr>
              <w:jc w:val="center"/>
              <w:rPr>
                <w:rFonts w:ascii="Times New Roman" w:eastAsia="Times New Roman" w:hAnsi="Times New Roman" w:cs="Times New Roman"/>
                <w:b/>
                <w:color w:val="000000"/>
                <w:sz w:val="26"/>
                <w:szCs w:val="26"/>
              </w:rPr>
            </w:pPr>
          </w:p>
          <w:p w14:paraId="6656BE0B"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Hoàng Hà</w:t>
            </w:r>
          </w:p>
        </w:tc>
        <w:tc>
          <w:tcPr>
            <w:tcW w:w="4678" w:type="dxa"/>
          </w:tcPr>
          <w:p w14:paraId="28C588D6"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14:paraId="3D1F2F3E" w14:textId="77777777" w:rsid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70642B85" w14:textId="77777777" w:rsidR="00AD1473" w:rsidRDefault="00AD1473" w:rsidP="00AD1473">
            <w:pPr>
              <w:jc w:val="center"/>
              <w:rPr>
                <w:rFonts w:ascii="Times New Roman" w:eastAsia="Times New Roman" w:hAnsi="Times New Roman" w:cs="Times New Roman"/>
                <w:b/>
                <w:color w:val="000000"/>
                <w:sz w:val="26"/>
                <w:szCs w:val="26"/>
              </w:rPr>
            </w:pPr>
          </w:p>
          <w:p w14:paraId="4DE690E4" w14:textId="77777777" w:rsidR="00AD1473" w:rsidRDefault="00AD1473" w:rsidP="00AD1473">
            <w:pPr>
              <w:jc w:val="center"/>
              <w:rPr>
                <w:rFonts w:ascii="Times New Roman" w:eastAsia="Times New Roman" w:hAnsi="Times New Roman" w:cs="Times New Roman"/>
                <w:b/>
                <w:color w:val="000000"/>
                <w:sz w:val="26"/>
                <w:szCs w:val="26"/>
              </w:rPr>
            </w:pPr>
          </w:p>
          <w:p w14:paraId="2151532C" w14:textId="77777777" w:rsidR="00AD1473" w:rsidRDefault="00AD1473" w:rsidP="00AD1473">
            <w:pPr>
              <w:jc w:val="center"/>
              <w:rPr>
                <w:rFonts w:ascii="Times New Roman" w:eastAsia="Times New Roman" w:hAnsi="Times New Roman" w:cs="Times New Roman"/>
                <w:b/>
                <w:color w:val="000000"/>
                <w:sz w:val="26"/>
                <w:szCs w:val="26"/>
              </w:rPr>
            </w:pPr>
          </w:p>
          <w:p w14:paraId="47F07861" w14:textId="77777777" w:rsidR="00AD1473" w:rsidRDefault="00AD1473" w:rsidP="00AD1473">
            <w:pPr>
              <w:jc w:val="center"/>
              <w:rPr>
                <w:rFonts w:ascii="Times New Roman" w:eastAsia="Times New Roman" w:hAnsi="Times New Roman" w:cs="Times New Roman"/>
                <w:b/>
                <w:color w:val="000000"/>
                <w:sz w:val="26"/>
                <w:szCs w:val="26"/>
              </w:rPr>
            </w:pPr>
          </w:p>
          <w:p w14:paraId="6F470052"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14:paraId="7B1A67EC" w14:textId="77777777"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lastRenderedPageBreak/>
        <w:t>PHỤ LỤC 1</w:t>
      </w:r>
    </w:p>
    <w:p w14:paraId="3F11B12F" w14:textId="77777777" w:rsidR="00317BFC" w:rsidRDefault="00317BFC">
      <w:pPr>
        <w:jc w:val="center"/>
        <w:rPr>
          <w:rFonts w:ascii="Times New Roman" w:eastAsia="Times New Roman" w:hAnsi="Times New Roman" w:cs="Times New Roman"/>
          <w:color w:val="000000"/>
          <w:sz w:val="26"/>
          <w:szCs w:val="26"/>
        </w:rPr>
      </w:pPr>
    </w:p>
    <w:p w14:paraId="24C73A02"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A0921B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14:paraId="1B5F2BCB"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14:paraId="2D1FDB12" w14:textId="77777777" w:rsidR="00272987" w:rsidRDefault="00000000">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thầu thực hiện các nhóm công việc sau:</w:t>
      </w:r>
    </w:p>
    <w:p w14:paraId="3A241097"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Rà soát và đánh giá hiện trạng toàn bộ hệ thống đầu tư xây dựng:</w:t>
      </w:r>
    </w:p>
    <w:p w14:paraId="149D3C89"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tổng thể một số dự án điển hình trong 05 năm gần nhất;</w:t>
      </w:r>
    </w:p>
    <w:p w14:paraId="6F2818C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mô hình tổ chức ĐTXD hiện nay: Ban Quản lý dự án; các phòng kỹ thuật; các đơn vị thành viên;</w:t>
      </w:r>
    </w:p>
    <w:p w14:paraId="704B6F4B"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năng lực nhân sự theo chức danh (số lượng, chất lượng, chứng chỉ hành nghề/năng lực), phân tích SWOT;</w:t>
      </w:r>
    </w:p>
    <w:p w14:paraId="18F98AC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các bất cập: chậm tiến độ; tăng tổng mức đầu tư; điều chỉnh thiết kế; vướng đấu thầu; vướng quyết toán; chồng chéo thẩm quyền.</w:t>
      </w:r>
    </w:p>
    <w:p w14:paraId="384CE75B"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Thiết kế mô hình quản trị đầu tư xây dựng mới cho VICEM Hà Tiên:</w:t>
      </w:r>
    </w:p>
    <w:p w14:paraId="79544E58"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đề xuất tối thiểu 03 phương án tổ chức kèm ưu, nhược điểm, khung tiêu chí và bảng so sánh; ưu tiên tận dụng nhân lực hiện hữu; khuyến nghị phương án;</w:t>
      </w:r>
    </w:p>
    <w:p w14:paraId="324E8054"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Sơ đồ tổ chức; Ma trận chức năng; Ma trận RACI.</w:t>
      </w:r>
    </w:p>
    <w:p w14:paraId="089DE1D3"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Chuẩn hóa toàn bộ quy trình ĐTXD (giai đoạn chuẩn bị đầu tư, thực hiện, kết thúc):</w:t>
      </w:r>
    </w:p>
    <w:p w14:paraId="2BECFDD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Bộ SOP ĐTXD; quy trình theo định hướng ISO; sơ đồ luồng công việc (workflow) điện tử.</w:t>
      </w:r>
    </w:p>
    <w:p w14:paraId="3DD23489"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Xây dựng hệ thống phân cấp, phân quyền:</w:t>
      </w:r>
    </w:p>
    <w:p w14:paraId="44363E0A"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ma trận thẩm quyền (chủ trương đầu tư; phê duyệt dự án; điều chỉnh TMĐT; chỉ định thầu; quyết toán...) phân định rõ giữa các cấp (Tổng giám đốc, HĐQT, VICEM);</w:t>
      </w:r>
    </w:p>
    <w:p w14:paraId="6FF6F06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Kết quả: tránh vượt thẩm quyền; giảm thời gian trình ký; đồng bộ với Điều lệ VICEM và Quy chế ĐTXD của VICEM; tăng tính chủ động, giảm phụ thuộc Tổng công ty VICEM.</w:t>
      </w:r>
    </w:p>
    <w:p w14:paraId="6F719966"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Xây dựng hệ thống biểu mẫu chuẩn kèm theo các quy chế, quy trình.</w:t>
      </w:r>
    </w:p>
    <w:p w14:paraId="7416D32A"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Xây dựng hệ thống KPI quản lý dự án:</w:t>
      </w:r>
    </w:p>
    <w:p w14:paraId="2AAFEEDD"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Tiến độ: SPI; tỷ lệ hoàn thành kế hoạch. Chi phí: CPI; tỷ lệ vượt TMĐT. Chất lượng: số lỗi nghiệm thu; số sự cố. Hiệu quả đầu tư: NPV; IRR; thời gian hoàn vốn.</w:t>
      </w:r>
    </w:p>
    <w:p w14:paraId="3A6B70D2"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Xây dựng hệ thống quản trị rủi ro ĐTXD:</w:t>
      </w:r>
    </w:p>
    <w:p w14:paraId="46D40EA4"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Risk Register cho các nhóm: pháp lý; thiết kế; đấu thầu; thi công; môi trường; hợp đồng; thanh, quyết toán;</w:t>
      </w:r>
    </w:p>
    <w:p w14:paraId="50428810"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Sổ tay quản lý rủi ro dự án; Ma trận rủi ro toàn công ty.</w:t>
      </w:r>
    </w:p>
    <w:p w14:paraId="236AA987"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Chuyển đổi số hoạt động ĐTXD:</w:t>
      </w:r>
    </w:p>
    <w:p w14:paraId="4DF6601B"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Định hướng PMIS (Hệ thống thông tin quản lý dự án); quản lý hồ sơ điện tử; nhật ký công trình điện tử; dashboard lãnh đạo; BIM đối với dự án lớn; tích hợp SAP/ERP (nếu có);</w:t>
      </w:r>
    </w:p>
    <w:p w14:paraId="7FD1D14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Việc triển khai số hóa chi tiết, đầu tư phần mềm thuộc phạm vi hợp đồng riêng, không thuộc phạm vi hợp đồng này.</w:t>
      </w:r>
    </w:p>
    <w:p w14:paraId="2F55CEEF"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Xây dựng bộ quy chế nội bộ mới (08 quy chế):</w:t>
      </w:r>
    </w:p>
    <w:p w14:paraId="09F0675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Quy chế quản lý ĐTXD; (2) Quy chế quản lý chi phí đầu tư; (3) Quy chế đấu thầu; (4) Quy chế quản lý hợp đồng; (5) Quy chế nghiệm thu – bàn giao; (6) Quy chế quyết toán vốn đầu tư; (7) Quy định phân cấp, phân quyền ĐTXD; (8) Quy chế kiểm soát nội bộ dự án.</w:t>
      </w:r>
    </w:p>
    <w:p>
      <w:pPr>
        <w:spacing w:before="40" w:after="40"/>
        <w:ind w:left="851" w:hanging="284"/>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Các văn bản trên được thiết kế theo hệ thống văn bản quản trị phân tầng: phần thiết lập nguyên tắc, thẩm quyền, phân cấp ban hành dưới hình thức quy chế (cấp HĐQT); phần trình tự thực hiện chi tiết được chuẩn hóa trong Bộ quy trình/SOP tại Mục 3 nêu trên (cấp Tổng giám đốc), bảo đảm không chồng chéo.</w:t>
      </w:r>
    </w:p>
    <w:p w14:paraId="66B93724"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Đào tạo và chuyển giao:</w:t>
      </w:r>
    </w:p>
    <w:p w14:paraId="6A85454E"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Đào tạo HĐQT; Ban Tổng giám đốc; Ban ĐTXD; các nhà máy;</w:t>
      </w:r>
    </w:p>
    <w:p w14:paraId="15C0AA63"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Kèm: Sổ tay hướng dẫn; bộ tài liệu đào tạo; hỗ trợ áp dụng từ 06 đến 12 tháng.</w:t>
      </w:r>
    </w:p>
    <w:p w14:paraId="1B5564C5" w14:textId="77777777" w:rsidR="00272987" w:rsidRDefault="00000000">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công việc nêu trên được thực hiện trên cơ sở tuân thủ: Luật Xây dựng số 135/2025/QH15; Luật Đấu thầu số 22/2023/QH15 (đã được sửa đổi, bổ sung bởi Luật số 57/2024/QH15 và Luật số 90/2025/QH15); Luật số 68/2025/QH15; các văn bản hướng dẫn, các quy định pháp luật và quy định quản trị của VICEM có liên quan.</w:t>
      </w:r>
    </w:p>
    <w:p w14:paraId="36079403"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14:paraId="5BC604A4"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14:paraId="56ACE15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14:paraId="414DB7A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14:paraId="5D8C1EFE"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14:paraId="638DEA7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14:paraId="56698CA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14:paraId="2A46F629"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14:paraId="7F5E3B89"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14:paraId="5D1F0342"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14:paraId="09CCEAF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14:paraId="15600152"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14:paraId="1F1F619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14:paraId="11F067B4"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14:paraId="4EC7298D"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2. Tiến độ cung cấp dịch vụ</w:t>
      </w:r>
    </w:p>
    <w:p w14:paraId="4991D2CD"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độ thực hiện: 60 ngày kể từ ngày Hợp đồng có hiệu lực.</w:t>
      </w:r>
    </w:p>
    <w:p w14:paraId="7A50CE5F"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điểm thực hiện: Trụ sở VICEM Hà Tiên hoặc địa điểm khác phù hợp với tính chất công việc</w:t>
      </w:r>
    </w:p>
    <w:p w14:paraId="090A12CB"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3. Yêu cầu về kỹ thuật</w:t>
      </w:r>
    </w:p>
    <w:p w14:paraId="627FA805" w14:textId="0DF1248E"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Thực hiện đầy đủ các nhóm công việc quy định tại Mục 1 Phụ lục này (rà soát, đánh giá hiện trạng; thiết kế mô hình quản trị ĐTXD mới; chuẩn hóa quy trình SOP; phân cấp, phân quyền; hệ thống biểu mẫu chuẩn; hệ thống KPI; quản trị rủi ro; chuyển đổi số; bộ quy chế nội bộ mới; đào tạo, chuyển giao), bảo đảm tuân thủ và phù hợp với quy định pháp luật </w:t>
        <w:lastRenderedPageBreak/>
        <w:t>hiện hành và quy định quản trị của VICEM. Bao gồm nhưng không giới hạn các quy định pháp luật sau:</w:t>
      </w:r>
    </w:p>
    <w:p w14:paraId="565DC372"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661FE160"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14:paraId="70160E77"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1935EF55" w14:textId="77777777" w:rsidR="00C16B2B" w:rsidRDefault="00D96D9D" w:rsidP="0075338D">
      <w:pPr>
        <w:spacing w:before="120" w:after="1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14:paraId="452B4C5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PHỤ LỤC 2</w:t>
      </w:r>
    </w:p>
    <w:p w14:paraId="291CBC3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4E6D413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14:paraId="506B3CB5" w14:textId="77777777" w:rsidR="00AD1473" w:rsidRDefault="00AD1473">
      <w:pPr>
        <w:rPr>
          <w:rFonts w:ascii="Times New Roman" w:eastAsia="Times New Roman" w:hAnsi="Times New Roman" w:cs="Times New Roman"/>
          <w:color w:val="000000"/>
          <w:sz w:val="26"/>
          <w:szCs w:val="26"/>
        </w:rPr>
      </w:pPr>
    </w:p>
    <w:p w14:paraId="3D04DD4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thời gian thực hiện: 60 ngày.</w:t>
      </w:r>
    </w:p>
    <w:p w14:paraId="7EA98105" w14:textId="77777777"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trPr>
          <w:tblHeader/>
        </w:trP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TT</w:t>
            </w:r>
          </w:p>
        </w:tc>
        <w:tc>
          <w:tcPr>
            <w:tcW w:w="7004"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Giai đoạn triển khai</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Tiến độ</w:t>
            </w:r>
          </w:p>
        </w:tc>
        <w:tc>
          <w:tcPr>
            <w:tcW w:w="2286"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Phụ trách</w:t>
            </w:r>
          </w:p>
        </w:tc>
        <w:tc>
          <w:tcPr>
            <w:tcW w:w="302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Kết quả bàn giao</w:t>
            </w: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HẠNG MỤC 1: KHẢO SÁT, ĐÁNH GIÁ HIỆN TRẠNG VÀ THIẾT KẾ MÔ HÌNH QUẢN TRỊ ĐTXD</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1 – 25</w:t>
            </w:r>
          </w:p>
        </w:tc>
        <w:tc>
          <w:tcPr>
            <w:tcW w:w="2286"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Rà soát tài liệu; khảo sát, đánh giá hiện trạng: mô hình tổ chức ĐTXD (Ban QLDA, các phòng kỹ thuật, các đơn vị thành viên); năng lực nhân sự theo chức danh; một số dự án điển hình trong 05 năm; phân tích SWOT; các bất cập (chậm tiến độ, tăng TMĐT, điều chỉnh thiết kế, vướng đấu thầu, vướng quyết toán, chồng chéo thẩm quyền).</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 – 12</w:t>
            </w:r>
          </w:p>
        </w:tc>
        <w:tc>
          <w:tcPr>
            <w:tcW w:w="2286"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Nhà thầu phụ trách,</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VICEM Hà Tiên phối hợp</w:t>
            </w:r>
          </w:p>
        </w:tc>
        <w:tc>
          <w:tcPr>
            <w:tcW w:w="3025"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khảo sát và đánh giá hiện trạng hệ thống ĐTXD (kèm phân tích SWOT, đánh giá nhân sự theo chức danh, phân loại danh mục dự án);</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khoảng cách pháp lý;</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Báo cáo đề xuất mô hình tổ chức quản trị ĐTXD mới (kèm sơ đồ tổ chức, ma trận chức năng, ma trận RACI).</w:t>
            </w: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Khảo sát thực địa.</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 18</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mô hình quản trị ĐTXD mới: phân tích tối thiểu 03 phương án tổ chức (khung tiêu chí, bảng so sánh, tham chiếu PVN/EVN/HUD/Hòa Phát), khuyến nghị phương án và lộ trình; tổng hợp, hoàn thiện Báo cáo Hạng mục 1.</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19 – 25</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HẠNG MỤC 2: CHUẨN HÓA QUY TRÌNH, QUY CHẾ, PHÂN CẤP, KPI, QUẢN TRỊ RỦI RO, CHUYỂN ĐỔI SỐ VÀ ĐÀO TẠO</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25 – 60</w:t>
            </w:r>
          </w:p>
        </w:tc>
        <w:tc>
          <w:tcPr>
            <w:tcW w:w="2286"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b/>
                <w:bCs/>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2.1</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Chuẩn hóa toàn bộ quy trình SOP ĐTXD (giai đoạn chuẩn bị đầu tư, thực hiện, kết thúc) theo định hướng ISO, sơ đồ luồng công việc điện tử; xây dựng hệ thống biểu mẫu chuẩn.</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25 – 33</w:t>
            </w:r>
          </w:p>
        </w:tc>
        <w:tc>
          <w:tcPr>
            <w:tcW w:w="2286"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Nhà thầu phụ trách,</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VICEM Hà Tiên phối hợp</w:t>
            </w:r>
          </w:p>
        </w:tc>
        <w:tc>
          <w:tcPr>
            <w:tcW w:w="3025" w:type="dxa"/>
            <w:vMerge w:val="restart"/>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quy trình SOP ĐTXD (03 giai đoạn, định hướng ISO, workflow điện tử) và hệ thống biểu mẫu chuẩn;</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phân cấp, phân quyền (ma trận thẩm quyền);</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08 quy chế nội bộ mới;</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KPI quản lý dự án và hệ thống quản trị rủi ro (Risk Register, Sổ tay rủi ro, Ma trận rủi ro);</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Lộ trình chuyển đổi số ĐTXD;</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Kế hoạch triển khai áp dụng 03 năm;</w:t>
            </w:r>
          </w:p>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Bộ tài liệu đào tạo, tập huấn.</w:t>
            </w: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2.2</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hệ thống phân cấp, phân quyền: ma trận thẩm quyền giữa các cấp; đồng bộ với Điều lệ và Quy chế ĐTXD của VICEM.</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33 – 38</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2.3</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Soạn thảo 08 quy chế nội bộ mới (ưu tiên nhóm có rủi ro pháp lý cao).</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38 – 47</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2.4</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hệ thống KPI quản lý dự án và hệ thống quản trị rủi ro ĐTXD (Risk Register, Sổ tay quản lý rủi ro, Ma trận rủi ro toàn công ty).</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47 – 52</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2.5</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Xây dựng lộ trình chuyển đổi số hoạt động ĐTXD và Kế hoạch triển khai áp dụng 03 năm.</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52 – 55</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2.6</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Lấy ý kiến VICEM Hà Tiên và hoàn thiện sản phẩm.</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55 – 58</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r>
        <w:tc>
          <w:tcPr>
            <w:tcW w:w="1055"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2.7</w:t>
            </w:r>
          </w:p>
        </w:tc>
        <w:tc>
          <w:tcPr>
            <w:tcW w:w="7004" w:type="dxa"/>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Đào tạo, chuyển giao: 02 buổi đào tạo cho HĐQT, Ban Tổng giám đốc, Ban ĐTXD và các nhà máy; bàn giao sổ tay hướng dẫn và bộ tài liệu đào tạo.</w:t>
            </w:r>
          </w:p>
        </w:tc>
        <w:tc>
          <w:tcPr>
            <w:tcW w:w="1583" w:type="dxa"/>
            <w:shd w:val="clear" w:color="auto" w:fill="FFFFFF"/>
            <w:tcMar>
              <w:top w:w="80" w:type="dxa"/>
              <w:left w:w="120" w:type="dxa"/>
              <w:bottom w:w="80" w:type="dxa"/>
              <w:right w:w="120" w:type="dxa"/>
            </w:tcMar>
            <w:vAlign w:val="center"/>
          </w:tcPr>
          <w:p>
            <w:pPr>
              <w:jc w:val="center"/>
              <w:spacing w:before="40" w:after="4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58 – 60</w:t>
            </w:r>
          </w:p>
        </w:tc>
        <w:tc>
          <w:tcPr>
            <w:tcW w:w="2286"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pPr>
              <w:jc w:val="both"/>
              <w:spacing w:before="40" w:after="40"/>
              <w:rPr>
                <w:rFonts w:ascii="Times New Roman" w:eastAsia="Times New Roman" w:hAnsi="Times New Roman" w:cs="Times New Roman"/>
                <w:color w:val="000000"/>
                <w:sz w:val="26"/>
                <w:szCs w:val="26"/>
              </w:rPr>
            </w:pPr>
          </w:p>
        </w:tc>
      </w:tr>
    </w:tbl>
    <w:p w14:paraId="3C6CCDCD" w14:textId="77777777"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9FF3" w14:textId="77777777" w:rsidR="00D43FB0" w:rsidRDefault="00D43FB0">
      <w:r>
        <w:separator/>
      </w:r>
    </w:p>
  </w:endnote>
  <w:endnote w:type="continuationSeparator" w:id="0">
    <w:p w14:paraId="1404DC8D" w14:textId="77777777" w:rsidR="00D43FB0" w:rsidRDefault="00D4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387E2F3-85C9-4223-AA8A-EA0F32AD4ED6}"/>
    <w:embedBold r:id="rId2" w:fontKey="{1A3E50C1-5876-4031-85FF-B030FEE33F5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95645589-4DC9-441B-A013-67E9DB1F21B9}"/>
  </w:font>
  <w:font w:name="Georgia">
    <w:panose1 w:val="02040502050405020303"/>
    <w:charset w:val="00"/>
    <w:family w:val="roman"/>
    <w:pitch w:val="variable"/>
    <w:sig w:usb0="00000287" w:usb1="00000000" w:usb2="00000000" w:usb3="00000000" w:csb0="0000009F" w:csb1="00000000"/>
    <w:embedItalic r:id="rId4" w:fontKey="{903DD895-2774-473C-B827-507DCFD4F119}"/>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69487"/>
    </w:sdtPr>
    <w:sdtEndPr>
      <w:rPr>
        <w:rFonts w:ascii="Times New Roman" w:hAnsi="Times New Roman" w:cs="Times New Roman"/>
        <w:sz w:val="26"/>
        <w:szCs w:val="26"/>
      </w:rPr>
    </w:sdtEndPr>
    <w:sdtContent>
      <w:p w14:paraId="11C66871" w14:textId="77777777"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14:paraId="03A181FC" w14:textId="77777777"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3844" w14:textId="77777777" w:rsidR="00D43FB0" w:rsidRDefault="00D43FB0">
      <w:r>
        <w:separator/>
      </w:r>
    </w:p>
  </w:footnote>
  <w:footnote w:type="continuationSeparator" w:id="0">
    <w:p w14:paraId="6FCE54DC" w14:textId="77777777" w:rsidR="00D43FB0" w:rsidRDefault="00D4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675281">
    <w:abstractNumId w:val="2"/>
  </w:num>
  <w:num w:numId="2" w16cid:durableId="2134249765">
    <w:abstractNumId w:val="0"/>
  </w:num>
  <w:num w:numId="3" w16cid:durableId="116485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64BE7"/>
    <w:rsid w:val="00272987"/>
    <w:rsid w:val="002D6F3B"/>
    <w:rsid w:val="00317BFC"/>
    <w:rsid w:val="003224F0"/>
    <w:rsid w:val="003C7D80"/>
    <w:rsid w:val="003D7C50"/>
    <w:rsid w:val="003F312C"/>
    <w:rsid w:val="004529DB"/>
    <w:rsid w:val="004B197F"/>
    <w:rsid w:val="00530A96"/>
    <w:rsid w:val="005407E5"/>
    <w:rsid w:val="005579D1"/>
    <w:rsid w:val="005E6E6B"/>
    <w:rsid w:val="006270FC"/>
    <w:rsid w:val="00637775"/>
    <w:rsid w:val="00642A31"/>
    <w:rsid w:val="006870EB"/>
    <w:rsid w:val="006F660A"/>
    <w:rsid w:val="00713335"/>
    <w:rsid w:val="0075338D"/>
    <w:rsid w:val="007761F4"/>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C16B2B"/>
    <w:rsid w:val="00D12D2B"/>
    <w:rsid w:val="00D34C79"/>
    <w:rsid w:val="00D43FB0"/>
    <w:rsid w:val="00D96D9D"/>
    <w:rsid w:val="00DC307B"/>
    <w:rsid w:val="00E15857"/>
    <w:rsid w:val="00E27A73"/>
    <w:rsid w:val="00E5086B"/>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FFEA68"/>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83B205-9C4B-4AD5-A70D-8D51C031A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Quoc Anh</cp:lastModifiedBy>
  <cp:revision>17</cp:revision>
  <cp:lastPrinted>2026-06-18T03:27:00Z</cp:lastPrinted>
  <dcterms:created xsi:type="dcterms:W3CDTF">2026-06-18T01:57:00Z</dcterms:created>
  <dcterms:modified xsi:type="dcterms:W3CDTF">2026-06-18T07:16:00Z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