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bộ-câu-hỏi-khảo-sát-thực-địa"/>
    <w:p>
      <w:pPr>
        <w:pStyle w:val="Heading1"/>
        <w:spacing w:line="312" w:lineRule="auto" w:before="360" w:after="240"/>
        <w:ind w:left="0" w:firstLine="0"/>
        <w:jc w:val="center"/>
      </w:pPr>
      <w:r>
        <w:rPr>
          <w:rFonts w:ascii="Times New Roman" w:hAnsi="Times New Roman" w:eastAsia="Times New Roman" w:cs="Times New Roman"/>
        </w:rPr>
        <w:t xml:space="preserve">BỘ CÂU HỎI KHẢO SÁT THỰC ĐỊA</w:t>
      </w:r>
    </w:p>
    <w:bookmarkStart w:id="12" w:name="Xff88de0be4f0709b28b808085cacf3a30a80f1a"/>
    <w:p>
      <w:pPr>
        <w:pStyle w:val="Heading2"/>
        <w:spacing w:line="312" w:lineRule="auto" w:before="240" w:after="240"/>
        <w:ind w:left="0" w:firstLine="0"/>
        <w:jc w:val="center"/>
      </w:pPr>
      <w:r>
        <w:rPr>
          <w:rFonts w:ascii="Times New Roman" w:hAnsi="Times New Roman" w:eastAsia="Times New Roman" w:cs="Times New Roman"/>
        </w:rPr>
        <w:t xml:space="preserve">BAN GIÁM ĐỐC — TỔNG GIÁM ĐỐC / PHÓ TỔNG GIÁM ĐỐC</w:t>
      </w:r>
    </w:p>
    <w:p>
      <w:pPr>
        <w:pStyle w:val="FirstParagraph"/>
        <w:spacing w:line="312" w:lineRule="auto" w:before="80" w:after="80"/>
        <w:jc w:val="left"/>
      </w:pPr>
      <w:r>
        <w:rPr>
          <w:rFonts w:ascii="Times New Roman" w:hAnsi="Times New Roman" w:eastAsia="Times New Roman" w:cs="Times New Roman"/>
          <w:b/>
          <w:bCs/>
        </w:rPr>
        <w:t xml:space="preserve">THÔNG TIN NGƯỜI TRẢ LỜI KHẢO SÁT:</w:t>
      </w:r>
      <w:r>
        <w:rPr>
          <w:rFonts w:ascii="Times New Roman" w:hAnsi="Times New Roman" w:eastAsia="Times New Roman" w:cs="Times New Roman"/>
        </w:rPr>
        <w:br/>
      </w:r>
      <w:r>
        <w:rPr>
          <w:rFonts w:ascii="Times New Roman" w:hAnsi="Times New Roman" w:eastAsia="Times New Roman" w:cs="Times New Roman"/>
        </w:rPr>
        <w:t xml:space="preserve">Họ và tên cán bộ: ……………………………………………………………………………</w:t>
      </w:r>
      <w:r>
        <w:rPr>
          <w:rFonts w:ascii="Times New Roman" w:hAnsi="Times New Roman" w:eastAsia="Times New Roman" w:cs="Times New Roman"/>
        </w:rPr>
        <w:br/>
      </w:r>
      <w:r>
        <w:rPr>
          <w:rFonts w:ascii="Times New Roman" w:hAnsi="Times New Roman" w:eastAsia="Times New Roman" w:cs="Times New Roman"/>
        </w:rPr>
        <w:t xml:space="preserve">Chức vụ / Bộ phận: ……………………………………………………………………………</w:t>
      </w:r>
      <w:r>
        <w:rPr>
          <w:rFonts w:ascii="Times New Roman" w:hAnsi="Times New Roman" w:eastAsia="Times New Roman" w:cs="Times New Roman"/>
        </w:rPr>
        <w:br/>
      </w:r>
      <w:r>
        <w:rPr>
          <w:rFonts w:ascii="Times New Roman" w:hAnsi="Times New Roman" w:eastAsia="Times New Roman" w:cs="Times New Roman"/>
        </w:rPr>
        <w:t xml:space="preserve">Số điện thoại / Email: ……………………………………………………………………………</w:t>
      </w:r>
    </w:p>
    <w:p>
      <w:pPr>
        <w:spacing w:line="312" w:lineRule="auto" w:before="80" w:after="80"/>
        <w:jc w:val="left"/>
      </w:pPr>
      <w:r>
        <w:rPr>
          <w:rFonts w:ascii="Times New Roman" w:hAnsi="Times New Roman" w:eastAsia="Times New Roman" w:cs="Times New Roman"/>
        </w:rPr>
        <w:pict>
          <v:rect style="width:0;height:1.5pt" o:hralign="center" o:hrstd="t" o:hr="t"/>
        </w:pict>
      </w:r>
    </w:p>
    <w:bookmarkStart w:id="9" w:name="X968cb815153262954ce61e33464c2633113bd97"/>
    <w:p>
      <w:pPr>
        <w:pStyle w:val="Heading3"/>
        <w:spacing w:line="312" w:lineRule="auto" w:before="280" w:after="160"/>
        <w:ind w:left="0" w:firstLine="0"/>
        <w:jc w:val="left"/>
      </w:pPr>
      <w:r>
        <w:rPr>
          <w:rFonts w:ascii="Times New Roman" w:hAnsi="Times New Roman" w:eastAsia="Times New Roman" w:cs="Times New Roman"/>
        </w:rPr>
        <w:t xml:space="preserve">Khối 1A: Các yếu tố quyết định lựa chọn Mô hình tổ chức Ban Quản lý dự án</w:t>
      </w:r>
    </w:p>
    <w:p>
      <w:pPr>
        <w:numPr>
          <w:ilvl w:val="0"/>
          <w:numId w:val="1001"/>
        </w:numPr>
        <w:spacing w:line="312" w:lineRule="auto" w:before="80" w:after="80"/>
        <w:jc w:val="left"/>
      </w:pPr>
      <w:r>
        <w:rPr>
          <w:rFonts w:ascii="Times New Roman" w:hAnsi="Times New Roman" w:eastAsia="Times New Roman" w:cs="Times New Roman"/>
          <w:b/>
          <w:bCs/>
        </w:rPr>
        <w:t xml:space="preserve">Định hướng về quy mô và tần suất các dự án đầu tư của VICEM Hà Tiên trong giai đoạn 3–5 năm tới (Đặc biệt dưới tác động của Luật Xây dựng mới 135/2025):</w:t>
      </w:r>
    </w:p>
    <w:p>
      <w:pPr>
        <w:pStyle w:val="Compact"/>
        <w:numPr>
          <w:ilvl w:val="1"/>
          <w:numId w:val="100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quy mô đầu tư dự kiến để định hình tính chuyên trách, liên tục của mô hình tổ chức Ban QLDA phù hợp với định hướng phát triển của VICEM Hà Tiên.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Quy mô đầu tư lớn, tần suất cao, đồng thời triển khai nhiều dự án (Nhóm A, B trên 120 tỷ đồng) thuộc nhiều lĩnh vực chuyên ngành hoặc phân bổ tại nhiều vùng/khu vực khác nhau (Phù hợp thành lập Ban QLDA chuyên ngành hoặc Ban QLDA khu vực có tư cách pháp nhân độc lập để quản lý tập trung và lâu dài - Phương án 2).</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Dự án chủ yếu là cải tạo công nghệ, nâng cấp chiều sâu quy mô trung bình (Nhóm B, C từ 15 tỷ đến 120 tỷ đồng) tại các nhà máy hiện hữu, tần suất không liên tục (Phù hợp mô hình Ban QLDA trực thuộc hạch toán phụ thuộc - Phương án 1).</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Dự án quy mô nhỏ, sửa chữa thường xuyên (dưới 15 tỷ đồng), mang tính thời điểm, không liên tục (Phù hợp mô hình Tổ QLDA kiêm nhiệm lâm thời, kết hợp thuê tư vấn QLDA chuyên nghiệp - Phương án 3).</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Quan điểm của Ban lãnh đạo về cơ chế kiểm soát dòng vốn nhà nước chi phối (79.69% vốn điều lệ) và phòng ngừa rủi ro pháp lý:</w:t>
      </w:r>
    </w:p>
    <w:p>
      <w:pPr>
        <w:pStyle w:val="Compact"/>
        <w:numPr>
          <w:ilvl w:val="1"/>
          <w:numId w:val="100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định hướng của Ban lãnh đạo về phân cấp tài chính và cơ chế kiểm soát chéo nhằm bảo toàn vốn nhà nước chi phối tại công ty cổ phần.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Kiểm soát chặt chẽ 2 lớp: Ban QLDA chuẩn bị hồ sơ -&gt; Các phòng ban Công ty (TCKT, KTPC, KHCL) kiểm tra, thẩm định -&gt; TGĐ phê duyệt chi trả (Bảo đảm an toàn tối đa - Phù hợp Phương án 1).</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Phân cấp tự chủ hoàn toàn cho Ban QLDA: Ban QLDA tự quyết định và tự chi từ tài khoản riêng; Công ty chỉ thực hiện hậu kiểm định kỳ (Tối ưu tiến độ xử lý thủ tục - Phù hợp Phương án 2).</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Kết hợp thuê đơn vị tư vấn quản lý dự án độc lập để kiểm soát khối lượng kỹ thuật tại hiện trường, Công ty giữ quyền kiểm soát dòng tiền thanh toán (Phù hợp Phương án 3).</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Định hướng về việc tối ưu hóa chi phí bộ máy và định biên nhân sự chuyên trách quản lý dự án:</w:t>
      </w:r>
    </w:p>
    <w:p>
      <w:pPr>
        <w:pStyle w:val="Compact"/>
        <w:numPr>
          <w:ilvl w:val="1"/>
          <w:numId w:val="100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Định vị ranh giới giữa việc tối ưu hóa nhân sự kiêm nhiệm của Công ty với việc thành lập bộ máy chuyên trách của Ban QLDA để cân bằng giữa chi phí bộ máy và hiệu quả điều 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Tận dụng tối đa bộ máy chức năng sẵn có (Kế toán, Pháp chế, Nhân sự…) của Công ty để phục vụ Ban QLDA, không phát sinh thêm định biên cồng kềnh (Tối ưu hóa chi phí bộ máy - Phù hợp Phương án 1).</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Thành lập đầy đủ bộ máy nhân sự độc lập cho Ban QLDA (có kế toán, pháp chế, hành chính riêng) để tăng tính chủ động, chấp nhận tăng chi phí bộ máy (Phù hợp Phương án 2).</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Tinh gọn nhân sự nội bộ ở mức tối thiểu (chỉ giữ nhóm quản trị hợp đồng cốt lõi), toàn bộ công tác điều hành hiện trường thuê ngoài (Phù hợp Phương án 3).</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Trên cơ sở phân tích ưu - nhược điểm của các phương án tổ chức, Ban lãnh đạo định hướng lựa chọn mô hình nào làm mục tiêu chuyển đổi:</w:t>
      </w:r>
    </w:p>
    <w:p>
      <w:pPr>
        <w:pStyle w:val="Compact"/>
        <w:numPr>
          <w:ilvl w:val="1"/>
          <w:numId w:val="100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định hướng của lãnh đạo về mô hình tổ chức mục tiêu (Ban trực thuộc hạch toán phụ thuộc, Ban chuyên ngành/khu vực độc lập hoặc thuê tư vấn).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Phương án 1: Ban QLDA trực thuộc (Đơn vị phụ thuộc, sử dụng pháp nhân Công ty, kiểm soát dòng tiền qua các phòng ban Công ty - Mô hình khuyên dùng).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Phương án 2: Ban QLDA chuyên ngành / khu vực độc lập (Có tư cách pháp nhân, tài khoản riêng, tự chủ tài chính hoàn toàn).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Phương án 3: Mô hình hỗn hợp (Tổ QLDA kiêm nhiệm lâm thời cho dự án nhỏ + thuê tư vấn QLDA chuyên nghiệp cho dự án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Đánh giá mức độ đáp ứng về chứng chỉ hành nghề hoạt động xây dựng theo Luật Xây dựng 135/2025/QH15 (Giám đốc QLDA không cần chứng chỉ hành nghề QLDA mà chỉ cần đáp ứng năng lực/kinh nghiệm; còn cán bộ chuyên môn phụ trách chất lượng, tiến độ, an toàn… bắt buộc có chứng chỉ hành nghề Thiết kế hoặc Giám sát phù hợp) của đội ngũ cán bộ Ban QLDA hiện nay:</w:t>
      </w:r>
    </w:p>
    <w:p>
      <w:pPr>
        <w:pStyle w:val="Compact"/>
        <w:numPr>
          <w:ilvl w:val="1"/>
          <w:numId w:val="100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thực trạng năng lực hành nghề của đội ngũ để đối chiếu với điều kiện năng lực tự thực hiện dự án theo quy định mới.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Đội ngũ cán bộ chuyên môn có đầy đủ chứng chỉ hành nghề Thiết kế/Giám sát Hạng I, Hạng II; hoàn toàn đáp ứng yêu cầu tự thực hiện quản lý trực tiếp các dự án lớn Nhóm A, B (Phù hợp Phương án 1, 2).</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Đội ngũ cán bộ chuyên môn có chứng chỉ Hạng II, Hạng III; đáp ứng tự thực hiện các dự án Nhóm C, còn các dự án lớn Nhóm A, B bắt buộc phải thuê tư vấn QLDA độc lập phối hợp (Phù hợp Phương án 3 hoặc Phương án 1 phối hợp tư vấn).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Thiếu chứng chỉ hành nghề chuyên môn Thiết kế/Giám sát; Ban QLDA chủ yếu quản lý về mặt thủ tục pháp lý/hợp đồng, toàn bộ công tác điều hành/giám sát hiện trường phải thuê tư vấn chuyên nghiệp thực hiện (Phù hợp Phương án 3).</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Định hướng phương thức điều hành dự án đối với các địa bàn nằm ngoài văn phòng chính của Công ty (Nhà máy Kiên Lương, Bình Phước, các trạm nghiền vệ tinh):</w:t>
      </w:r>
    </w:p>
    <w:p>
      <w:pPr>
        <w:pStyle w:val="Compact"/>
        <w:numPr>
          <w:ilvl w:val="1"/>
          <w:numId w:val="100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sự phù hợp của mô hình quản lý tập trung hay phân tán khi triển khai các dự án tại các đơn vị thành viên ở địa bàn khác.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Quản lý tập trung: Ban QLDA tại văn phòng chính cử cán bộ biệt phái xuống hiện trường khi có dự án, mọi hồ sơ pháp lý/thanh toán vẫn do Ban QLDA trung tâm giải quyết (Tối ưu hóa nhân sự - Phù hợp Phương án 1).</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Phân tán cục bộ: Thành lập các phân ban hoặc tổ QLDA thường trực tại các nhà máy/trạm nghiền, giao quyền chủ động xử lý hiện trường và phối hợp trực tiếp với Giám đốc đơn vị thụ hưởng (Tối ưu hóa tiến độ hiện trường - Phù hợp Phương án 1 cải tiến).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Giao thẳng cho Nhà máy thành viên tự thực hiện QLDA đối với các dự án cải tạo, sửa chữa nhỏ nằm trong khuôn viên nhà máy đó (Phù hợp Phương án 3).</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Định hướng của Ban lãnh đạo về phân cấp phê duyệt hồ sơ thanh quyết toán và lệnh chi tiền cho Ban QLDA:</w:t>
      </w:r>
    </w:p>
    <w:p>
      <w:pPr>
        <w:pStyle w:val="Compact"/>
        <w:numPr>
          <w:ilvl w:val="1"/>
          <w:numId w:val="100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mức độ ủy quyền duyệt thanh toán cho Giám đốc Ban QLDA để đẩy nhanh tiến độ giải ngân dòng tiền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Tập trung quyền chi trả tại Công ty: Ban QLDA nghiệm thu kỹ thuật và lập hồ sơ, phòng TCKT Công ty kiểm tra chéo và trình Tổng Giám đốc ký lệnh chi tiền (Bảo đảm an toàn dòng vốn - Phù hợp Phương án 1).</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Phân cấp trực tiếp cho Giám đốc Ban QLDA ký duyệt thanh toán và lệnh chi từ tài khoản riêng của Ban QLDA đối với các gói thầu trong hạn mức được ủy quyền (Tối ưu hóa tốc độ giải ngân - Phù hợp Phương án 2).</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Chỉ phân cấp duyệt thanh toán định kỳ theo hợp đồng (dưới 10 tỷ đồng), các khoản tạm ứng và quyết toán dự án hoàn thành bắt buộc trình Tổng Giám đốc Công ty phê duyệt (Mô hình hỗn hợp cải tiến).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9"/>
    <w:bookmarkStart w:id="10" w:name="Xf4de39159f7571d5b0859b51d88966a7aae2c83"/>
    <w:p>
      <w:pPr>
        <w:pStyle w:val="Heading3"/>
        <w:spacing w:line="312" w:lineRule="auto" w:before="280" w:after="160"/>
        <w:ind w:left="0" w:firstLine="0"/>
        <w:jc w:val="left"/>
      </w:pPr>
      <w:r>
        <w:rPr>
          <w:rFonts w:ascii="Times New Roman" w:hAnsi="Times New Roman" w:eastAsia="Times New Roman" w:cs="Times New Roman"/>
        </w:rPr>
        <w:t xml:space="preserve">Khối 1B: Phân cấp ủy quyền &amp; Chuyển đổi số (Ma trận phân định trách nhiệm)</w:t>
      </w:r>
    </w:p>
    <w:p>
      <w:pPr>
        <w:numPr>
          <w:ilvl w:val="0"/>
          <w:numId w:val="1009"/>
        </w:numPr>
        <w:spacing w:line="312" w:lineRule="auto" w:before="80" w:after="80"/>
        <w:jc w:val="left"/>
      </w:pPr>
      <w:r>
        <w:rPr>
          <w:rFonts w:ascii="Times New Roman" w:hAnsi="Times New Roman" w:eastAsia="Times New Roman" w:cs="Times New Roman"/>
          <w:b/>
          <w:bCs/>
        </w:rPr>
        <w:t xml:space="preserve">Cơ chế phân cấp/ủy quyền hiện tại: Tổng Giám đốc ủy quyền cho Giám đốc Ban QLDA ở mức nào?</w:t>
      </w:r>
    </w:p>
    <w:p>
      <w:pPr>
        <w:pStyle w:val="Compact"/>
        <w:numPr>
          <w:ilvl w:val="1"/>
          <w:numId w:val="1010"/>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tính chủ động trong quyết định đầu tư và quản lý hợp đồng của Giám đốc Ban QLDA dưới các hạn mức ủy quyền.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Được chủ động quyết định toàn bộ các khâu từ phê duyệt thiết kế, dự toán đến lựa chọn nhà thầu đối với dự án nhóm 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Chỉ được ủy quyền ký hồ sơ thanh toán định kỳ và phê duyệt các phát sinh/hợp đồng giá trị nhỏ (dưới 1 tỷ đồng).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Không được ủy quyền phê duyệt tài chính, mọi hồ sơ pháp lý và thanh quyết toán đều phải trình Tổng Giám đốc ký duyệt.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(Hạn mức cụ thể nếu có): …………………………………………………….</w:t>
      </w:r>
    </w:p>
    <w:p>
      <w:pPr>
        <w:numPr>
          <w:ilvl w:val="0"/>
          <w:numId w:val="1009"/>
        </w:numPr>
        <w:spacing w:line="312" w:lineRule="auto" w:before="80" w:after="80"/>
        <w:jc w:val="left"/>
      </w:pPr>
      <w:r>
        <w:rPr>
          <w:rFonts w:ascii="Times New Roman" w:hAnsi="Times New Roman" w:eastAsia="Times New Roman" w:cs="Times New Roman"/>
          <w:b/>
          <w:bCs/>
        </w:rPr>
        <w:t xml:space="preserve">Điểm nghẽn lớn nhất trong quy trình phối hợp ngang giữa Ban QLDA và các phòng ban Công ty (KTPC, TCKT, Tổ Thẩm định):</w:t>
      </w:r>
    </w:p>
    <w:p>
      <w:pPr>
        <w:pStyle w:val="Compact"/>
        <w:numPr>
          <w:ilvl w:val="1"/>
          <w:numId w:val="1011"/>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các nút thắt trong quy trình luân chuyển hồ sơ giữa Ban QLDA và Ban kiểm soát, Pháp chế, Kế toán Công ty để tối ưu hóa thời gian xử lý thủ tục.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Khâu rà soát pháp lý hợp đồng tại phòng Kiểm tra Pháp chế kéo dài thời gian.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Khâu thẩm định nội bộ hồ sơ thiết kế, dự toán và HSMT của Tổ Thẩm định Công ty phức tạp.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Khâu kiểm tra chứng từ và giải ngân thanh toán tại phòng Tài chính - Kế toán Công ty bị chậm.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Không có điểm nghẽn lớn, phối hợp tương đối nhịp nhàng.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Ý kiến khác: ………………………………………………………………………………….</w:t>
      </w:r>
    </w:p>
    <w:p>
      <w:pPr>
        <w:numPr>
          <w:ilvl w:val="0"/>
          <w:numId w:val="1009"/>
        </w:numPr>
        <w:spacing w:line="312" w:lineRule="auto" w:before="80" w:after="80"/>
        <w:jc w:val="left"/>
      </w:pPr>
      <w:r>
        <w:rPr>
          <w:rFonts w:ascii="Times New Roman" w:hAnsi="Times New Roman" w:eastAsia="Times New Roman" w:cs="Times New Roman"/>
          <w:b/>
          <w:bCs/>
        </w:rPr>
        <w:t xml:space="preserve">Mức độ sẵn sàng đầu tư ngân sách cho hạ tầng công nghệ, phần mềm quản lý và đào tạo nhân sự triển khai BIM/CDE bắt buộc:</w:t>
      </w:r>
    </w:p>
    <w:p>
      <w:pPr>
        <w:pStyle w:val="Compact"/>
        <w:numPr>
          <w:ilvl w:val="1"/>
          <w:numId w:val="101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mức độ sẵn sàng đầu tư công nghệ của Ban lãnh đạo nhằm đáp ứng yêu cầu bắt buộc áp dụng Mô hình thông tin công trình (BIM).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Sẵn sàng đầu tư đồng bộ cả phần cứng, mua bản quyền phần mềm và đào tạo chuyên sâu cho nhân sự.</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Chỉ đầu tư ở mức tối thiểu để đáp ứng yêu cầu pháp lý bắt buộc từ ngày 01/07/2026.</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Ưu tiên thuê đơn vị tư vấn ngoài thực hiện BIM, chưa có kế hoạch đầu tư hạ tầng nội bộ.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9"/>
        </w:numPr>
        <w:spacing w:line="312" w:lineRule="auto" w:before="80" w:after="80"/>
        <w:jc w:val="left"/>
      </w:pPr>
      <w:r>
        <w:rPr>
          <w:rFonts w:ascii="Times New Roman" w:hAnsi="Times New Roman" w:eastAsia="Times New Roman" w:cs="Times New Roman"/>
          <w:b/>
          <w:bCs/>
        </w:rPr>
        <w:t xml:space="preserve">Các giới hạn và ràng buộc từ quy chế của Tổng Công ty VICEM đối với việc tổ chức mô hình Ban QLDA và phân cấp ủy quyền:</w:t>
      </w:r>
    </w:p>
    <w:p>
      <w:pPr>
        <w:pStyle w:val="Compact"/>
        <w:numPr>
          <w:ilvl w:val="1"/>
          <w:numId w:val="101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Làm rõ các giới hạn pháp lý và quy chế từ công ty mẹ tác động đến quyền tự chủ của VICEM Hà Tiên trong công tác quản lý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Giới hạn nghiêm ngặt về hạn mức phê duyệt đầu tư và phê duyệt kế hoạch lựa chọn nhà thầu (phải trình Tổng công ty thông qua/phê duyệt).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Ràng buộc về chỉ tiêu biên chế, quỹ lương chịu sự kiểm soát và phê duyệt tập trung từ Tổng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Yêu cầu bắt buộc áp dụng đồng bộ các mẫu biểu quy chế, quy trình nghiệp vụ QLDA do Tổng công ty ban hành, ít không gian tùy biến.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khác/Mô tả chi tiết vướng mắc: …………………………………………………………………………</w:t>
      </w:r>
    </w:p>
    <w:bookmarkEnd w:id="10"/>
    <w:bookmarkStart w:id="11" w:name="Xa85bf29a624d3a7679c0522f6a3c0f4acf3bfae"/>
    <w:p>
      <w:pPr>
        <w:pStyle w:val="Heading3"/>
        <w:spacing w:line="312" w:lineRule="auto" w:before="280" w:after="160"/>
        <w:ind w:left="0" w:firstLine="0"/>
        <w:jc w:val="left"/>
      </w:pPr>
      <w:r>
        <w:rPr>
          <w:rFonts w:ascii="Times New Roman" w:hAnsi="Times New Roman" w:eastAsia="Times New Roman" w:cs="Times New Roman"/>
        </w:rPr>
        <w:t xml:space="preserve">Khối 1C: Đánh giá phương án tổ chức Ban QLDA — Góc nhìn chiến lược</w:t>
      </w:r>
      <w:r>
        <w:rPr>
          <w:rFonts w:ascii="Times New Roman" w:hAnsi="Times New Roman" w:eastAsia="Times New Roman" w:cs="Times New Roman"/>
        </w:rPr>
        <w:t xml:space="preserve"> </w:t>
      </w:r>
      <w:r>
        <w:rPr>
          <w:rFonts w:ascii="Times New Roman" w:hAnsi="Times New Roman" w:eastAsia="Times New Roman" w:cs="Times New Roman"/>
          <w:i/>
          <w:iCs/>
        </w:rPr>
        <w:t xml:space="preserve">(Ánh xạ Bảng chấm điểm 6.2)</w:t>
      </w:r>
    </w:p>
    <w:p>
      <w:pPr>
        <w:pStyle w:val="FirstParagraph"/>
        <w:spacing w:line="312" w:lineRule="auto" w:before="80" w:after="80"/>
        <w:jc w:val="left"/>
      </w:pPr>
      <w:r>
        <w:rPr>
          <w:rFonts w:ascii="Times New Roman" w:hAnsi="Times New Roman" w:eastAsia="Times New Roman" w:cs="Times New Roman"/>
          <w:i/>
          <w:iCs/>
        </w:rPr>
        <w:t xml:space="preserve">Ghi chú: Các câu hỏi dưới đây phục vụ chấm điểm so sánh 3 phương án tổ chức Ban QLDA theo 14 tiêu chí. Kết quả sẽ được CIC sử dụng làm bằng chứng thực tế (evidence-based) để chấm điểm trên thang 1–5.</w:t>
      </w:r>
    </w:p>
    <w:p>
      <w:pPr>
        <w:numPr>
          <w:ilvl w:val="0"/>
          <w:numId w:val="1014"/>
        </w:numPr>
        <w:spacing w:line="312" w:lineRule="auto" w:before="80" w:after="80"/>
        <w:jc w:val="left"/>
      </w:pPr>
      <w:r>
        <w:rPr>
          <w:rFonts w:ascii="Times New Roman" w:hAnsi="Times New Roman" w:eastAsia="Times New Roman" w:cs="Times New Roman"/>
          <w:b/>
          <w:bCs/>
        </w:rPr>
        <w:t xml:space="preserve">[TC-01] Nếu Ban QLDA được giao tài khoản thanh toán riêng và tự quyết giải ngân (Phương án 2), Ban lãnh đạo đánh giá mức độ rủi ro mất kiểm soát dòng tiền như thế nào?</w:t>
      </w:r>
    </w:p>
    <w:p>
      <w:pPr>
        <w:pStyle w:val="Compact"/>
        <w:numPr>
          <w:ilvl w:val="1"/>
          <w:numId w:val="101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đánh giá của lãnh đạo về rủi ro khi phân cấp tài chính hoàn toàn cho Ban QLDA.</w:t>
      </w:r>
    </w:p>
    <w:p>
      <w:pPr>
        <w:pStyle w:val="Compact"/>
        <w:numPr>
          <w:ilvl w:val="1"/>
          <w:numId w:val="1015"/>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TC-01 — Kiểm soát rủi ro vốn nhà nước (Trọng số: 15%)</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Rủi ro rất cao — lịch sử ngành xây dựng cho thấy tài khoản riêng dễ phát sinh lạm chi, khó hậu kiểm.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Rủi ro trung bình — có thể kiểm soát được nếu thiết lập cơ chế hậu kiểm chặt chẽ (kiểm toán nội bộ quý).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Rủi ro thấp — nhân sự Ban QLDA đủ năng lực và uy tín để tự quản lý tài chính.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4"/>
        </w:numPr>
        <w:spacing w:line="312" w:lineRule="auto" w:before="80" w:after="80"/>
        <w:jc w:val="left"/>
      </w:pPr>
      <w:r>
        <w:rPr>
          <w:rFonts w:ascii="Times New Roman" w:hAnsi="Times New Roman" w:eastAsia="Times New Roman" w:cs="Times New Roman"/>
          <w:b/>
          <w:bCs/>
        </w:rPr>
        <w:t xml:space="preserve">[TC-03] Ban lãnh đạo đánh giá như thế nào về nguy cơ tập trung trách nhiệm pháp lý vào một cá nhân (Giám đốc Ban QLDA) khi được giao quyền tự quyết toàn diện?</w:t>
      </w:r>
    </w:p>
    <w:p>
      <w:pPr>
        <w:pStyle w:val="Compact"/>
        <w:numPr>
          <w:ilvl w:val="1"/>
          <w:numId w:val="101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quan điểm lãnh đạo về mô hình phân tán vs. tập trung trách nhiệm cá nhân trong bối cảnh vụ án VICEM Cầu Giấy (14 bị cáo, GĐ Ban QLDA lĩnh 9 năm tù).</w:t>
      </w:r>
    </w:p>
    <w:p>
      <w:pPr>
        <w:pStyle w:val="Compact"/>
        <w:numPr>
          <w:ilvl w:val="1"/>
          <w:numId w:val="1016"/>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TC-03 — Rủi ro trách nhiệm hình sự cá nhân (Trọng số: 10%)</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Nguy cơ rất cao — cần duy trì cơ chế kiểm soát nhiều lớp để bảo vệ cán bộ quản lý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Nguy cơ trung bình — có thể giảm thiểu bằng quy chế nội bộ và bảo hiểm trách nhiệm nghề nghiệp.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Nguy cơ thấp — nếu Giám đốc Ban QLDA có đủ năng lực và tuân thủ quy trình.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4"/>
        </w:numPr>
        <w:spacing w:line="312" w:lineRule="auto" w:before="80" w:after="80"/>
        <w:jc w:val="left"/>
      </w:pPr>
      <w:r>
        <w:rPr>
          <w:rFonts w:ascii="Times New Roman" w:hAnsi="Times New Roman" w:eastAsia="Times New Roman" w:cs="Times New Roman"/>
          <w:b/>
          <w:bCs/>
        </w:rPr>
        <w:t xml:space="preserve">[TC-08] Nếu VICEM Hà Tiên đồng thời triển khai dự án lớn tại cả 3 cơ sở (Kiên Lương, Bình Phước, trạm nghiền), phương án nhân sự nào khả thi nhất?</w:t>
      </w:r>
    </w:p>
    <w:p>
      <w:pPr>
        <w:pStyle w:val="Compact"/>
        <w:numPr>
          <w:ilvl w:val="1"/>
          <w:numId w:val="101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khả năng mở rộng quy mô thực tế khi dự án phân bổ tại nhiều địa bàn.</w:t>
      </w:r>
    </w:p>
    <w:p>
      <w:pPr>
        <w:pStyle w:val="Compact"/>
        <w:numPr>
          <w:ilvl w:val="1"/>
          <w:numId w:val="1017"/>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TC-08 — Khả năng mở rộng quy mô / Scalability (Trọng số: 5%)</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Cử cán bộ biệt phái từ Ban QLDA trung tâm — đủ nhân sự nhưng thiếu nhân lực thường trực tại hiện trường.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Thành lập tổ QLDA vệ tinh tại mỗi cơ sở — tăng chi phí nhưng hiệu quả quản lý hiện trường cao hơn.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Thuê tư vấn QLDA chuyên nghiệp tại từng cơ sở, Ban QLDA trung tâm chỉ kiểm soát hợp đồng và tài chính.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4"/>
        </w:numPr>
        <w:spacing w:line="312" w:lineRule="auto" w:before="80" w:after="80"/>
        <w:jc w:val="left"/>
      </w:pPr>
      <w:r>
        <w:rPr>
          <w:rFonts w:ascii="Times New Roman" w:hAnsi="Times New Roman" w:eastAsia="Times New Roman" w:cs="Times New Roman"/>
          <w:b/>
          <w:bCs/>
        </w:rPr>
        <w:t xml:space="preserve">[TC-12] Nếu Công ty thiết lập cơ chế quỹ lương riêng cho Ban QLDA (trích từ chi phí quản lý dự án), điều này có khả thi về mặt quy chế và được VICEM mẹ chấp thuận không?</w:t>
      </w:r>
    </w:p>
    <w:p>
      <w:pPr>
        <w:pStyle w:val="Compact"/>
        <w:numPr>
          <w:ilvl w:val="1"/>
          <w:numId w:val="101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tính khả thi của giải pháp cải thiện đãi ngộ cho PA1 — yếu tố quan trọng để PA1 cạnh tranh với PA2 về giữ chân nhân tài.</w:t>
      </w:r>
    </w:p>
    <w:p>
      <w:pPr>
        <w:pStyle w:val="Compact"/>
        <w:numPr>
          <w:ilvl w:val="1"/>
          <w:numId w:val="1018"/>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TC-12 — Giữ chân &amp; Phát triển nhân tài (Trọng số: 5%)</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Khả thi — có cơ sở pháp lý theo Thông tư 08/2024/TT-BXD, đã có đơn vị VICEM khác áp dụng.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Khả thi có điều kiện — cần xin phê duyệt VICEM mẹ và điều chỉnh quy chế tài chính nội bộ.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Không khả thi — quy chế VICEM mẹ không cho phép quỹ lương riêng cho đơn vị phụ thuộc.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4"/>
        </w:numPr>
        <w:spacing w:line="312" w:lineRule="auto" w:before="80" w:after="80"/>
        <w:jc w:val="left"/>
      </w:pPr>
      <w:r>
        <w:rPr>
          <w:rFonts w:ascii="Times New Roman" w:hAnsi="Times New Roman" w:eastAsia="Times New Roman" w:cs="Times New Roman"/>
          <w:b/>
          <w:bCs/>
        </w:rPr>
        <w:t xml:space="preserve">[TC-13] Dự kiến quy mô đầu tư giai đoạn 2026–2030 so với giai đoạn 2020–2025:</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xu hướng tăng/giảm quy mô đầu tư để xác định phương án tổ chức phù hợp dài hạn.</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TC-13 — Phù hợp quy mô đầu tư hiện tại (Trọng số: 4%)</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Tăng mạnh (trên 50%) — nhiều dự án chuyển đổi công nghệ xanh, mở rộng công suất.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Tăng nhẹ (10–50%) — duy trì đầu tư cải tạo, nâng cấp.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Tương đương giai đoạn trước — chủ yếu sửa chữa, bảo trì.</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Giảm — doanh nghiệp tập trung vận hành, ít đầu tư xây dựng mới.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Ý kiến khác: ………………………………………………………………………………….</w:t>
      </w:r>
    </w:p>
    <w:p>
      <w:pPr>
        <w:numPr>
          <w:ilvl w:val="0"/>
          <w:numId w:val="1014"/>
        </w:numPr>
        <w:spacing w:line="312" w:lineRule="auto" w:before="80" w:after="80"/>
        <w:jc w:val="left"/>
      </w:pPr>
      <w:r>
        <w:rPr>
          <w:rFonts w:ascii="Times New Roman" w:hAnsi="Times New Roman" w:eastAsia="Times New Roman" w:cs="Times New Roman"/>
          <w:b/>
          <w:bCs/>
        </w:rPr>
        <w:t xml:space="preserve">[TC-14] Tổng công ty VICEM mẹ có chỉ đạo/khuyến nghị cụ thể nào về mô hình tổ chức Ban QLDA cho các đơn vị thành viên không?</w:t>
      </w:r>
    </w:p>
    <w:p>
      <w:pPr>
        <w:pStyle w:val="Compact"/>
        <w:numPr>
          <w:ilvl w:val="1"/>
          <w:numId w:val="1020"/>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mức độ tự chủ của VICEM Hà Tiên trong lựa chọn mô hình — nếu VICEM mẹ đã có định hướng thống nhất thì PA phải đồng bộ.</w:t>
      </w:r>
    </w:p>
    <w:p>
      <w:pPr>
        <w:pStyle w:val="Compact"/>
        <w:numPr>
          <w:ilvl w:val="1"/>
          <w:numId w:val="1020"/>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TC-14 — Phù hợp định hướng Tổng công ty VICEM mẹ (Trọng số: 2%)</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Có chỉ đạo rõ ràng — VICEM mẹ yêu cầu các đơn vị thành viên áp dụng mô hình Ban QLDA trực thuộc (PA1).</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khuyến nghị chung nhưng để các đơn vị tự quyết định phù hợp với đặc thù.</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Không có chỉ đạo/khuyến nghị cụ thể — hoàn toàn do HĐQT từng đơn vị quyết định.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4"/>
        </w:numPr>
        <w:spacing w:line="312" w:lineRule="auto" w:before="80" w:after="80"/>
        <w:jc w:val="left"/>
      </w:pPr>
      <w:r>
        <w:rPr>
          <w:rFonts w:ascii="Times New Roman" w:hAnsi="Times New Roman" w:eastAsia="Times New Roman" w:cs="Times New Roman"/>
          <w:b/>
          <w:bCs/>
        </w:rPr>
        <w:t xml:space="preserve">[TC-14] Mô hình Ban QLDA đang được áp dụng tại các đơn vị thành viên VICEM khác mà anh/chị biết (VICEM Bỉm Sơn, Bút Sơn, Hoàng Mai):</w:t>
      </w:r>
    </w:p>
    <w:p>
      <w:pPr>
        <w:pStyle w:val="Compact"/>
        <w:numPr>
          <w:ilvl w:val="1"/>
          <w:numId w:val="1021"/>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benchmarking nội bộ hệ thống VICEM.</w:t>
      </w:r>
    </w:p>
    <w:p>
      <w:pPr>
        <w:pStyle w:val="Compact"/>
        <w:numPr>
          <w:ilvl w:val="1"/>
          <w:numId w:val="1021"/>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TC-14 — Phù hợp định hướng Tổng công ty VICEM mẹ (Trọng số: 2%)</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Tất cả đều dùng mô hình Ban QLDA trực thuộc (đơn vị phụ thuộc, không có pháp nhân riêng).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Có đơn vị dùng Ban QLDA độc lập có pháp nhân riêng.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Có đơn vị thuê tư vấn QLDA bên ngoài toàn bộ.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Không nắm rõ thông tin về các đơn vị khác.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Ý kiến khác: ………………………………………………………………………………….</w:t>
      </w:r>
    </w:p>
    <w:p>
      <w:pPr>
        <w:numPr>
          <w:ilvl w:val="0"/>
          <w:numId w:val="1014"/>
        </w:numPr>
        <w:spacing w:line="312" w:lineRule="auto" w:before="80" w:after="80"/>
        <w:jc w:val="left"/>
      </w:pPr>
      <w:r>
        <w:rPr>
          <w:rFonts w:ascii="Times New Roman" w:hAnsi="Times New Roman" w:eastAsia="Times New Roman" w:cs="Times New Roman"/>
          <w:b/>
          <w:bCs/>
        </w:rPr>
        <w:t xml:space="preserve">[Tổng hợp] Sau khi xem xét toàn bộ các yếu tố, anh/chị nghiêng về phương án tổ chức nào cho Ban QLDA VICEM Hà Tiên?</w:t>
      </w:r>
    </w:p>
    <w:p>
      <w:pPr>
        <w:pStyle w:val="Compact"/>
        <w:numPr>
          <w:ilvl w:val="1"/>
          <w:numId w:val="102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đánh giá tổng thể trực giác của lãnh đạo — đối chiếu với kết quả chấm điểm định lượng để kiểm tra tính nhất quán.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b/>
          <w:bCs/>
        </w:rPr>
        <w:t xml:space="preserve">Phương án 1</w:t>
      </w:r>
      <w:r>
        <w:rPr>
          <w:rFonts w:ascii="Times New Roman" w:hAnsi="Times New Roman" w:eastAsia="Times New Roman" w:cs="Times New Roman"/>
        </w:rPr>
        <w:t xml:space="preserve"> </w:t>
      </w:r>
      <w:r>
        <w:rPr>
          <w:rFonts w:ascii="Times New Roman" w:hAnsi="Times New Roman" w:eastAsia="Times New Roman" w:cs="Times New Roman"/>
        </w:rPr>
        <w:t xml:space="preserve">— Ban QLDA trực thuộc (đơn vị phụ thuộc, không pháp nhân riêng): ưu tiên kiểm soát vốn và an toàn pháp lý.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ascii="Times New Roman" w:hAnsi="Times New Roman" w:eastAsia="Times New Roman" w:cs="Times New Roman"/>
          <w:b/>
          <w:bCs/>
        </w:rPr>
        <w:t xml:space="preserve">Phương án 2</w:t>
      </w:r>
      <w:r>
        <w:rPr>
          <w:rFonts w:ascii="Times New Roman" w:hAnsi="Times New Roman" w:eastAsia="Times New Roman" w:cs="Times New Roman"/>
        </w:rPr>
        <w:t xml:space="preserve"> </w:t>
      </w:r>
      <w:r>
        <w:rPr>
          <w:rFonts w:ascii="Times New Roman" w:hAnsi="Times New Roman" w:eastAsia="Times New Roman" w:cs="Times New Roman"/>
        </w:rPr>
        <w:t xml:space="preserve">— Ban QLDA độc lập (có pháp nhân, tài khoản riêng): ưu tiên tốc độ và tự chủ.</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b/>
          <w:bCs/>
        </w:rPr>
        <w:t xml:space="preserve">Phương án 3</w:t>
      </w:r>
      <w:r>
        <w:rPr>
          <w:rFonts w:ascii="Times New Roman" w:hAnsi="Times New Roman" w:eastAsia="Times New Roman" w:cs="Times New Roman"/>
        </w:rPr>
        <w:t xml:space="preserve"> </w:t>
      </w:r>
      <w:r>
        <w:rPr>
          <w:rFonts w:ascii="Times New Roman" w:hAnsi="Times New Roman" w:eastAsia="Times New Roman" w:cs="Times New Roman"/>
        </w:rPr>
        <w:t xml:space="preserve">— Mô hình hỗn hợp (nội bộ + thuê tư vấn QLDA): ưu tiên linh hoạt và năng lực chuyên môn.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b/>
          <w:bCs/>
        </w:rPr>
        <w:t xml:space="preserve">Kết hợp PA1 + PA3</w:t>
      </w:r>
      <w:r>
        <w:rPr>
          <w:rFonts w:ascii="Times New Roman" w:hAnsi="Times New Roman" w:eastAsia="Times New Roman" w:cs="Times New Roman"/>
        </w:rPr>
        <w:t xml:space="preserve"> </w:t>
      </w:r>
      <w:r>
        <w:rPr>
          <w:rFonts w:ascii="Times New Roman" w:hAnsi="Times New Roman" w:eastAsia="Times New Roman" w:cs="Times New Roman"/>
        </w:rPr>
        <w:t xml:space="preserve">— Ban trực thuộc làm nền tảng, thuê tư vấn cho dự án đặc biệt phức tạp.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Ý kiến khác: ………………………………………………………………………………….</w:t>
      </w:r>
    </w:p>
    <w:p>
      <w:pPr>
        <w:numPr>
          <w:ilvl w:val="0"/>
          <w:numId w:val="1014"/>
        </w:numPr>
        <w:spacing w:line="312" w:lineRule="auto" w:before="80" w:after="80"/>
        <w:jc w:val="left"/>
      </w:pPr>
      <w:r>
        <w:rPr>
          <w:rFonts w:ascii="Times New Roman" w:hAnsi="Times New Roman" w:eastAsia="Times New Roman" w:cs="Times New Roman"/>
          <w:b/>
          <w:bCs/>
        </w:rPr>
        <w:t xml:space="preserve">[Tổng hợp] Yếu tố nào anh/chị cho là QUAN TRỌNG NHẤT khi lựa chọn mô hình tổ chức Ban QLDA? (Chọn tối đa 3 yếu tố)</w:t>
      </w:r>
    </w:p>
    <w:p>
      <w:pPr>
        <w:pStyle w:val="Compact"/>
        <w:numPr>
          <w:ilvl w:val="1"/>
          <w:numId w:val="102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trọng số ưu tiên thực tế từ góc nhìn lãnh đạo — kiểm chứng và hiệu chỉnh bảng trọng số do CIC đề xuất.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An toàn vốn nhà nước và phòng ngừa rủi ro hình sự.</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Tốc độ xử lý thủ tục và tiến độ dự 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Chi phí bộ máy nhân sự hàng năm.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Năng lực chuyên môn kỹ thuật cao.</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E. Sẵn sàng chuyển đổi số (BIM/CDE/ERP).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F. Phù hợp định hướng Tổng công ty VICEM.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G. Giữ chân và phát triển nhân tài dài hạn.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H. Yếu tố khác: ………………………………………………………………………………….</w:t>
      </w:r>
    </w:p>
    <w:p>
      <w:pPr>
        <w:spacing w:line="312" w:lineRule="auto" w:before="80" w:after="80"/>
        <w:jc w:val="left"/>
      </w:pPr>
      <w:r>
        <w:rPr>
          <w:rFonts w:ascii="Times New Roman" w:hAnsi="Times New Roman" w:eastAsia="Times New Roman" w:cs="Times New Roman"/>
        </w:rPr>
        <w:pict>
          <v:rect style="width:0;height:1.5pt" o:hralign="center" o:hrstd="t" o:hr="t"/>
        </w:pict>
      </w:r>
    </w:p>
    <w:bookmarkEnd w:id="11"/>
    <w:bookmarkEnd w:id="12"/>
    <w:bookmarkEnd w:id="13"/>
    <w:sectPr>
      <w:footnotePr>
        <w:numRestart w:val="eachSect"/>
      </w:footnotePr>
      <w:pgSz w:w="11906" w:h="16838"/>
      <w:pgMar w:top="1134" w:bottom="1134" w:left="1417"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1"/>
  </w:num>
  <w:num w:numId="1012">
    <w:abstractNumId w:val="991"/>
  </w:num>
  <w:num w:numId="1013">
    <w:abstractNumId w:val="991"/>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80" w:after="80" w:line="312" w:lineRule="auto"/>
      <w:ind w:firstLine="0"/>
      <w:jc w:val="left"/>
    </w:pPr>
    <w:rPr>
      <w:rFonts w:ascii="Times New Roman" w:hAnsi="Times New Roman" w:eastAsia="Times New Roman" w:cs="Times New Roman"/>
      <w:color w:val="000000"/>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jc w:val="center"/>
      <w:outlineLvl w:val="0"/>
    </w:pPr>
    <w:rPr>
      <w:rFonts w:asciiTheme="majorHAnsi" w:cstheme="majorBidi" w:eastAsiaTheme="majorEastAsia" w:hAnsiTheme="majorHAnsi" w:ascii="Times New Roman" w:hAnsi="Times New Roman" w:eastAsia="Times New Roman" w:cs="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160"/>
      <w:jc w:val="center"/>
      <w:outlineLvl w:val="1"/>
    </w:pPr>
    <w:rPr>
      <w:rFonts w:asciiTheme="majorHAnsi" w:cstheme="majorBidi" w:eastAsiaTheme="majorEastAsia" w:hAnsiTheme="majorHAnsi" w:ascii="Times New Roman" w:hAnsi="Times New Roman" w:eastAsia="Times New Roman" w:cs="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2026-06-16T16:43:38Z</dcterms:created>
  <dcterms:modified xsi:type="dcterms:W3CDTF">2026-06-16T16:43:38Z</dcterms:modified>
</cp:coreProperties>
</file>

<file path=docProps/custom.xml><?xml version="1.0" encoding="utf-8"?>
<Properties xmlns="http://schemas.openxmlformats.org/officeDocument/2006/custom-properties" xmlns:vt="http://schemas.openxmlformats.org/officeDocument/2006/docPropsVTypes"/>
</file>