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bộ-câu-hỏi-khảo-sát-thực-địa"/>
    <w:p>
      <w:pPr>
        <w:pStyle w:val="Heading1"/>
        <w:spacing w:line="312" w:lineRule="auto" w:before="360" w:after="240"/>
        <w:ind w:left="0" w:firstLine="0"/>
        <w:jc w:val="center"/>
      </w:pPr>
      <w:r>
        <w:rPr>
          <w:rFonts w:ascii="Times New Roman" w:hAnsi="Times New Roman" w:eastAsia="Times New Roman" w:cs="Times New Roman"/>
        </w:rPr>
        <w:t xml:space="preserve">BỘ CÂU HỎI KHẢO SÁT THỰC ĐỊA</w:t>
      </w:r>
    </w:p>
    <w:bookmarkStart w:id="12" w:name="Xdfcf5d3a694f77d0c00e9781c70787bc1be6040"/>
    <w:p>
      <w:pPr>
        <w:pStyle w:val="Heading2"/>
        <w:spacing w:line="312" w:lineRule="auto" w:before="240" w:after="240"/>
        <w:ind w:left="0" w:firstLine="0"/>
        <w:jc w:val="center"/>
      </w:pPr>
      <w:r>
        <w:rPr>
          <w:rFonts w:ascii="Times New Roman" w:hAnsi="Times New Roman" w:eastAsia="Times New Roman" w:cs="Times New Roman"/>
        </w:rPr>
        <w:t xml:space="preserve">ĐẤU THẦU &amp; HỢP ĐỒNG (PHÒNG KIỂM TRA PHÁP CHẾ + TỔ CHUYÊN GIA + PHÒNG VẬT TƯ)</w:t>
      </w:r>
    </w:p>
    <w:p>
      <w:pPr>
        <w:pStyle w:val="FirstParagraph"/>
        <w:spacing w:line="312" w:lineRule="auto" w:before="80" w:after="80"/>
        <w:jc w:val="left"/>
      </w:pPr>
      <w:r>
        <w:rPr>
          <w:rFonts w:ascii="Times New Roman" w:hAnsi="Times New Roman" w:eastAsia="Times New Roman" w:cs="Times New Roman"/>
          <w:b/>
          <w:bCs/>
        </w:rPr>
        <w:t xml:space="preserve">THÔNG TIN NGƯỜI TRẢ LỜI KHẢO SÁT:</w:t>
      </w:r>
      <w:r>
        <w:rPr>
          <w:rFonts w:ascii="Times New Roman" w:hAnsi="Times New Roman" w:eastAsia="Times New Roman" w:cs="Times New Roman"/>
        </w:rPr>
        <w:br/>
      </w:r>
      <w:r>
        <w:rPr>
          <w:rFonts w:ascii="Times New Roman" w:hAnsi="Times New Roman" w:eastAsia="Times New Roman" w:cs="Times New Roman"/>
        </w:rPr>
        <w:t xml:space="preserve">Họ và tên cán bộ: ……………………………………………………………………………</w:t>
      </w:r>
      <w:r>
        <w:rPr>
          <w:rFonts w:ascii="Times New Roman" w:hAnsi="Times New Roman" w:eastAsia="Times New Roman" w:cs="Times New Roman"/>
        </w:rPr>
        <w:br/>
      </w:r>
      <w:r>
        <w:rPr>
          <w:rFonts w:ascii="Times New Roman" w:hAnsi="Times New Roman" w:eastAsia="Times New Roman" w:cs="Times New Roman"/>
        </w:rPr>
        <w:t xml:space="preserve">Chức vụ / Bộ phận: ……………………………………………………………………………</w:t>
      </w:r>
      <w:r>
        <w:rPr>
          <w:rFonts w:ascii="Times New Roman" w:hAnsi="Times New Roman" w:eastAsia="Times New Roman" w:cs="Times New Roman"/>
        </w:rPr>
        <w:br/>
      </w:r>
      <w:r>
        <w:rPr>
          <w:rFonts w:ascii="Times New Roman" w:hAnsi="Times New Roman" w:eastAsia="Times New Roman" w:cs="Times New Roman"/>
        </w:rPr>
        <w:t xml:space="preserve">Số điện thoại / Email: ……………………………………………………………………………</w:t>
      </w:r>
    </w:p>
    <w:p>
      <w:pPr>
        <w:spacing w:line="312" w:lineRule="auto" w:before="80" w:after="80"/>
        <w:jc w:val="left"/>
      </w:pPr>
      <w:r>
        <w:rPr>
          <w:rFonts w:ascii="Times New Roman" w:hAnsi="Times New Roman" w:eastAsia="Times New Roman" w:cs="Times New Roman"/>
        </w:rPr>
        <w:pict>
          <v:rect style="width:0;height:1.5pt" o:hralign="center" o:hrstd="t" o:hr="t"/>
        </w:pict>
      </w:r>
    </w:p>
    <w:bookmarkStart w:id="9" w:name="X8065259369343aaa1b4406b4013ff111b40d55e"/>
    <w:p>
      <w:pPr>
        <w:pStyle w:val="Heading3"/>
        <w:spacing w:line="312" w:lineRule="auto" w:before="280" w:after="160"/>
        <w:ind w:left="0" w:firstLine="0"/>
        <w:jc w:val="left"/>
      </w:pPr>
      <w:r>
        <w:rPr>
          <w:rFonts w:ascii="Times New Roman" w:hAnsi="Times New Roman" w:eastAsia="Times New Roman" w:cs="Times New Roman"/>
        </w:rPr>
        <w:t xml:space="preserve">Khối 3A: Quy trình 35 — Lựa chọn nhà thầu &amp; Tổ Chuyên gia đánh giá hồ sơ dự thầu</w:t>
      </w:r>
    </w:p>
    <w:p>
      <w:pPr>
        <w:numPr>
          <w:ilvl w:val="0"/>
          <w:numId w:val="1001"/>
        </w:numPr>
        <w:spacing w:line="312" w:lineRule="auto" w:before="80" w:after="80"/>
        <w:jc w:val="left"/>
      </w:pPr>
      <w:r>
        <w:rPr>
          <w:rFonts w:ascii="Times New Roman" w:hAnsi="Times New Roman" w:eastAsia="Times New Roman" w:cs="Times New Roman"/>
          <w:b/>
          <w:bCs/>
        </w:rPr>
        <w:t xml:space="preserve">Vướng mắc thực tế khi áp dụng các hình thức đấu thầu rộng rãi qua mạng (E-GP) đối với các gói thầu thiết bị/công nghệ nhập khẩu phức tạp:</w:t>
      </w:r>
    </w:p>
    <w:p>
      <w:pPr>
        <w:pStyle w:val="Compact"/>
        <w:numPr>
          <w:ilvl w:val="1"/>
          <w:numId w:val="1002"/>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Tìm kiếm giải pháp tháo gỡ khó khăn về mặt kỹ thuật và thị trường khi đấu thầu qua mạng cho gói thầu công nghệ đặc thù.</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Áp dụng thuận lợi, không gặp trở ngại nào đáng kể đối với tất cả các loại gói thầu.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Gặp khó khăn do quy chế đấu thầu qua mạng (bằng tiền VND) khó thu hút nhà thầu quốc tế, hoặc giới hạn kỹ thuật của hệ thống E-GP khi tải hồ sơ dung lượng lớn.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Thủ tục làm rõ hồ sơ dự thầu và thương thảo hợp đồng qua mạng mất nhiều thời gian hơn so với đấu thầu truyền thống.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Thời gian trung bình từ khi lập kế hoạch lựa chọn nhà thầu đến khi phê duyệt kết quả:</w:t>
      </w:r>
    </w:p>
    <w:p>
      <w:pPr>
        <w:pStyle w:val="Compact"/>
        <w:numPr>
          <w:ilvl w:val="1"/>
          <w:numId w:val="1003"/>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Đo lường thời gian trễ của quy trình đấu thầu để thiết lập tiến độ chuẩn cho các gói thầu.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Bảo đảm đúng tiến độ: Dưới 30 ngày đối với gói thầu nhỏ, dưới 60 ngày đối với gói thầu lớn.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Bị kéo dài (từ 60 - 90 ngày) chủ yếu do khâu thẩm định hồ sơ mời thầu (HSMT) và làm rõ hồ sơ dự thầu (HSDT).</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Kéo dài trên 90 ngày do phải chỉnh sửa HSMT nhiều lần theo ý kiến của cơ quan thẩm định.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Phương án tổ chức Tổ Chuyên gia chấm thầu khi chuyển giao về trực thuộc Ban QLDA quản lý:</w:t>
      </w:r>
    </w:p>
    <w:p>
      <w:pPr>
        <w:pStyle w:val="Compact"/>
        <w:numPr>
          <w:ilvl w:val="1"/>
          <w:numId w:val="1004"/>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Thu thập ý kiến về việc chuyển giao Tổ Chuyên gia chấm thầu về trực thuộc Ban QLDA để rút ngắn thời gian đánh giá thầu.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Thành lập Tổ Chuyên gia cố định trực thuộc Ban QLDA để chấm toàn bộ các gói thầu của Ban.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Thành lập Tổ Chuyên gia linh hoạt theo từng gói thầu, kết hợp trưng tập nhân sự chuyên môn từ các phòng ban khác.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Giữ nguyên mô hình Tổ Chuyên gia độc lập cấp Công ty để bảo đảm tính khách quan tối á.</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Khó khăn về năng lực của Tổ Chuyên gia khi đánh giá các gói thầu công nghệ/BIM phức tạp:</w:t>
      </w:r>
    </w:p>
    <w:p>
      <w:pPr>
        <w:pStyle w:val="Compact"/>
        <w:numPr>
          <w:ilvl w:val="1"/>
          <w:numId w:val="1005"/>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Nhận diện khoảng trống năng lực chấm thầu của nhân sự đối với các yêu cầu kỹ thuật mới để đề xuất đào tạo hoặc thuê tư vấn.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Nhân sự trong Tổ Chuyên gia hoàn toàn đáp ứng và tự đánh giá độc lập được.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Gặp khó khăn và phải thuê thêm đơn vị tư vấn thẩm tra độc lập để hỗ trợ kỹ thuật chấm thầu.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Nhân sự thiếu chứng chỉ chuyên môn liên quan đến ứng dụng BIM/CDE.</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Mức độ ứng dụng hệ thống đấu thầu qua mạng (Hệ thống mạng đấu thầu quốc gia):</w:t>
      </w:r>
    </w:p>
    <w:p>
      <w:pPr>
        <w:pStyle w:val="Compact"/>
        <w:numPr>
          <w:ilvl w:val="1"/>
          <w:numId w:val="1006"/>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tính sẵn sàng kỹ thuật và xử lý tình huống trên Hệ thống mạng đấu thầu quốc gia (E-GP).</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Đã áp dụng 100% cho các gói thầu thuộc diện bắt buộc qua mạng.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Đã áp dụng nhưng gặp vướng mắc khi xử lý các tình huống đấu thầu qua mạng phức tạp hoặc lỗi hệ thống E-GP.</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Chỉ áp dụng cho các gói thầu xây lắp đơn giản, các gói thầu thiết bị/công nghệ vẫn đấu thầu trực tiếp bản giấy.</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1"/>
        </w:numPr>
        <w:spacing w:line="312" w:lineRule="auto" w:before="80" w:after="80"/>
        <w:jc w:val="left"/>
      </w:pPr>
      <w:r>
        <w:rPr>
          <w:rFonts w:ascii="Times New Roman" w:hAnsi="Times New Roman" w:eastAsia="Times New Roman" w:cs="Times New Roman"/>
          <w:b/>
          <w:bCs/>
        </w:rPr>
        <w:t xml:space="preserve">Vướng mắc lớn nhất khi áp dụng các quy định mới của Luật Đấu thầu 22/2023 (như chào hàng cạnh tranh rút gọn, hạn mức chỉ định thầu mới) vào thực tế là gì?</w:t>
      </w:r>
    </w:p>
    <w:p>
      <w:pPr>
        <w:pStyle w:val="Compact"/>
        <w:numPr>
          <w:ilvl w:val="1"/>
          <w:numId w:val="1007"/>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Xác định độ trễ và khó khăn khi áp dụng các quy định đấu thầu mới vào thực tế hoạt động của đơn vị.</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Quy trình phối hợp rà soát HSMT/HSYC nội bộ giữa Ban QLDA và phòng KTPC còn lúng túng do chưa cập nhật quy chế nội bộ mới.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Gặp khó khăn khi áp dụng các hạn mức chỉ định thầu mới do các hướng dẫn của Tổng công ty chưa được ban hành đồng bộ.</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Đã cập nhật quy trình và áp dụng trơn tru, giúp rút ngắn đáng kể thời gian lựa chọn nhà thầu.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bookmarkEnd w:id="9"/>
    <w:bookmarkStart w:id="10" w:name="Xf68eb16ffd22caa15f6e2b2bdaa0d82ccb24071"/>
    <w:p>
      <w:pPr>
        <w:pStyle w:val="Heading3"/>
        <w:spacing w:line="312" w:lineRule="auto" w:before="280" w:after="160"/>
        <w:ind w:left="0" w:firstLine="0"/>
        <w:jc w:val="left"/>
      </w:pPr>
      <w:r>
        <w:rPr>
          <w:rFonts w:ascii="Times New Roman" w:hAnsi="Times New Roman" w:eastAsia="Times New Roman" w:cs="Times New Roman"/>
        </w:rPr>
        <w:t xml:space="preserve">Khối 3B: Quy trình 37 &amp; Pháp lý hợp đồng (Kiểm tra Pháp chế)</w:t>
      </w:r>
    </w:p>
    <w:p>
      <w:pPr>
        <w:numPr>
          <w:ilvl w:val="0"/>
          <w:numId w:val="1008"/>
        </w:numPr>
        <w:spacing w:line="312" w:lineRule="auto" w:before="80" w:after="80"/>
        <w:jc w:val="left"/>
      </w:pPr>
      <w:r>
        <w:rPr>
          <w:rFonts w:ascii="Times New Roman" w:hAnsi="Times New Roman" w:eastAsia="Times New Roman" w:cs="Times New Roman"/>
          <w:b/>
          <w:bCs/>
        </w:rPr>
        <w:t xml:space="preserve">Điểm nghẽn lớn nhất trong việc phối hợp giám sát thực hiện hợp đồng giữa Ban QLDA và phòng Kỹ thuật hiện trường là gì?</w:t>
      </w:r>
    </w:p>
    <w:p>
      <w:pPr>
        <w:pStyle w:val="Compact"/>
        <w:numPr>
          <w:ilvl w:val="1"/>
          <w:numId w:val="1009"/>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Làm rõ ranh giới phối hợp ngang để nâng cao trách nhiệm kiểm soát chất lượng và tiến độ hợp đồng.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Ranh giới trách nhiệm theo dõi tiến độ/chất lượng giữa cán bộ QLDA của Ban và giám sát hiện trường chưa rõ ràng, dễ đùn đẩy trách nhiệm.</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Khâu rà soát và phê duyệt các yêu cầu thay đổi/phát sinh từ nhà thầu bị kéo dài do phải luân chuyển qua lại nhiều phòng ban Công ty.</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Phối hợp nhịp nhàng, thông tin cập nhật liên tục và xử lý nhanh chóng các vướng mắc của nhà thầu.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8"/>
        </w:numPr>
        <w:spacing w:line="312" w:lineRule="auto" w:before="80" w:after="80"/>
        <w:jc w:val="left"/>
      </w:pPr>
      <w:r>
        <w:rPr>
          <w:rFonts w:ascii="Times New Roman" w:hAnsi="Times New Roman" w:eastAsia="Times New Roman" w:cs="Times New Roman"/>
          <w:b/>
          <w:bCs/>
        </w:rPr>
        <w:t xml:space="preserve">Những khó khăn thực tế khi xử lý phát sinh (vượt dự toán gói thầu nhưng chưa vượt tổng mức đầu tư) — thời gian phê duyệt và ảnh hưởng tiến độ:</w:t>
      </w:r>
    </w:p>
    <w:p>
      <w:pPr>
        <w:pStyle w:val="Compact"/>
        <w:numPr>
          <w:ilvl w:val="1"/>
          <w:numId w:val="1010"/>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Tối ưu hóa thời gian xử lý thủ tục phát sinh để không làm gián đoạn việc thi công của nhà thầu trên công trường.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Quy trình xử lý nhanh chóng (dưới 15 ngày), không ảnh hưởng đến tiến độ thi công của nhà thầu.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Thời gian phê duyệt kéo dài từ 1–3 tháng do thủ tục thẩm định nội bộ phức tạp, khiến nhà thầu phải dừng thi công chờ phụ lục hợp đồng.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Gặp khó khăn lớn trong việc thỏa thuận và xác định đơn giá cho các khối lượng phát sinh mới chưa có trong hợp đồng gốc.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8"/>
        </w:numPr>
        <w:spacing w:line="312" w:lineRule="auto" w:before="80" w:after="80"/>
        <w:jc w:val="left"/>
      </w:pPr>
      <w:r>
        <w:rPr>
          <w:rFonts w:ascii="Times New Roman" w:hAnsi="Times New Roman" w:eastAsia="Times New Roman" w:cs="Times New Roman"/>
          <w:b/>
          <w:bCs/>
        </w:rPr>
        <w:t xml:space="preserve">Thời gian trung bình để hoàn thành việc ký kết một phụ lục hợp đồng phát sinh:</w:t>
      </w:r>
    </w:p>
    <w:p>
      <w:pPr>
        <w:pStyle w:val="Compact"/>
        <w:numPr>
          <w:ilvl w:val="1"/>
          <w:numId w:val="1011"/>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Nhận diện điểm trễ trong công tác đàm phán, phê duyệt phụ lục hợp đồng phát sinh để đề xuất thời hạn chuẩn.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Dưới 15 ngày kể từ khi phát sinh yêu cầu.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Kéo dài từ 15 - 30 ngày do thủ tục kiểm tra chéo giữa Ban QLDA và phòng ban Công ty.</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Trên 30 ngày do phải trình qua nhiều cấp phê duyệt và xin ý kiến Tổ Thẩm định.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8"/>
        </w:numPr>
        <w:spacing w:line="312" w:lineRule="auto" w:before="80" w:after="80"/>
        <w:jc w:val="left"/>
      </w:pPr>
      <w:r>
        <w:rPr>
          <w:rFonts w:ascii="Times New Roman" w:hAnsi="Times New Roman" w:eastAsia="Times New Roman" w:cs="Times New Roman"/>
          <w:b/>
          <w:bCs/>
        </w:rPr>
        <w:t xml:space="preserve">Thời điểm và vai trò tham gia của phòng Kiểm tra Pháp chế trong quy trình hợp đồng:</w:t>
      </w:r>
    </w:p>
    <w:p>
      <w:pPr>
        <w:pStyle w:val="Compact"/>
        <w:numPr>
          <w:ilvl w:val="1"/>
          <w:numId w:val="1012"/>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Thiết lập chốt kiểm soát pháp lý của phòng KTPC trong việc rà soát HSMT và hợp đồng mẫu để giảm rủi ro pháp lý.</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Tham gia rà soát dự thảo hợp đồng trước khi ký kết.</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Tham gia ngay từ bước lập HSMT để rà soát các điều khoản mẫu hợp đồng.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Chỉ tham gia khi phát sinh tranh chấp hợp đồng hoặc khi điều chỉnh các phụ lục hợp đồng phức tạp.</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8"/>
        </w:numPr>
        <w:spacing w:line="312" w:lineRule="auto" w:before="80" w:after="80"/>
        <w:jc w:val="left"/>
      </w:pPr>
      <w:r>
        <w:rPr>
          <w:rFonts w:ascii="Times New Roman" w:hAnsi="Times New Roman" w:eastAsia="Times New Roman" w:cs="Times New Roman"/>
          <w:b/>
          <w:bCs/>
        </w:rPr>
        <w:t xml:space="preserve">Vướng mắc lớn nhất khi áp dụng loại hợp đồng trọn gói đối với các dự án cải tạo, sửa chữa lớn có nhiều yếu tố ẩn tàng, khó lường trước:</w:t>
      </w:r>
    </w:p>
    <w:p>
      <w:pPr>
        <w:pStyle w:val="Compact"/>
        <w:numPr>
          <w:ilvl w:val="1"/>
          <w:numId w:val="1013"/>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Nhận diện hạn chế của loại hợp đồng trọn gói đối với dự án cải tạo chiều sâu nhằm cải tiến điều khoản hợp đồng.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Phát sinh nhiều khối lượng ngoài thiết kế ban đầu dẫn đến tranh chấp kéo dài về đơn giá thanh toán với nhà thầu.</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Nhà thầu cố tình thi công cầm chừng hoặc giảm chất lượng để bù đắp chi phí phát sinh không được thanh toán.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Không gặp vướng mắc lớn do công tác lập thiết kế bản vẽ thi công ban đầu có chất lượng và độ chính xác cao.</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8"/>
        </w:numPr>
        <w:spacing w:line="312" w:lineRule="auto" w:before="80" w:after="80"/>
        <w:jc w:val="left"/>
      </w:pPr>
      <w:r>
        <w:rPr>
          <w:rFonts w:ascii="Times New Roman" w:hAnsi="Times New Roman" w:eastAsia="Times New Roman" w:cs="Times New Roman"/>
          <w:b/>
          <w:bCs/>
        </w:rPr>
        <w:t xml:space="preserve">Những điều khoản nào trong hợp đồng mẫu hiện tại của công ty thường xuyên bị nhà thầu kiến nghị sửa đổi hoặc dễ dẫn đến tranh chấp pháp lý nhất:</w:t>
      </w:r>
    </w:p>
    <w:p>
      <w:pPr>
        <w:pStyle w:val="Compact"/>
        <w:numPr>
          <w:ilvl w:val="1"/>
          <w:numId w:val="1014"/>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Khắc phục các</w:t>
      </w:r>
      <w:r>
        <w:rPr>
          <w:rFonts w:ascii="Times New Roman" w:hAnsi="Times New Roman" w:eastAsia="Times New Roman" w:cs="Times New Roman"/>
        </w:rPr>
        <w:t xml:space="preserve"> </w:t>
      </w:r>
      <w:r>
        <w:rPr>
          <w:rFonts w:ascii="Times New Roman" w:hAnsi="Times New Roman" w:eastAsia="Times New Roman" w:cs="Times New Roman"/>
        </w:rPr>
        <w:t xml:space="preserve">“lỗ hổng”</w:t>
      </w:r>
      <w:r>
        <w:rPr>
          <w:rFonts w:ascii="Times New Roman" w:hAnsi="Times New Roman" w:eastAsia="Times New Roman" w:cs="Times New Roman"/>
        </w:rPr>
        <w:t xml:space="preserve"> </w:t>
      </w:r>
      <w:r>
        <w:rPr>
          <w:rFonts w:ascii="Times New Roman" w:hAnsi="Times New Roman" w:eastAsia="Times New Roman" w:cs="Times New Roman"/>
        </w:rPr>
        <w:t xml:space="preserve">hoặc điều khoản bất hợp lý trong hợp đồng mẫu để giảm thiểu tranh chấp khi thực hiện.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Điều khoản tạm ứng và thu hồi tạm ứng (nhất là yêu cầu bảo lãnh tạm ứng kéo dài).</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Điều khoản điều chỉnh giá (quy định chỉ số giá chưa sát thực tế) và điều khoản phạt vi phạm/gia hạn tiến độ.</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Điều khoản nghiệm thu bàn giao và các quy định về bảo hành/giữ tiền bảo hành.</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08"/>
        </w:numPr>
        <w:spacing w:line="312" w:lineRule="auto" w:before="80" w:after="80"/>
        <w:jc w:val="left"/>
      </w:pPr>
      <w:r>
        <w:rPr>
          <w:rFonts w:ascii="Times New Roman" w:hAnsi="Times New Roman" w:eastAsia="Times New Roman" w:cs="Times New Roman"/>
          <w:b/>
          <w:bCs/>
        </w:rPr>
        <w:t xml:space="preserve">Tình hình áp dụng chế tài phạt vi phạm hợp đồng xây dựng trong thực tế tại đơn vị:</w:t>
      </w:r>
    </w:p>
    <w:p>
      <w:pPr>
        <w:pStyle w:val="Compact"/>
        <w:numPr>
          <w:ilvl w:val="1"/>
          <w:numId w:val="1015"/>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tính nghiêm ngặt và rào cản khi thực hiện chế tài phạt hợp đồng đối với các nhà thầu vi phạm tiến độ/chất lượng.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Thường xuyên áp dụng phạt vi phạm tiến độ/chất lượng đối với các nhà thầu chậm trễ.</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Ít khi áp dụng phạt tiền, chủ yếu giải quyết bằng biện pháp nhắc nhở, thương lượng gia hạn tiến độ.</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Gặp khó khăn khi áp dụng chế tài phạt do các điều khoản hợp đồng chưa chặt chẽ.</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bookmarkEnd w:id="10"/>
    <w:bookmarkStart w:id="11" w:name="X81db6a018b6c88fea2524ae21b131faf0bdcacf"/>
    <w:p>
      <w:pPr>
        <w:pStyle w:val="Heading3"/>
        <w:spacing w:line="312" w:lineRule="auto" w:before="280" w:after="160"/>
        <w:ind w:left="0" w:firstLine="0"/>
        <w:jc w:val="left"/>
      </w:pPr>
      <w:r>
        <w:rPr>
          <w:rFonts w:ascii="Times New Roman" w:hAnsi="Times New Roman" w:eastAsia="Times New Roman" w:cs="Times New Roman"/>
        </w:rPr>
        <w:t xml:space="preserve">Khối 3C: Đánh giá phương án tổ chức Ban QLDA — Pháp lý &amp; Kiểm soát</w:t>
      </w:r>
      <w:r>
        <w:rPr>
          <w:rFonts w:ascii="Times New Roman" w:hAnsi="Times New Roman" w:eastAsia="Times New Roman" w:cs="Times New Roman"/>
        </w:rPr>
        <w:t xml:space="preserve"> </w:t>
      </w:r>
      <w:r>
        <w:rPr>
          <w:rFonts w:ascii="Times New Roman" w:hAnsi="Times New Roman" w:eastAsia="Times New Roman" w:cs="Times New Roman"/>
          <w:i/>
          <w:iCs/>
        </w:rPr>
        <w:t xml:space="preserve">(Ánh xạ Bảng chấm điểm 6.2)</w:t>
      </w:r>
    </w:p>
    <w:p>
      <w:pPr>
        <w:numPr>
          <w:ilvl w:val="0"/>
          <w:numId w:val="1016"/>
        </w:numPr>
        <w:spacing w:line="312" w:lineRule="auto" w:before="80" w:after="80"/>
        <w:jc w:val="left"/>
      </w:pPr>
      <w:r>
        <w:rPr>
          <w:rFonts w:ascii="Times New Roman" w:hAnsi="Times New Roman" w:eastAsia="Times New Roman" w:cs="Times New Roman"/>
          <w:b/>
          <w:bCs/>
        </w:rPr>
        <w:t xml:space="preserve">[TC-02] Nếu thành lập Ban QLDA có tư cách pháp nhân độc lập (Phương án 2), việc đăng ký pháp nhân mới, phân định tài sản và quan hệ pháp lý với Công ty mẹ sẽ mất bao lâu và gặp những khó khăn gì?</w:t>
      </w:r>
    </w:p>
    <w:p>
      <w:pPr>
        <w:pStyle w:val="Compact"/>
        <w:numPr>
          <w:ilvl w:val="1"/>
          <w:numId w:val="1017"/>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Đo lường chi phí pháp lý chuyển đổi để so sánh với phương án duy trì pháp nhân duy nhất.</w:t>
      </w:r>
    </w:p>
    <w:p>
      <w:pPr>
        <w:pStyle w:val="Compact"/>
        <w:numPr>
          <w:ilvl w:val="1"/>
          <w:numId w:val="1017"/>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TC-02 — Độ phức tạp pháp lý (Trọng số: 8%)</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Rất phức tạp — cần ít nhất 6–12 tháng, phải xin phê duyệt VICEM mẹ, đăng ký kinh doanh mới, phân tách tài sản, chuyển hồ sơ thuế.</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Phức tạp trung bình — khoảng 3–6 tháng, chủ yếu vướng thủ tục nội bộ VICEM.</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Đơn giản — dưới 3 tháng, Công ty đã có kinh nghiệm thành lập đơn vị trực thuộc.</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16"/>
        </w:numPr>
        <w:spacing w:line="312" w:lineRule="auto" w:before="80" w:after="80"/>
        <w:jc w:val="left"/>
      </w:pPr>
      <w:r>
        <w:rPr>
          <w:rFonts w:ascii="Times New Roman" w:hAnsi="Times New Roman" w:eastAsia="Times New Roman" w:cs="Times New Roman"/>
          <w:b/>
          <w:bCs/>
        </w:rPr>
        <w:t xml:space="preserve">[TC-02] Khi thuê tư vấn QLDA bên ngoài (Phương án 3), Công ty đã từng gặp vướng mắc pháp lý nào trong việc phân định trách nhiệm giữa Chủ đầu tư và tư vấn QLDA khi xảy ra sự cố chất lượng/tiến độ?</w:t>
      </w:r>
    </w:p>
    <w:p>
      <w:pPr>
        <w:pStyle w:val="Compact"/>
        <w:numPr>
          <w:ilvl w:val="1"/>
          <w:numId w:val="1018"/>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Đánh giá rủi ro pháp lý khi sử dụng tư vấn QLDA bên ngoài.</w:t>
      </w:r>
    </w:p>
    <w:p>
      <w:pPr>
        <w:pStyle w:val="Compact"/>
        <w:numPr>
          <w:ilvl w:val="1"/>
          <w:numId w:val="1018"/>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TC-02 — Độ phức tạp pháp lý (Trọng số: 8%)</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Đã từng gặp tranh chấp — ranh giới trách nhiệm không rõ ràng trong hợp đồng tư vấn.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Chưa gặp tranh chấp nhưng nhận thấy hợp đồng tư vấn QLDA hiện tại còn thiếu điều khoản phân định rõ ràng.</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Chưa từng thuê tư vấn QLDA nên chưa có kinh nghiệm thực tế.</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numPr>
          <w:ilvl w:val="0"/>
          <w:numId w:val="1016"/>
        </w:numPr>
        <w:spacing w:line="312" w:lineRule="auto" w:before="80" w:after="80"/>
        <w:jc w:val="left"/>
      </w:pPr>
      <w:r>
        <w:rPr>
          <w:rFonts w:ascii="Times New Roman" w:hAnsi="Times New Roman" w:eastAsia="Times New Roman" w:cs="Times New Roman"/>
          <w:b/>
          <w:bCs/>
        </w:rPr>
        <w:t xml:space="preserve">[TC-03] Hiện tại, quy trình ký duyệt hồ sơ thanh toán/nghiệm thu dự án đi qua bao nhiêu lớp kiểm tra trước khi đến người ký cuối cùng?</w:t>
      </w:r>
    </w:p>
    <w:p>
      <w:pPr>
        <w:pStyle w:val="Compact"/>
        <w:numPr>
          <w:ilvl w:val="1"/>
          <w:numId w:val="1019"/>
        </w:numPr>
        <w:spacing w:line="312" w:lineRule="auto" w:before="80" w:after="80"/>
        <w:jc w:val="left"/>
      </w:pPr>
      <w:r>
        <w:rPr>
          <w:rFonts w:ascii="Times New Roman" w:hAnsi="Times New Roman" w:eastAsia="Times New Roman" w:cs="Times New Roman"/>
          <w:i/>
          <w:iCs/>
        </w:rPr>
        <w:t xml:space="preserve">Mục đích:</w:t>
      </w:r>
      <w:r>
        <w:rPr>
          <w:rFonts w:ascii="Times New Roman" w:hAnsi="Times New Roman" w:eastAsia="Times New Roman" w:cs="Times New Roman"/>
        </w:rPr>
        <w:t xml:space="preserve"> </w:t>
      </w:r>
      <w:r>
        <w:rPr>
          <w:rFonts w:ascii="Times New Roman" w:hAnsi="Times New Roman" w:eastAsia="Times New Roman" w:cs="Times New Roman"/>
        </w:rPr>
        <w:t xml:space="preserve">Xác định số lớp bảo vệ pháp lý cho cá nhân ký duyệt — yếu tố quan trọng phòng ngừa rủi ro hình sự (bài học từ vụ án VICEM Cầu Giấy).</w:t>
      </w:r>
    </w:p>
    <w:p>
      <w:pPr>
        <w:pStyle w:val="Compact"/>
        <w:numPr>
          <w:ilvl w:val="1"/>
          <w:numId w:val="1019"/>
        </w:numPr>
        <w:spacing w:line="312" w:lineRule="auto" w:before="80" w:after="80"/>
        <w:jc w:val="left"/>
      </w:pPr>
      <w:r>
        <w:rPr>
          <w:rFonts w:ascii="Times New Roman" w:hAnsi="Times New Roman" w:eastAsia="Times New Roman" w:cs="Times New Roman"/>
          <w:i/>
          <w:iCs/>
        </w:rPr>
        <w:t xml:space="preserve">Tiêu chí chấm điểm:</w:t>
      </w:r>
      <w:r>
        <w:rPr>
          <w:rFonts w:ascii="Times New Roman" w:hAnsi="Times New Roman" w:eastAsia="Times New Roman" w:cs="Times New Roman"/>
        </w:rPr>
        <w:t xml:space="preserve"> </w:t>
      </w:r>
      <w:r>
        <w:rPr>
          <w:rFonts w:ascii="Times New Roman" w:hAnsi="Times New Roman" w:eastAsia="Times New Roman" w:cs="Times New Roman"/>
        </w:rPr>
        <w:t xml:space="preserve">TC-03 — Rủi ro trách nhiệm hình sự cá nhân (Trọng số: 10%)</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A. 3 lớp trở lên: Cán bộ kỹ thuật lập → Kế toán dự án kiểm tra → Pháp chế rà soát → Phòng TC-KT đối chiếu → TGĐ ký.</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B. 2 lớp: Ban QLDA lập và kiểm tra → TGĐ ký (không qua phòng ban Công ty rà soát).</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C. 1 lớp: Giám đốc Ban QLDA tự ký duyệt hầu hết hồ sơ trong phạm vi ủy quyền.</w:t>
      </w:r>
    </w:p>
    <w:p>
      <w:pPr>
        <w:numPr>
          <w:ilvl w:val="0"/>
          <w:numId w:val="1000"/>
        </w:numPr>
        <w:spacing w:line="312" w:lineRule="auto" w:before="80" w:after="80"/>
        <w:ind w:left="454" w:hanging="227"/>
        <w:jc w:val="left"/>
      </w:pPr>
      <w:r>
        <w:rPr>
          <w:rFonts w:ascii="Times New Roman" w:hAnsi="Times New Roman" w:eastAsia="Times New Roman" w:cs="Times New Roman"/>
        </w:rPr>
        <w:t xml:space="preserve">☐ D. Ý kiến khác: ………………………………………………………………………………….</w:t>
      </w:r>
    </w:p>
    <w:p>
      <w:pPr>
        <w:spacing w:line="312" w:lineRule="auto" w:before="80" w:after="80"/>
        <w:jc w:val="left"/>
      </w:pPr>
      <w:r>
        <w:rPr>
          <w:rFonts w:ascii="Times New Roman" w:hAnsi="Times New Roman" w:eastAsia="Times New Roman" w:cs="Times New Roman"/>
        </w:rPr>
        <w:pict>
          <v:rect style="width:0;height:1.5pt" o:hralign="center" o:hrstd="t" o:hr="t"/>
        </w:pict>
      </w:r>
    </w:p>
    <w:bookmarkEnd w:id="11"/>
    <w:bookmarkEnd w:id="12"/>
    <w:bookmarkEnd w:id="13"/>
    <w:sectPr>
      <w:footnotePr>
        <w:numRestart w:val="eachSect"/>
      </w:footnotePr>
      <w:pgSz w:w="11906" w:h="16838"/>
      <w:pgMar w:top="1134" w:bottom="1134" w:left="1417"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80" w:after="80" w:line="312" w:lineRule="auto"/>
      <w:ind w:firstLine="0"/>
      <w:jc w:val="left"/>
    </w:pPr>
    <w:rPr>
      <w:rFonts w:ascii="Times New Roman" w:hAnsi="Times New Roman" w:eastAsia="Times New Roman" w:cs="Times New Roman"/>
      <w:color w:val="000000"/>
      <w:sz w:val="26"/>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240"/>
      <w:jc w:val="center"/>
      <w:outlineLvl w:val="0"/>
    </w:pPr>
    <w:rPr>
      <w:rFonts w:asciiTheme="majorHAnsi" w:cstheme="majorBidi" w:eastAsiaTheme="majorEastAsia" w:hAnsiTheme="majorHAnsi" w:ascii="Times New Roman" w:hAnsi="Times New Roman" w:eastAsia="Times New Roman" w:cs="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160"/>
      <w:jc w:val="center"/>
      <w:outlineLvl w:val="1"/>
    </w:pPr>
    <w:rPr>
      <w:rFonts w:asciiTheme="majorHAnsi" w:cstheme="majorBidi" w:eastAsiaTheme="majorEastAsia" w:hAnsiTheme="majorHAnsi" w:ascii="Times New Roman" w:hAnsi="Times New Roman" w:eastAsia="Times New Roman" w:cs="Times New Roman"/>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jc w:val="left"/>
      <w:outlineLvl w:val="2"/>
    </w:pPr>
    <w:rPr>
      <w:rFonts w:cstheme="majorBidi" w:eastAsiaTheme="majorEastAsia" w:ascii="Times New Roman" w:hAnsi="Times New Roman" w:eastAsia="Times New Roman" w:cs="Times New Roman"/>
      <w:b/>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2026-06-16T16:43:39Z</dcterms:created>
  <dcterms:modified xsi:type="dcterms:W3CDTF">2026-06-16T16:43:39Z</dcterms:modified>
</cp:coreProperties>
</file>

<file path=docProps/custom.xml><?xml version="1.0" encoding="utf-8"?>
<Properties xmlns="http://schemas.openxmlformats.org/officeDocument/2006/custom-properties" xmlns:vt="http://schemas.openxmlformats.org/officeDocument/2006/docPropsVTypes"/>
</file>