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bộ-câu-hỏi-khảo-sát-thực-địa"/>
    <w:p>
      <w:pPr>
        <w:pStyle w:val="Heading1"/>
        <w:spacing w:line="312" w:lineRule="auto" w:before="360" w:after="240"/>
        <w:ind w:left="0" w:firstLine="0"/>
        <w:jc w:val="center"/>
      </w:pPr>
      <w:r>
        <w:rPr>
          <w:rFonts w:ascii="Times New Roman" w:hAnsi="Times New Roman" w:eastAsia="Times New Roman" w:cs="Times New Roman"/>
        </w:rPr>
        <w:t xml:space="preserve">BỘ CÂU HỎI KHẢO SÁT THỰC ĐỊA</w:t>
      </w:r>
    </w:p>
    <w:bookmarkStart w:id="12" w:name="Xbe702dada6e486d5758c639c0ce5ed580ac6397"/>
    <w:p>
      <w:pPr>
        <w:pStyle w:val="Heading2"/>
        <w:spacing w:line="312" w:lineRule="auto" w:before="240" w:after="240"/>
        <w:ind w:left="0" w:firstLine="0"/>
        <w:jc w:val="center"/>
      </w:pPr>
      <w:r>
        <w:rPr>
          <w:rFonts w:ascii="Times New Roman" w:hAnsi="Times New Roman" w:eastAsia="Times New Roman" w:cs="Times New Roman"/>
        </w:rPr>
        <w:t xml:space="preserve">TÀI CHÍNH &amp; THANH QUYẾT TOÁN (PHÒNG TÀI CHÍNH KẾ TOÁN + BAN QUẢN LÝ DỰ ÁN)</w:t>
      </w:r>
    </w:p>
    <w:p>
      <w:pPr>
        <w:pStyle w:val="FirstParagraph"/>
        <w:spacing w:line="312" w:lineRule="auto" w:before="80" w:after="80"/>
        <w:jc w:val="left"/>
      </w:pPr>
      <w:r>
        <w:rPr>
          <w:rFonts w:ascii="Times New Roman" w:hAnsi="Times New Roman" w:eastAsia="Times New Roman" w:cs="Times New Roman"/>
          <w:b/>
          <w:bCs/>
        </w:rPr>
        <w:t xml:space="preserve">THÔNG TIN NGƯỜI TRẢ LỜI KHẢO SÁT:</w:t>
      </w:r>
      <w:r>
        <w:rPr>
          <w:rFonts w:ascii="Times New Roman" w:hAnsi="Times New Roman" w:eastAsia="Times New Roman" w:cs="Times New Roman"/>
        </w:rPr>
        <w:br/>
      </w:r>
      <w:r>
        <w:rPr>
          <w:rFonts w:ascii="Times New Roman" w:hAnsi="Times New Roman" w:eastAsia="Times New Roman" w:cs="Times New Roman"/>
        </w:rPr>
        <w:t xml:space="preserve">Họ và tên cán bộ: ……………………………………………………………………………</w:t>
      </w:r>
      <w:r>
        <w:rPr>
          <w:rFonts w:ascii="Times New Roman" w:hAnsi="Times New Roman" w:eastAsia="Times New Roman" w:cs="Times New Roman"/>
        </w:rPr>
        <w:br/>
      </w:r>
      <w:r>
        <w:rPr>
          <w:rFonts w:ascii="Times New Roman" w:hAnsi="Times New Roman" w:eastAsia="Times New Roman" w:cs="Times New Roman"/>
        </w:rPr>
        <w:t xml:space="preserve">Chức vụ / Bộ phận: ……………………………………………………………………………</w:t>
      </w:r>
      <w:r>
        <w:rPr>
          <w:rFonts w:ascii="Times New Roman" w:hAnsi="Times New Roman" w:eastAsia="Times New Roman" w:cs="Times New Roman"/>
        </w:rPr>
        <w:br/>
      </w:r>
      <w:r>
        <w:rPr>
          <w:rFonts w:ascii="Times New Roman" w:hAnsi="Times New Roman" w:eastAsia="Times New Roman" w:cs="Times New Roman"/>
        </w:rPr>
        <w:t xml:space="preserve">Số điện thoại / Email: ……………………………………………………………………………</w:t>
      </w:r>
    </w:p>
    <w:p>
      <w:pPr>
        <w:spacing w:line="312" w:lineRule="auto" w:before="80" w:after="80"/>
        <w:jc w:val="left"/>
      </w:pPr>
      <w:r>
        <w:rPr>
          <w:rFonts w:ascii="Times New Roman" w:hAnsi="Times New Roman" w:eastAsia="Times New Roman" w:cs="Times New Roman"/>
        </w:rPr>
        <w:pict>
          <v:rect style="width:0;height:1.5pt" o:hralign="center" o:hrstd="t" o:hr="t"/>
        </w:pict>
      </w:r>
    </w:p>
    <w:bookmarkStart w:id="9" w:name="X58ca1077e8fb91655c76dfd7900871e3294b249"/>
    <w:p>
      <w:pPr>
        <w:pStyle w:val="Heading3"/>
        <w:spacing w:line="312" w:lineRule="auto" w:before="280" w:after="160"/>
        <w:ind w:left="0" w:firstLine="0"/>
        <w:jc w:val="left"/>
      </w:pPr>
      <w:r>
        <w:rPr>
          <w:rFonts w:ascii="Times New Roman" w:hAnsi="Times New Roman" w:eastAsia="Times New Roman" w:cs="Times New Roman"/>
        </w:rPr>
        <w:t xml:space="preserve">Khối 4A: Quy trình 17 — Thanh, quyết toán hợp đồng đầu tư xây dựng</w:t>
      </w:r>
    </w:p>
    <w:p>
      <w:pPr>
        <w:numPr>
          <w:ilvl w:val="0"/>
          <w:numId w:val="1001"/>
        </w:numPr>
        <w:spacing w:line="312" w:lineRule="auto" w:before="80" w:after="80"/>
        <w:jc w:val="left"/>
      </w:pPr>
      <w:r>
        <w:rPr>
          <w:rFonts w:ascii="Times New Roman" w:hAnsi="Times New Roman" w:eastAsia="Times New Roman" w:cs="Times New Roman"/>
          <w:b/>
          <w:bCs/>
        </w:rPr>
        <w:t xml:space="preserve">Khâu nào trong quy trình phê duyệt tạm ứng hợp đồng cho nhà thầu thường bị kéo dài thời gian nhất:</w:t>
      </w:r>
    </w:p>
    <w:p>
      <w:pPr>
        <w:pStyle w:val="Compact"/>
        <w:numPr>
          <w:ilvl w:val="1"/>
          <w:numId w:val="100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Đơn giản hóa thủ tục giải ngân tạm ứng để tạo điều kiện cho nhà thầu nhanh chóng triển khai thi công.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Thời gian chờ nhà thầu nộp thư bảo lãnh tạm ứng hợp lệ từ phía ngân hàng.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Khâu rà soát chứng từ tạm ứng và đối chiếu các điều khoản thanh toán tại phòng Tài chính - Kế toán Công ty kéo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Trình duyệt qua quá nhiều cấp phê duyệt nội bộ trước khi thực hiện lệnh chuyển tiền.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Quy trình nhanh chóng, giải ngân tạm ứng trong vòng 5 ngày làm việc kể từ khi nhận đủ hồ sơ.</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Quy trình luân chuyển chứng từ thanh toán khối lượng hoàn thành định kỳ:</w:t>
      </w:r>
    </w:p>
    <w:p>
      <w:pPr>
        <w:pStyle w:val="Compact"/>
        <w:numPr>
          <w:ilvl w:val="1"/>
          <w:numId w:val="100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và loại bỏ các bước trùng lặp trong khâu kiểm soát thanh toán định kỳ.</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Nhà thầu nộp -&gt; Cán bộ kỹ thuật/TVGS kiểm tra -&gt; GĐ Ban QLDA duyệt -&gt; Phòng TCKT giải ngân (Dưới 7 ngày làm việc).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Bị chậm ở khâu kiểm tra và xác nhận khối lượng hoàn thành ngoài hiện trường, lập hồ sơ hoàn công giữa Nhà thầu và Cán bộ kỹ thuật.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Bị chậm ở khâu kiểm soát chứng từ tại phòng TCKT Công ty do phải giải trình và sửa đổi hồ sơ nhiều lần (kiểm tra trùng lặp).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Bị chậm ở khâu phê duyệt nội bộ qua quá nhiều cấp trung gian ký tá.</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Ý kiến khác/Mô tả chi tiết điểm nghẽn: …………………………………………………………………………</w:t>
      </w:r>
    </w:p>
    <w:p>
      <w:pPr>
        <w:numPr>
          <w:ilvl w:val="0"/>
          <w:numId w:val="1001"/>
        </w:numPr>
        <w:spacing w:line="312" w:lineRule="auto" w:before="80" w:after="80"/>
        <w:jc w:val="left"/>
      </w:pPr>
      <w:r>
        <w:rPr>
          <w:rFonts w:ascii="Times New Roman" w:hAnsi="Times New Roman" w:eastAsia="Times New Roman" w:cs="Times New Roman"/>
          <w:b/>
          <w:bCs/>
        </w:rPr>
        <w:t xml:space="preserve">Sự phân công trách nhiệm giữa Kế toán Dự án (Ban QLDA) và phòng Tài chính - Kế toán Công ty:</w:t>
      </w:r>
    </w:p>
    <w:p>
      <w:pPr>
        <w:pStyle w:val="Compact"/>
        <w:numPr>
          <w:ilvl w:val="1"/>
          <w:numId w:val="100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Tránh việc kiểm tra chéo trùng lặp chứng từ khối lượng giữa Kế toán dự án tại Ban QLDA và phòng TCKT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Phân định rõ ràng: Kế toán Dự án kiểm tra tính hợp lệ chứng từ dự án; phòng TCKT hạch toán và giải ngân.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sự kiểm tra trùng lặp: phòng TCKT kiểm tra lại toàn bộ chi tiết hồ sơ khối lượng dẫn đến kéo dài thời gian.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thống nhất quan điểm kiểm soát chứng từ, hồ sơ thường bị trả về nhiều lần để sửa đổi.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Thời gian trung bình kể từ khi nhà thầu nộp hồ sơ thanh toán hợp lệ đến khi nhận được tiền giải ngân:</w:t>
      </w:r>
    </w:p>
    <w:p>
      <w:pPr>
        <w:pStyle w:val="Compact"/>
        <w:numPr>
          <w:ilvl w:val="1"/>
          <w:numId w:val="100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Đo lường và thiết lập chỉ số SLA chuẩn cho việc thanh toán khối lượng hoàn thành cho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Dưới 7 ngày làm việc.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Từ 7 - 15 ngày làm việc.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Trên 15 ngày làm việc do thủ tục phê duyệt nội bộ kéo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Khó khăn lớn nhất trong việc phối hợp giữa phòng Kỹ thuật hiện trường, Ban QLDA và phòng Kế toán khi tổng hợp, kiểm tra hồ sơ hoàn công để lập đợt thanh toán là gì:</w:t>
      </w:r>
    </w:p>
    <w:p>
      <w:pPr>
        <w:pStyle w:val="Compact"/>
        <w:numPr>
          <w:ilvl w:val="1"/>
          <w:numId w:val="100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Tối ưu hóa sự phối hợp đa chức năng để rút ngắn chu kỳ chuẩn bị và phê duyệt thanh toán khối lượng hoàn thành.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Hồ sơ hoàn công của nhà thầu lập có nhiều sai sót, thiếu sót chứng từ chất lượng, phải sửa đi sửa lại nhiều lần.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Thời gian đối chiếu khối lượng thực tế giữa giám sát kỹ thuật và Ban QLDA bị kéo dài do thiếu công cụ số hóa đồng bộ.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Phối hợp nhịp nhàng, không gặp khó khăn lớn nào.</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9"/>
    <w:bookmarkStart w:id="10" w:name="X60d17d68838993f2cb3a79f4485ba236d2d7239"/>
    <w:p>
      <w:pPr>
        <w:pStyle w:val="Heading3"/>
        <w:spacing w:line="312" w:lineRule="auto" w:before="280" w:after="160"/>
        <w:ind w:left="0" w:firstLine="0"/>
        <w:jc w:val="left"/>
      </w:pPr>
      <w:r>
        <w:rPr>
          <w:rFonts w:ascii="Times New Roman" w:hAnsi="Times New Roman" w:eastAsia="Times New Roman" w:cs="Times New Roman"/>
        </w:rPr>
        <w:t xml:space="preserve">Khối 4B: Quy trình 18 — Quyết toán dự án hoàn thành (Nghị định 193/2026)</w:t>
      </w:r>
    </w:p>
    <w:p>
      <w:pPr>
        <w:numPr>
          <w:ilvl w:val="0"/>
          <w:numId w:val="1007"/>
        </w:numPr>
        <w:spacing w:line="312" w:lineRule="auto" w:before="80" w:after="80"/>
        <w:jc w:val="left"/>
      </w:pPr>
      <w:r>
        <w:rPr>
          <w:rFonts w:ascii="Times New Roman" w:hAnsi="Times New Roman" w:eastAsia="Times New Roman" w:cs="Times New Roman"/>
          <w:b/>
          <w:bCs/>
        </w:rPr>
        <w:t xml:space="preserve">Vướng mắc lớn nhất khi áp dụng quy định mới của Nghị định 193/2026/NĐ-CP về quyết toán dự án hoàn thành (đặc biệt là khâu lập báo cáo quyết toán và làm việc với kiểm toán độc lập):</w:t>
      </w:r>
    </w:p>
    <w:p>
      <w:pPr>
        <w:pStyle w:val="Compact"/>
        <w:numPr>
          <w:ilvl w:val="1"/>
          <w:numId w:val="100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Nâng cao năng lực và chuẩn bị quy trình quyết toán đáp ứng các chế tài mới của Nghị định quyết toán.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Năng lực nhân sự lập báo cáo quyết toán của Ban QLDA còn hạn chế, số liệu kế toán và khối lượng kỹ thuật lệch nhau nhiều.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Thời gian kiểm toán độc lập kéo dài do đơn vị kiểm toán yêu cầu giải trình quá nhiều chi tiết hoặc nhà thầu chậm trễ cung cấp hồ sơ gốc.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Thủ tục thẩm tra quyết toán nội bộ của Công ty đi qua nhiều phòng ban, gây mất thời gian.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7"/>
        </w:numPr>
        <w:spacing w:line="312" w:lineRule="auto" w:before="80" w:after="80"/>
        <w:jc w:val="left"/>
      </w:pPr>
      <w:r>
        <w:rPr>
          <w:rFonts w:ascii="Times New Roman" w:hAnsi="Times New Roman" w:eastAsia="Times New Roman" w:cs="Times New Roman"/>
          <w:b/>
          <w:bCs/>
        </w:rPr>
        <w:t xml:space="preserve">Điểm nghẽn lớn nhất khiến thời gian thẩm tra và phê duyệt quyết toán dự án hoàn thành bị kéo dài (thường vượt quá thời hạn quy định 4 tháng) là gì:</w:t>
      </w:r>
    </w:p>
    <w:p>
      <w:pPr>
        <w:pStyle w:val="Compact"/>
        <w:numPr>
          <w:ilvl w:val="1"/>
          <w:numId w:val="100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Rút ngắn tiến độ thẩm tra quyết toán để sớm hoàn thành bàn giao tài sản và đóng mã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Thủ tục xin ý kiến thông qua hoặc phê duyệt chủ trương quyết toán từ Tổng công ty VICEM / Người đại diện vốn kéo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Quy trình thẩm tra nội bộ của Tổ Thẩm định Công ty phức tạp, kéo dài thời gian đối chiếu số liệu.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Nhà thầu không đồng ý với giá trị giảm trừ quyết toán của đơn vị thẩm tra/kiểm toán độc lập nên kéo dài đàm phán thương thảo.</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7"/>
        </w:numPr>
        <w:spacing w:line="312" w:lineRule="auto" w:before="80" w:after="80"/>
        <w:jc w:val="left"/>
      </w:pPr>
      <w:r>
        <w:rPr>
          <w:rFonts w:ascii="Times New Roman" w:hAnsi="Times New Roman" w:eastAsia="Times New Roman" w:cs="Times New Roman"/>
          <w:b/>
          <w:bCs/>
        </w:rPr>
        <w:t xml:space="preserve">Tình hình tồn đọng quyết toán các dự án đã hoàn thành đưa vào sử dụng thực tế:</w:t>
      </w:r>
    </w:p>
    <w:p>
      <w:pPr>
        <w:pStyle w:val="Compact"/>
        <w:numPr>
          <w:ilvl w:val="1"/>
          <w:numId w:val="1010"/>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nguyên nhân gốc rễ dẫn đến chậm quyết toán dự án để đưa ra cơ chế tháo gỡ cụ thể trong quy trình.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Không có dự án nào bị chậm quyết toán hoàn thành so với kế hoạch và quy định nội bộ.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một số dự án đã bàn giao đưa vào sử dụng nhiều năm nhưng chưa quyết toán xong do vướng hồ sơ hoặc tranh chấp giá trị với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Chậm quyết toán xảy ra chủ yếu ở các dự án cải tạo, sửa chữa quy mô nhỏ.</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7"/>
        </w:numPr>
        <w:spacing w:line="312" w:lineRule="auto" w:before="80" w:after="80"/>
        <w:jc w:val="left"/>
      </w:pPr>
      <w:r>
        <w:rPr>
          <w:rFonts w:ascii="Times New Roman" w:hAnsi="Times New Roman" w:eastAsia="Times New Roman" w:cs="Times New Roman"/>
          <w:b/>
          <w:bCs/>
        </w:rPr>
        <w:t xml:space="preserve">Những khó khăn hoặc rào cản pháp lý/kế toán khi thực hiện quyết toán độc lập từng hạng mục công trình bàn giao đưa vào sử dụng trước là gì:</w:t>
      </w:r>
    </w:p>
    <w:p>
      <w:pPr>
        <w:pStyle w:val="Compact"/>
        <w:numPr>
          <w:ilvl w:val="1"/>
          <w:numId w:val="1011"/>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Đưa ra cơ chế quyết toán từng phần đối với các dự án lớn có nhiều hạng mục độc lập đưa vào khai thác trước.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Quy định của Tổng công ty hoặc cơ chế hạch toán tài sản của Công ty chưa linh hoạt, bắt buộc chờ toàn bộ dự án hoàn thành mới quyết toán.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Gặp khó khăn lớn khi phân bổ chi phí chung (chi phí QLDA, chi phí tư vấn…) cho từng hạng mục công trình riêng lẻ để quyết toán trước.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từng áp dụng hình thức này do lo ngại rủi ro pháp lý/kiểm toán nhà nước.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7"/>
        </w:numPr>
        <w:spacing w:line="312" w:lineRule="auto" w:before="80" w:after="80"/>
        <w:jc w:val="left"/>
      </w:pPr>
      <w:r>
        <w:rPr>
          <w:rFonts w:ascii="Times New Roman" w:hAnsi="Times New Roman" w:eastAsia="Times New Roman" w:cs="Times New Roman"/>
          <w:b/>
          <w:bCs/>
        </w:rPr>
        <w:t xml:space="preserve">Những loại tài liệu, hồ sơ nào trong bộ hồ sơ quyết toán dự án hoàn thành thường xuyên bị thiếu hụt, sai lệch số liệu hoặc khó hoàn thiện nhất:</w:t>
      </w:r>
    </w:p>
    <w:p>
      <w:pPr>
        <w:pStyle w:val="Compact"/>
        <w:numPr>
          <w:ilvl w:val="1"/>
          <w:numId w:val="101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Tập trung chuẩn hóa biểu mẫu và đôn đốc thu thập các hồ sơ quyết toán cốt lõi trong suốt quá trình triển khai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Biên bản thanh lý hợp đồng và biên bản đối chiếu công nợ cuối cùng với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Hồ sơ hoàn công phần khuất, bản vẽ hoàn công chi tiết và các biên bản nghiệm thu giai đoạn/kết quả thí nghiệm chất lượng.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Các văn bản pháp lý ban đầu của dự án (Chủ trương đầu tư, Quyết định phê duyệt thiết kế gốc, Quyết định phê duyệt HSMT).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7"/>
        </w:numPr>
        <w:spacing w:line="312" w:lineRule="auto" w:before="80" w:after="80"/>
        <w:jc w:val="left"/>
      </w:pPr>
      <w:r>
        <w:rPr>
          <w:rFonts w:ascii="Times New Roman" w:hAnsi="Times New Roman" w:eastAsia="Times New Roman" w:cs="Times New Roman"/>
          <w:b/>
          <w:bCs/>
        </w:rPr>
        <w:t xml:space="preserve">Thời gian thực tế để lập và phê duyệt hồ sơ quyết toán dự án hoàn thành tại đơn vị thường mất bao lâu từ khi bàn giao đưa vào sử dụng?</w:t>
      </w:r>
    </w:p>
    <w:p>
      <w:pPr>
        <w:pStyle w:val="Compact"/>
        <w:numPr>
          <w:ilvl w:val="1"/>
          <w:numId w:val="101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Kiểm tra thực trạng thời hạn quyết toán thực tế và đề xuất giải pháp xử lý điểm nghẽn.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Dưới 4 tháng (đáp ứng tiến độ nhanh).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Từ 4 đến 9 tháng (mức trung bình).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Trên 9 tháng (thường bị kéo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khác/Lý do chậm trễ: ………………………………………………………………………………….</w:t>
      </w:r>
    </w:p>
    <w:p>
      <w:pPr>
        <w:numPr>
          <w:ilvl w:val="0"/>
          <w:numId w:val="1007"/>
        </w:numPr>
        <w:spacing w:line="312" w:lineRule="auto" w:before="80" w:after="80"/>
        <w:jc w:val="left"/>
      </w:pPr>
      <w:r>
        <w:rPr>
          <w:rFonts w:ascii="Times New Roman" w:hAnsi="Times New Roman" w:eastAsia="Times New Roman" w:cs="Times New Roman"/>
          <w:b/>
          <w:bCs/>
        </w:rPr>
        <w:t xml:space="preserve">Biện pháp xử lý thực tế của đơn vị khi nhà thầu không hợp tác quyết toán hợp đồng xây dựng:</w:t>
      </w:r>
    </w:p>
    <w:p>
      <w:pPr>
        <w:pStyle w:val="Compact"/>
        <w:numPr>
          <w:ilvl w:val="1"/>
          <w:numId w:val="101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Khảo sát thực tiễn giải quyết tranh chấp và tìm giải pháp cho trường hợp nhà thầu chậm trễ quyết toán hợp đồng.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Gửi văn bản yêu cầu nhiều lần, nếu không hợp tác sẽ báo cáo cấp thẩm quyền giải quyết.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Tiếp tục thương thảo, chờ nhà thầu ký biên bản thống nhất để tránh tranh chấp pháp lý.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từng gặp phải tình huống nhà thầu không hợp tác quyết toán.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10"/>
    <w:bookmarkStart w:id="11" w:name="Xc443c2a52003e4917444d8a669abffb8f9d0bd7"/>
    <w:p>
      <w:pPr>
        <w:pStyle w:val="Heading3"/>
        <w:spacing w:line="312" w:lineRule="auto" w:before="280" w:after="160"/>
        <w:ind w:left="0" w:firstLine="0"/>
        <w:jc w:val="left"/>
      </w:pPr>
      <w:r>
        <w:rPr>
          <w:rFonts w:ascii="Times New Roman" w:hAnsi="Times New Roman" w:eastAsia="Times New Roman" w:cs="Times New Roman"/>
        </w:rPr>
        <w:t xml:space="preserve">Khối 4C: Đánh giá phương án tổ chức Ban QLDA — Tài chính &amp; Kiểm toán</w:t>
      </w:r>
      <w:r>
        <w:rPr>
          <w:rFonts w:ascii="Times New Roman" w:hAnsi="Times New Roman" w:eastAsia="Times New Roman" w:cs="Times New Roman"/>
        </w:rPr>
        <w:t xml:space="preserve"> </w:t>
      </w:r>
      <w:r>
        <w:rPr>
          <w:rFonts w:ascii="Times New Roman" w:hAnsi="Times New Roman" w:eastAsia="Times New Roman" w:cs="Times New Roman"/>
          <w:i/>
          <w:iCs/>
        </w:rPr>
        <w:t xml:space="preserve">(Ánh xạ Bảng chấm điểm 6.2)</w:t>
      </w:r>
    </w:p>
    <w:p>
      <w:pPr>
        <w:numPr>
          <w:ilvl w:val="0"/>
          <w:numId w:val="1015"/>
        </w:numPr>
        <w:spacing w:line="312" w:lineRule="auto" w:before="80" w:after="80"/>
        <w:jc w:val="left"/>
      </w:pPr>
      <w:r>
        <w:rPr>
          <w:rFonts w:ascii="Times New Roman" w:hAnsi="Times New Roman" w:eastAsia="Times New Roman" w:cs="Times New Roman"/>
          <w:b/>
          <w:bCs/>
        </w:rPr>
        <w:t xml:space="preserve">[TC-01] Trong 3 năm gần nhất, đã có trường hợp nào phát sinh sai sót về giải ngân, tạm ứng hoặc thanh toán vốn đầu tư xây dựng bị Kiểm toán Nhà nước/Kiểm toán nội bộ VICEM phát hiện không?</w:t>
      </w:r>
    </w:p>
    <w:p>
      <w:pPr>
        <w:pStyle w:val="Compact"/>
        <w:numPr>
          <w:ilvl w:val="1"/>
          <w:numId w:val="101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mức độ rủi ro thực tế trong kiểm soát dòng vốn nhà nước để xác định nhu cầu kiểm soát 1 lớp hay 2 lớp.</w:t>
      </w:r>
    </w:p>
    <w:p>
      <w:pPr>
        <w:pStyle w:val="Compact"/>
        <w:numPr>
          <w:ilvl w:val="1"/>
          <w:numId w:val="1016"/>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TC-01 — Kiểm soát rủi ro vốn nhà nước (Trọng số: 15%)</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Không có sai sót nào được phát hiện — cơ chế kiểm soát hiện tại đã đủ chặt chẽ.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phát hiện sai sót nhỏ (chênh lệch chứng từ, tạm ứng quá hạn) nhưng đã khắc phục kịp thời.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Có phát hiện sai sót nghiêm trọng (giải ngân sai hạng mục, thanh toán vượt giá trị hợp đồng) cần xử lý kỷ luật.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5"/>
        </w:numPr>
        <w:spacing w:line="312" w:lineRule="auto" w:before="80" w:after="80"/>
        <w:jc w:val="left"/>
      </w:pPr>
      <w:r>
        <w:rPr>
          <w:rFonts w:ascii="Times New Roman" w:hAnsi="Times New Roman" w:eastAsia="Times New Roman" w:cs="Times New Roman"/>
          <w:b/>
          <w:bCs/>
        </w:rPr>
        <w:t xml:space="preserve">[TC-04] Khi đoàn Kiểm toán Nhà nước/Kiểm toán nội bộ VICEM đến kiểm toán dự án đầu tư, khó khăn lớn nhất trong việc cung cấp hồ sơ là gì?</w:t>
      </w:r>
    </w:p>
    <w:p>
      <w:pPr>
        <w:pStyle w:val="Compact"/>
        <w:numPr>
          <w:ilvl w:val="1"/>
          <w:numId w:val="101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tính sẵn sàng của hệ thống hồ sơ tài chính phục vụ kiểm toán — ưu thế của hệ thống kế toán tập trung (PA1) so với tách biệt (PA2).</w:t>
      </w:r>
    </w:p>
    <w:p>
      <w:pPr>
        <w:pStyle w:val="Compact"/>
        <w:numPr>
          <w:ilvl w:val="1"/>
          <w:numId w:val="1017"/>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TC-04 — Đáp ứng Kiểm toán Nhà nước (Trọng số: 8%)</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Hồ sơ tài chính nằm trong hệ thống kế toán tập trung của Công ty, KTNN truy cập 1 điểm — không gặp khó khăn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Phải tập hợp chứng từ từ nhiều nguồn (Ban QLDA, phòng TC-KT, nhà thầu, tư vấn giám sát) — mất thời gian đối chiếu.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Hồ sơ kỹ thuật (biên bản nghiệm thu, nhật ký thi công) thường thiếu hoặc không đồng bộ với hồ sơ tài chính.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5"/>
        </w:numPr>
        <w:spacing w:line="312" w:lineRule="auto" w:before="80" w:after="80"/>
        <w:jc w:val="left"/>
      </w:pPr>
      <w:r>
        <w:rPr>
          <w:rFonts w:ascii="Times New Roman" w:hAnsi="Times New Roman" w:eastAsia="Times New Roman" w:cs="Times New Roman"/>
          <w:b/>
          <w:bCs/>
        </w:rPr>
        <w:t xml:space="preserve">[TC-06] Tổng chi phí nhân sự (lương, phụ cấp, BHXH) của bộ máy Ban QLDA hiện tại là bao nhiêu/năm?</w:t>
      </w:r>
    </w:p>
    <w:p>
      <w:pPr>
        <w:pStyle w:val="Compact"/>
        <w:numPr>
          <w:ilvl w:val="1"/>
          <w:numId w:val="101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dữ liệu chi phí thực tế làm cơ sở so sánh định lượng giữa 3 phương án (PA1: ~2–3 tỷ/năm, PA2: ~5–7 tỷ/năm, PA3: 3–5% giá trị xây lắp).</w:t>
      </w:r>
    </w:p>
    <w:p>
      <w:pPr>
        <w:pStyle w:val="Compact"/>
        <w:numPr>
          <w:ilvl w:val="1"/>
          <w:numId w:val="1018"/>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TC-06 — Chi phí bộ máy nhân sự (Trọng số: 8%)</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Dưới 2 tỷ đồng/năm.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Từ 2–4 tỷ đồng/năm.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Từ 4–6 tỷ đồng/năm.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Trên 6 tỷ đồng/năm.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Số liệu cụ thể (nếu có): ………………………………………………………………………………….</w:t>
      </w:r>
    </w:p>
    <w:p>
      <w:pPr>
        <w:numPr>
          <w:ilvl w:val="0"/>
          <w:numId w:val="1015"/>
        </w:numPr>
        <w:spacing w:line="312" w:lineRule="auto" w:before="80" w:after="80"/>
        <w:jc w:val="left"/>
      </w:pPr>
      <w:r>
        <w:rPr>
          <w:rFonts w:ascii="Times New Roman" w:hAnsi="Times New Roman" w:eastAsia="Times New Roman" w:cs="Times New Roman"/>
          <w:b/>
          <w:bCs/>
        </w:rPr>
        <w:t xml:space="preserve">[TC-06] Khi không có dự án đang triển khai, bộ máy Ban QLDA hiện tại được bố trí như thế nào?</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chi phí</w:t>
      </w:r>
      <w:r>
        <w:rPr>
          <w:rFonts w:ascii="Times New Roman" w:hAnsi="Times New Roman" w:eastAsia="Times New Roman" w:cs="Times New Roman"/>
        </w:rPr>
        <w:t xml:space="preserve"> </w:t>
      </w:r>
      <w:r>
        <w:rPr>
          <w:rFonts w:ascii="Times New Roman" w:hAnsi="Times New Roman" w:eastAsia="Times New Roman" w:cs="Times New Roman"/>
        </w:rPr>
        <w:t xml:space="preserve">“chạy không tải”</w:t>
      </w:r>
      <w:r>
        <w:rPr>
          <w:rFonts w:ascii="Times New Roman" w:hAnsi="Times New Roman" w:eastAsia="Times New Roman" w:cs="Times New Roman"/>
        </w:rPr>
        <w:t xml:space="preserve"> </w:t>
      </w:r>
      <w:r>
        <w:rPr>
          <w:rFonts w:ascii="Times New Roman" w:hAnsi="Times New Roman" w:eastAsia="Times New Roman" w:cs="Times New Roman"/>
        </w:rPr>
        <w:t xml:space="preserve">— điểm yếu lớn của PA2 (bộ máy cố định) so với PA1 (tận dụng nhân sự Công ty) và PA3 (thuê theo dự án).</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TC-06 — Chi phí bộ máy nhân sự (Trọng số: 8%)</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Cán bộ Ban QLDA quay về phòng ban gốc hoặc được giao nhiệm vụ khác tại Công ty — không phát sinh chi phí dư thừa.</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Vẫn duy trì biên chế cố định tại Ban QLDA, thực hiện công tác chuẩn bị dự án, nghiên cứu tiền khả thi.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Giảm biên chế tạm thời, chỉ giữ lại nhóm nòng cốt (3–5 người).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spacing w:line="312" w:lineRule="auto" w:before="80" w:after="80"/>
        <w:jc w:val="left"/>
      </w:pPr>
      <w:r>
        <w:rPr>
          <w:rFonts w:ascii="Times New Roman" w:hAnsi="Times New Roman" w:eastAsia="Times New Roman" w:cs="Times New Roman"/>
        </w:rPr>
        <w:pict>
          <v:rect style="width:0;height:1.5pt" o:hralign="center" o:hrstd="t" o:hr="t"/>
        </w:pict>
      </w:r>
    </w:p>
    <w:bookmarkEnd w:id="11"/>
    <w:bookmarkEnd w:id="12"/>
    <w:bookmarkEnd w:id="13"/>
    <w:sectPr>
      <w:footnotePr>
        <w:numRestart w:val="eachSect"/>
      </w:footnotePr>
      <w:pgSz w:w="11906" w:h="16838"/>
      <w:pgMar w:top="1134" w:bottom="1134" w:left="1417"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80" w:after="80" w:line="312" w:lineRule="auto"/>
      <w:ind w:firstLine="0"/>
      <w:jc w:val="left"/>
    </w:pPr>
    <w:rPr>
      <w:rFonts w:ascii="Times New Roman" w:hAnsi="Times New Roman" w:eastAsia="Times New Roman" w:cs="Times New Roman"/>
      <w:color w:val="000000"/>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jc w:val="center"/>
      <w:outlineLvl w:val="0"/>
    </w:pPr>
    <w:rPr>
      <w:rFonts w:asciiTheme="majorHAnsi" w:cstheme="majorBidi" w:eastAsiaTheme="majorEastAsia" w:hAnsiTheme="majorHAnsi" w:ascii="Times New Roman" w:hAnsi="Times New Roman" w:eastAsia="Times New Roman" w:cs="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160"/>
      <w:jc w:val="center"/>
      <w:outlineLvl w:val="1"/>
    </w:pPr>
    <w:rPr>
      <w:rFonts w:asciiTheme="majorHAnsi" w:cstheme="majorBidi" w:eastAsiaTheme="majorEastAsia" w:hAnsiTheme="majorHAnsi" w:ascii="Times New Roman" w:hAnsi="Times New Roman" w:eastAsia="Times New Roman" w:cs="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2026-06-16T16:43:39Z</dcterms:created>
  <dcterms:modified xsi:type="dcterms:W3CDTF">2026-06-16T16:43:39Z</dcterms:modified>
</cp:coreProperties>
</file>

<file path=docProps/custom.xml><?xml version="1.0" encoding="utf-8"?>
<Properties xmlns="http://schemas.openxmlformats.org/officeDocument/2006/custom-properties" xmlns:vt="http://schemas.openxmlformats.org/officeDocument/2006/docPropsVTypes"/>
</file>