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3" w:name="Xca9f49224c2e7a3b3dc003eb89aa7d7fb5f547c"/>
    <w:p>
      <w:pPr>
        <w:pStyle w:val="Heading2"/>
        <w:spacing w:line="312" w:lineRule="auto" w:before="240" w:after="240"/>
        <w:ind w:left="0" w:firstLine="0"/>
        <w:jc w:val="center"/>
      </w:pPr>
      <w:r>
        <w:rPr>
          <w:rFonts w:ascii="Times New Roman" w:hAnsi="Times New Roman" w:eastAsia="Times New Roman" w:cs="Times New Roman"/>
        </w:rPr>
        <w:t xml:space="preserve">KỸ THUẬT &amp; VẬN HÀNH (PHÒNG KỸ THUẬT + BỘ PHẬN AN TOÀN MÔI TRƯỜNG + PHÒNG TỔ CHỨC HÀNH CHÍNH)</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35bfc09180def6bd5a6594e91dd69f6a52fee81"/>
    <w:p>
      <w:pPr>
        <w:pStyle w:val="Heading3"/>
        <w:spacing w:line="312" w:lineRule="auto" w:before="280" w:after="160"/>
        <w:ind w:left="0" w:firstLine="0"/>
        <w:jc w:val="left"/>
      </w:pPr>
      <w:r>
        <w:rPr>
          <w:rFonts w:ascii="Times New Roman" w:hAnsi="Times New Roman" w:eastAsia="Times New Roman" w:cs="Times New Roman"/>
        </w:rPr>
        <w:t xml:space="preserve">Khối 5A: Quy trình 36 &amp; Quy trình 16 — Quản lý chất lượng &amp; Giám sát thi công</w:t>
      </w:r>
    </w:p>
    <w:p>
      <w:pPr>
        <w:numPr>
          <w:ilvl w:val="0"/>
          <w:numId w:val="1001"/>
        </w:numPr>
        <w:spacing w:line="312" w:lineRule="auto" w:before="80" w:after="80"/>
        <w:jc w:val="left"/>
      </w:pPr>
      <w:r>
        <w:rPr>
          <w:rFonts w:ascii="Times New Roman" w:hAnsi="Times New Roman" w:eastAsia="Times New Roman" w:cs="Times New Roman"/>
          <w:b/>
          <w:bCs/>
        </w:rPr>
        <w:t xml:space="preserve">Quy trình lập nhiệm vụ và nghiệm thu kết quả khảo sát xây dựng:</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chất lượng khảo sát thực tế và các khó khăn gặp phải làm ảnh hưởng đến thiết kế.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Công tác khảo sát thực địa được giám sát chặt chẽ, chất lượng khảo sát tốt, ít khi phải điều chỉnh thiết kế trong quá trình thi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Thường xảy ra sai lệch giữa kết quả khảo sát và thực tế thi công, dẫn đến phải điều chỉnh thiết kế hoặc phát sinh khối lượng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Hồ sơ khảo sát do nhà thầu lập chưa đầy đủ chi tiết nhưng vẫn nghiệm thu để kịp tiến độ chuẩn bị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Quy trình thẩm định thiết kế cơ sở nội bộ trước khi trình cơ quan chuyên môn nhà nước:</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các nút thắt trong công tác thẩm định thiết kế nội bộ dẫn đến kéo dài thời gian trình duyệt.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Thẩm định nội bộ hoạt động hiệu quả, hồ sơ trình duyệt cơ quan nhà nước hầu như không bị trả lại hoặc yêu cầu sửa đổi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Quy trình phối hợp rà soát thiết kế giữa các phòng ban (Kỹ thuật, Ban QLDA, Tổ Thẩm định) lòng vòng, thời gian thẩm định nội bộ bị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Hồ sơ thiết kế do tư vấn lập chất lượng kém, phải sửa đổi, giải trình nhiều lần trước khi đủ điều kiện trình cơ quan nhà nước.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Thẩm quyền phê duyệt thiết kế bản vẽ thi công và dự toán xây dựng thực tế:</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sự phù hợp của hạn mức phân cấp phê duyệt thiết kế bản vẽ thi công/dự toán hiện hành so với nhu cầu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Hạn mức phân cấp hiện hành phù hợp, quy trình phê duyệt thiết kế bản vẽ thi công và dự toán nhanh chóng.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Quy trình phê duyệt dự toán gói thầu kéo dài do các thủ tục thẩm định nội bộ phức tạp, ảnh hưởng trực tiếp đến tiến độ lựa chọn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Đề xuất nâng hạn mức phân cấp phê duyệt thiết kế bản vẽ thi công/dự toán cho Giám đốc Ban QLDA để tăng chủ động.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Thời gian phản hồi thực tế của công tác nghiệm thu công việc xây dựng trên công trường:</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nguyên nhân lớn nhất gây chậm trễ trong công tác nghiệm thu công việc xây dựng hàng ngày.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Thực hiện nghiệm thu nhanh chóng (trong vòng 24h kể từ khi nhận được yêu cầu nghiệm thu của nhà thầu), không làm gián đoạn thi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Thường xuyên bị chậm trễ do nhà thầu chậm nộp hồ sơ hoàn công hoặc hồ sơ quản lý chất lượng bị thiếu/sai sót.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Khó khăn khi bố trí nhân sự của Chủ đầu tư/Tư vấn giám sát nghiệm thu kịp thời tại hiện trường do quá tải công việc.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Tình trạng nghiệm thu hoàn thành đưa công trình vào sử dụng thực tế:</w:t>
      </w:r>
    </w:p>
    <w:p>
      <w:pPr>
        <w:pStyle w:val="Compact"/>
        <w:numPr>
          <w:ilvl w:val="1"/>
          <w:numId w:val="100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Khảo sát thực tế vướng mắc và giải pháp xử lý đối với công trình nghiệm thu hoàn thành đưa vào sử dụng.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Thực hiện đầy đủ các bước nghiệm thu kỹ thuật và hoàn thiện hồ sơ nghiệm thu trước khi vận 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một số trường hợp phải</w:t>
      </w:r>
      <w:r>
        <w:rPr>
          <w:rFonts w:ascii="Times New Roman" w:hAnsi="Times New Roman" w:eastAsia="Times New Roman" w:cs="Times New Roman"/>
        </w:rPr>
        <w:t xml:space="preserve"> </w:t>
      </w:r>
      <w:r>
        <w:rPr>
          <w:rFonts w:ascii="Times New Roman" w:hAnsi="Times New Roman" w:eastAsia="Times New Roman" w:cs="Times New Roman"/>
        </w:rPr>
        <w:t xml:space="preserve">“nghiệm thu có điều kiện”</w:t>
      </w:r>
      <w:r>
        <w:rPr>
          <w:rFonts w:ascii="Times New Roman" w:hAnsi="Times New Roman" w:eastAsia="Times New Roman" w:cs="Times New Roman"/>
        </w:rPr>
        <w:t xml:space="preserve"> </w:t>
      </w:r>
      <w:r>
        <w:rPr>
          <w:rFonts w:ascii="Times New Roman" w:hAnsi="Times New Roman" w:eastAsia="Times New Roman" w:cs="Times New Roman"/>
        </w:rPr>
        <w:t xml:space="preserve">để kịp tiến độ đưa vào sản xuất, sau đó nhà thầu hoàn thiện hồ sơ sau.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vướng mắc lớn ở khâu nghiệm thu phòng cháy chữa cháy hoặc bảo vệ môi trường của cơ quan nhà nước.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Hình thức thực hiện công tác Giám sát thi công xây dựng công trình:</w:t>
      </w:r>
    </w:p>
    <w:p>
      <w:pPr>
        <w:pStyle w:val="Compact"/>
        <w:numPr>
          <w:ilvl w:val="1"/>
          <w:numId w:val="100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những khó khăn thực tế trong việc kiểm soát chất lượng thi công của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Giám sát viên kiểm soát tốt chất lượng thi công của nhà thầu, vật liệu đầu vào và các biện pháp thi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khó khăn trong việc kiểm soát chất lượng do năng lực của nhà thầu phụ hoặc nhân sự của nhà thầu thi công kém.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Việc thực hiện thí nghiệm đối chứng chất lượng vật liệu kết cấu chịu lực gặp khó khăn về chi phí hoặc thủ tục.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Việc lập và lưu trữ Báo cáo giám sát thi công xây dựng định kỳ:</w:t>
      </w:r>
    </w:p>
    <w:p>
      <w:pPr>
        <w:pStyle w:val="Compact"/>
        <w:numPr>
          <w:ilvl w:val="1"/>
          <w:numId w:val="100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khó khăn và tính khả thi khi áp dụng số hóa vào công tác lập báo cáo, nhật ký công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Công tác báo cáo, ghi nhật ký thi công giấy hiện hành thuận lợi, hồ sơ được cập nhật liên tục.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Khó khăn khi cập nhật báo cáo định kỳ bằng giấy do cán bộ giám sát quá tải, chủ yếu dồn lại lập khi nghiệm thu giai đoạn.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Đơn vị chưa có hạ tầng công nghệ và quy trình chuẩn bị cho việc áp dụng Nhật ký thi công điện tử và chữ ký số.</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Quy trình xử lý khi phát hiện hạng mục công trình không đạt yêu cầu chất lượng:</w:t>
      </w:r>
    </w:p>
    <w:p>
      <w:pPr>
        <w:pStyle w:val="Compact"/>
        <w:numPr>
          <w:ilvl w:val="1"/>
          <w:numId w:val="100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nghiêm ngặt và hiệu quả thực tế của các chế tài xử lý vi phạm chất lượng đối với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trình xử lý vi phạm chất lượng nghiêm ngặt, nhà thầu khắc phục ngay khi có biên bản đình chỉ/yêu cầu sửa chữa.</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Chế tài xử lý còn yếu, chủ yếu nhắc nhở tại hiện trường, chưa có quy trình chuẩn hóa bắt buộc nhà thầu khắc phục triệt để bằng văn bản.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khó khăn khi buộc nhà thầu thi công lại các phần việc không đạt chất lượng do lo ngại ảnh hưởng đến tiến độ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Việc phối hợp thực hiện kiểm tra công tác nghiệm thu của cơ quan quản lý nhà nước (nếu có):</w:t>
      </w:r>
    </w:p>
    <w:p>
      <w:pPr>
        <w:pStyle w:val="Compact"/>
        <w:numPr>
          <w:ilvl w:val="1"/>
          <w:numId w:val="101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khó khăn thủ tục hành chính khi phối hợp với cơ quan nhà nước để nghiệm thu đưa công trình vào sử dụng.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Thủ tục phối hợp thuận lợi, cơ quan nhà nước kiểm tra và ban hành văn bản chấp thuận nghiệm thu đúng tiến độ.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Hồ sơ nghiệm thu bị trả lại hoặc yêu cầu bổ sung nhiều lần do thiếu tính đồng bộ giữa hồ sơ chất lượng và thực tế thi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Thời gian chờ cơ quan nhà nước kiểm tra và ra văn bản chấp thuận kéo dài, làm chậm tiến độ đưa dự án vào khai thác.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59b8e6150e0bcc7cc8722d0080fc395c1462b82"/>
    <w:p>
      <w:pPr>
        <w:pStyle w:val="Heading3"/>
        <w:spacing w:line="312" w:lineRule="auto" w:before="280" w:after="160"/>
        <w:ind w:left="0" w:firstLine="0"/>
        <w:jc w:val="left"/>
      </w:pPr>
      <w:r>
        <w:rPr>
          <w:rFonts w:ascii="Times New Roman" w:hAnsi="Times New Roman" w:eastAsia="Times New Roman" w:cs="Times New Roman"/>
        </w:rPr>
        <w:t xml:space="preserve">Khối 5B: Quy trình mới — Bàn giao, bảo hành và bảo trì (Nghị định 207/2026/NĐ-CP)</w:t>
      </w:r>
    </w:p>
    <w:p>
      <w:pPr>
        <w:numPr>
          <w:ilvl w:val="0"/>
          <w:numId w:val="1011"/>
        </w:numPr>
        <w:spacing w:line="312" w:lineRule="auto" w:before="80" w:after="80"/>
        <w:jc w:val="left"/>
      </w:pPr>
      <w:r>
        <w:rPr>
          <w:rFonts w:ascii="Times New Roman" w:hAnsi="Times New Roman" w:eastAsia="Times New Roman" w:cs="Times New Roman"/>
          <w:b/>
          <w:bCs/>
        </w:rPr>
        <w:t xml:space="preserve">Nhận diện điểm nghẽn và giải pháp xử lý thực tế đối với sự chậm trễ trong bàn giao hồ sơ pháp lý/quyết toán khi đưa công trình vào vận hành nhanh:</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điểm nghẽn thực tế và cơ chế giải quyết khi bàn giao tài sản nhanh để sản xuất.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Phối hợp nhịp nhàng, bàn giao thực địa đồng thời bàn giao hồ sơ hoàn công kỹ thuật đầy đủ, hạch toán tăng tài sản cố định ngay.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Bàn giao thực địa nhanh để kịp đưa vào sản xuất phục vụ kinh doanh, nhưng hồ sơ pháp lý, quyết toán và hạch toán tài sản bị treo kéo dài nhiều 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quy định rõ ràng về thời hạn phối hợp giữa Ban QLDA và đơn vị thụ hưởng (Nhà máy/Trạm nghiền) trong vòng 10 ngày kể từ khi công trình đủ điều kiện hoàn thành.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khác/Mô tả thực tế: ………………………………………………………………………………….</w:t>
      </w:r>
    </w:p>
    <w:p>
      <w:pPr>
        <w:numPr>
          <w:ilvl w:val="0"/>
          <w:numId w:val="1011"/>
        </w:numPr>
        <w:spacing w:line="312" w:lineRule="auto" w:before="80" w:after="80"/>
        <w:jc w:val="left"/>
      </w:pPr>
      <w:r>
        <w:rPr>
          <w:rFonts w:ascii="Times New Roman" w:hAnsi="Times New Roman" w:eastAsia="Times New Roman" w:cs="Times New Roman"/>
          <w:b/>
          <w:bCs/>
        </w:rPr>
        <w:t xml:space="preserve">Xác định khó khăn lớn nhất khi thu thập hồ sơ hoàn công và quy trình vận hành từ phía nhà thầu:</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Khảo sát các vướng mắc khi thu thập tài liệu bàn giao để thiết lập quy chế ràng buộc trách nhiệm của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Thu thập đầy đủ và đúng hạn nhờ áp dụng chế tài giữ lại tiền thanh toán đợt cuối hoặc bảo lãnh thực hiện hợp đồng chặt chẽ.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Nhà thầu thường chậm nộp bản vẽ hoàn công hoặc nộp hồ sơ quản lý chất lượng không đồng bộ, thiếu tài liệu kiểm định thiết bị.</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Quy trình vận hành, bảo trì công trình xây dựng thường bị bỏ qua hoặc thiếu hụt do nhà thầu thiết kế/thi công không tự động lập.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1"/>
        </w:numPr>
        <w:spacing w:line="312" w:lineRule="auto" w:before="80" w:after="80"/>
        <w:jc w:val="left"/>
      </w:pPr>
      <w:r>
        <w:rPr>
          <w:rFonts w:ascii="Times New Roman" w:hAnsi="Times New Roman" w:eastAsia="Times New Roman" w:cs="Times New Roman"/>
          <w:b/>
          <w:bCs/>
        </w:rPr>
        <w:t xml:space="preserve">Đánh giá tính hiệu quả của cơ chế chế tài nhà thầu thực hiện bảo hành, đặc biệt với các lỗi nhỏ hoặc khi hết hạn bảo hành:</w:t>
      </w:r>
    </w:p>
    <w:p>
      <w:pPr>
        <w:pStyle w:val="Compact"/>
        <w:numPr>
          <w:ilvl w:val="1"/>
          <w:numId w:val="101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Tìm kiếm cơ chế đôn đốc và phạt vi phạm bảo hành hiệu quả để giảm thiểu thiệt hại cho đơn vị vận 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Nhà thầu tự giác và phản hồi nhanh chóng; tiền giữ lại bảo hành (3%–5%) đủ sức răn đe nhà thầu thực hiện nghĩa vụ.</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nhiều khó khăn khi đôn đốc nhà thầu sửa chữa các lỗi nhỏ, buộc Ban QLDA hoặc đơn vị vận hành phải tự khắc phục bằng chi phí nội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công cụ theo dõi, cảnh báo tự động về thời hạn bảo hành của các gói thầu, chủ yếu quản lý bằng bảng theo dõi thủ công.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1"/>
        </w:numPr>
        <w:spacing w:line="312" w:lineRule="auto" w:before="80" w:after="80"/>
        <w:jc w:val="left"/>
      </w:pPr>
      <w:r>
        <w:rPr>
          <w:rFonts w:ascii="Times New Roman" w:hAnsi="Times New Roman" w:eastAsia="Times New Roman" w:cs="Times New Roman"/>
          <w:b/>
          <w:bCs/>
        </w:rPr>
        <w:t xml:space="preserve">Đánh giá hiện trạng lập, phê duyệt quy trình bảo trì cho phần xây dựng công trình công nghiệp lớn (khoảng trống pháp lý lớn):</w:t>
      </w:r>
    </w:p>
    <w:p>
      <w:pPr>
        <w:pStyle w:val="Compact"/>
        <w:numPr>
          <w:ilvl w:val="1"/>
          <w:numId w:val="101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Khắc phục</w:t>
      </w:r>
      <w:r>
        <w:rPr>
          <w:rFonts w:ascii="Times New Roman" w:hAnsi="Times New Roman" w:eastAsia="Times New Roman" w:cs="Times New Roman"/>
        </w:rPr>
        <w:t xml:space="preserve"> </w:t>
      </w:r>
      <w:r>
        <w:rPr>
          <w:rFonts w:ascii="Times New Roman" w:hAnsi="Times New Roman" w:eastAsia="Times New Roman" w:cs="Times New Roman"/>
        </w:rPr>
        <w:t xml:space="preserve">“khoảng trống”</w:t>
      </w:r>
      <w:r>
        <w:rPr>
          <w:rFonts w:ascii="Times New Roman" w:hAnsi="Times New Roman" w:eastAsia="Times New Roman" w:cs="Times New Roman"/>
        </w:rPr>
        <w:t xml:space="preserve"> </w:t>
      </w:r>
      <w:r>
        <w:rPr>
          <w:rFonts w:ascii="Times New Roman" w:hAnsi="Times New Roman" w:eastAsia="Times New Roman" w:cs="Times New Roman"/>
        </w:rPr>
        <w:t xml:space="preserve">thiếu quy trình bảo trì cho các silo, tháp sấy, nhà xưởng lớn để đảm bảo an toàn chịu lực lâu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lập và phê duyệt quy trình bảo trì phần xây dựng cho 100% công trình lớn đưa vào sử dụng từ trước đến nay.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lập quy trình bảo trì cho thiết bị công nghệ; phần xây dựng công trình hoàn toàn chưa được lập quy trình bảo trì riêng, chủ yếu sửa chữa sự cố phát sinh.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khó khăn do thiếu nhân sự chuyên môn về kỹ thuật xây dựng để tự lập/thẩm định quy trình bảo trì phần xây dựng.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1"/>
        </w:numPr>
        <w:spacing w:line="312" w:lineRule="auto" w:before="80" w:after="80"/>
        <w:jc w:val="left"/>
      </w:pPr>
      <w:r>
        <w:rPr>
          <w:rFonts w:ascii="Times New Roman" w:hAnsi="Times New Roman" w:eastAsia="Times New Roman" w:cs="Times New Roman"/>
          <w:b/>
          <w:bCs/>
        </w:rPr>
        <w:t xml:space="preserve">Khảo sát vướng mắc thủ tục phê duyệt kinh phí bảo trì xây dựng thường xuyên (đặc biệt đối với các hạng mục dưới 1 tỷ đồng của các nhà máy tự chủ):</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Đơn giản hóa cơ chế phê duyệt tài chính cho công tác bảo trì thường xuyên nhằm ngăn ngừa xuống cấp công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phân cấp rõ thẩm quyền cho các Nhà máy tự quyết định và chi tiêu bảo trì xây dựng dưới 1 tỷ đồng/năm từ nguồn kinh phí sửa chữa thường xuyên.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Thủ tục xin phê duyệt kinh phí bảo trì xây dựng phức tạp, phải trình qua nhiều phòng ban Công ty nên thường bị chậm trễ, ảnh hưởng đến an toàn công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có ngân sách cố định hàng năm cho công tác bảo trì phần xây dựng (silo, nhà xưởng…), chi phí chủ yếu phân bổ sự vụ.</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1"/>
        </w:numPr>
        <w:spacing w:line="312" w:lineRule="auto" w:before="80" w:after="80"/>
        <w:jc w:val="left"/>
      </w:pPr>
      <w:r>
        <w:rPr>
          <w:rFonts w:ascii="Times New Roman" w:hAnsi="Times New Roman" w:eastAsia="Times New Roman" w:cs="Times New Roman"/>
          <w:b/>
          <w:bCs/>
        </w:rPr>
        <w:t xml:space="preserve">Khảo sát thực tế thực hiện đánh giá an toàn chịu lực định kỳ cho các công trình công nghiệp quy mô lớn (silo, tháp sấy, ống khói):</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Đảm bảo an toàn chịu lực và phòng ngừa sự cố nghiêm trọng của công trình công nghiệp trong suốt vòng đời sử dụng.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lập danh mục, định kỳ thuê đơn vị kiểm định độc lập thực hiện đánh giá an toàn chịu lực đầy đủ cho các silo, tháp sấy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Chưa từng thực hiện đánh giá an toàn chịu lực định kỳ cho các silo, tháp sấy lớn do vướng mắc thủ tục hành chính và chưa được bố trí kinh phí riêng.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khó khăn khi lựa chọn các đơn vị tư vấn kiểm định có đủ năng lực và thiết bị chuyên dùng cho công trình công nghiệp xi măng.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10"/>
    <w:bookmarkStart w:id="11" w:name="X077619d99d109ea5efdf82e6424a193a11686b0"/>
    <w:p>
      <w:pPr>
        <w:pStyle w:val="Heading3"/>
        <w:spacing w:line="312" w:lineRule="auto" w:before="280" w:after="160"/>
        <w:ind w:left="0" w:firstLine="0"/>
        <w:jc w:val="left"/>
      </w:pPr>
      <w:r>
        <w:rPr>
          <w:rFonts w:ascii="Times New Roman" w:hAnsi="Times New Roman" w:eastAsia="Times New Roman" w:cs="Times New Roman"/>
        </w:rPr>
        <w:t xml:space="preserve">Khối 5C: Quy trình mới — An toàn lao động và môi trường thi công</w:t>
      </w:r>
    </w:p>
    <w:p>
      <w:pPr>
        <w:numPr>
          <w:ilvl w:val="0"/>
          <w:numId w:val="1018"/>
        </w:numPr>
        <w:spacing w:line="312" w:lineRule="auto" w:before="80" w:after="80"/>
        <w:jc w:val="left"/>
      </w:pPr>
      <w:r>
        <w:rPr>
          <w:rFonts w:ascii="Times New Roman" w:hAnsi="Times New Roman" w:eastAsia="Times New Roman" w:cs="Times New Roman"/>
          <w:b/>
          <w:bCs/>
        </w:rPr>
        <w:t xml:space="preserve">Đánh giá tính hiệu quả và khó khăn khi áp dụng quy chế quản lý an toàn vệ sinh lao động trên công trường thi công nằm trong nhà máy đang vận hành:</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Phòng ngừa sự cố mất an toàn lao động và ô nhiễm khi thực hiện dự án cải tạo xen lẫn sản xuất.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Hệ thống văn bản, nội quy công trường đầy đủ, nhà thầu tuân thủ nghiêm túc; ranh giới thi công và sản xuất được cách ly tốt.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Khó kiểm soát do ranh giới giữa khu vực sản xuất của nhà máy và khu vực thi công của dự án chồng lấn, dễ phát sinh rủi ro mất an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Quy trình và biện pháp an toàn của nhà thầu lập ra chủ yếu mang tính đối phó, thiếu tính thực tiễn khi thi công trên cao hoặc không gian kín.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8"/>
        </w:numPr>
        <w:spacing w:line="312" w:lineRule="auto" w:before="80" w:after="80"/>
        <w:jc w:val="left"/>
      </w:pPr>
      <w:r>
        <w:rPr>
          <w:rFonts w:ascii="Times New Roman" w:hAnsi="Times New Roman" w:eastAsia="Times New Roman" w:cs="Times New Roman"/>
          <w:b/>
          <w:bCs/>
        </w:rPr>
        <w:t xml:space="preserve">Khảo sát phương án bố trí cán bộ quản lý an toàn chuyên trách theo quy chế mới mà không làm phình bộ máy hành chính:</w:t>
      </w:r>
    </w:p>
    <w:p>
      <w:pPr>
        <w:pStyle w:val="Compact"/>
        <w:numPr>
          <w:ilvl w:val="1"/>
          <w:numId w:val="102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Tối ưu hóa mô hình nhân sự an toàn lao động của Ban QLDA để vừa tuân thủ pháp lý vừa đảm bảo hiệu quả giám sát.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Bắt buộc nhà thầu bố trí cán bộ chuyên trách an toàn; cán bộ giám sát của Ban QLDA chỉ thực hiện kiểm tra đột xuất và hậu kiểm.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Cán bộ giám sát của Ban QLDA vẫn phải kiêm nhiệm quản lý an toàn do không có định biên nhân sự chuyên trách, dẫn đến quá tải và thiếu chuyên sâu.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Đề xuất tuyển dụng cán bộ chuyên trách an toàn lao động thuộc Ban QLDA hoặc thuê ngoài đơn vị chuyên nghiệp giám sát an toàn cho các dự án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8"/>
        </w:numPr>
        <w:spacing w:line="312" w:lineRule="auto" w:before="80" w:after="80"/>
        <w:jc w:val="left"/>
      </w:pPr>
      <w:r>
        <w:rPr>
          <w:rFonts w:ascii="Times New Roman" w:hAnsi="Times New Roman" w:eastAsia="Times New Roman" w:cs="Times New Roman"/>
          <w:b/>
          <w:bCs/>
        </w:rPr>
        <w:t xml:space="preserve">Xác định các vướng mắc khi thực hiện kiểm tra và phê duyệt biện pháp thi công, kế hoạch an toàn của nhà thầu trước khi khởi công:</w:t>
      </w:r>
    </w:p>
    <w:p>
      <w:pPr>
        <w:pStyle w:val="Compact"/>
        <w:numPr>
          <w:ilvl w:val="1"/>
          <w:numId w:val="102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Rút ngắn thời gian phê duyệt hồ sơ khởi công của nhà thầu nhưng vẫn bảo đảm kiểm soát chặt chẽ biện pháp an toàn kỹ thuật.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Việc rà soát và phê duyệt diễn ra nhanh chóng trước khi khởi công, không gây chậm trễ cho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Thời gian rà soát bị kéo dài do biện pháp thi công của nhà thầu lập quá sơ sài, không sát thực tế, phải sửa đổi nhiều lần.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Thiếu sự phối hợp chặt chẽ giữa bộ phận an toàn của Nhà máy đang vận hành và bộ phận giám sát của Ban QLDA khi duyệt biện pháp liên quan đến điện, nguồn nhiệt.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8"/>
        </w:numPr>
        <w:spacing w:line="312" w:lineRule="auto" w:before="80" w:after="80"/>
        <w:jc w:val="left"/>
      </w:pPr>
      <w:r>
        <w:rPr>
          <w:rFonts w:ascii="Times New Roman" w:hAnsi="Times New Roman" w:eastAsia="Times New Roman" w:cs="Times New Roman"/>
          <w:b/>
          <w:bCs/>
        </w:rPr>
        <w:t xml:space="preserve">Đánh giá khó khăn thực tế trong việc kiểm soát bụi mịn, tiếng ồn và chất thải xây dựng từ công trường đối với hoạt động sản xuất bình thường của nhà máy:</w:t>
      </w:r>
    </w:p>
    <w:p>
      <w:pPr>
        <w:pStyle w:val="Compact"/>
        <w:numPr>
          <w:ilvl w:val="1"/>
          <w:numId w:val="102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Hạn chế tối đa ảnh hưởng tiêu cực của công tác thi công dự án đến môi trường vận hành sản xuất xi măng xung quanh.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Nhà thầu tuân thủ tốt các biện pháp che chắn, phun nước giảm bụi; việc giám sát và kiểm soát dễ dàng.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Cực kỳ khó kiểm soát do bụi mịn xi măng cộng hưởng với bụi thi công; các biện pháp che chắn của nhà thầu thường không đạt yêu cầu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Chế tài xử phạt vi phạm môi trường hiện tại quy định trong hợp đồng còn nhẹ, chưa đủ sức răn đe nhà thầu thực hiện nghiêm túc.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11"/>
    <w:bookmarkStart w:id="12" w:name="Xde5f7e87adc570b9a44373b248a96e7c8475c0a"/>
    <w:p>
      <w:pPr>
        <w:pStyle w:val="Heading3"/>
        <w:spacing w:line="312" w:lineRule="auto" w:before="280" w:after="160"/>
        <w:ind w:left="0" w:firstLine="0"/>
        <w:jc w:val="left"/>
      </w:pPr>
      <w:r>
        <w:rPr>
          <w:rFonts w:ascii="Times New Roman" w:hAnsi="Times New Roman" w:eastAsia="Times New Roman" w:cs="Times New Roman"/>
        </w:rPr>
        <w:t xml:space="preserve">Khối 5D: Đánh giá phương án tổ chức Ban QLDA — Năng lực nhân sự kỹ thuật</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numPr>
          <w:ilvl w:val="0"/>
          <w:numId w:val="1023"/>
        </w:numPr>
        <w:spacing w:line="312" w:lineRule="auto" w:before="80" w:after="80"/>
        <w:jc w:val="left"/>
      </w:pPr>
      <w:r>
        <w:rPr>
          <w:rFonts w:ascii="Times New Roman" w:hAnsi="Times New Roman" w:eastAsia="Times New Roman" w:cs="Times New Roman"/>
          <w:b/>
          <w:bCs/>
        </w:rPr>
        <w:t xml:space="preserve">[TC-07] Trong 5 năm gần nhất, có dự án nào của VICEM Hà Tiên đòi hỏi công nghệ đặc thù mà nhân sự Ban QLDA nội bộ không đủ năng lực xử lý, phải thuê chuyên gia/tư vấn bên ngoài?</w:t>
      </w:r>
    </w:p>
    <w:p>
      <w:pPr>
        <w:pStyle w:val="Compact"/>
        <w:numPr>
          <w:ilvl w:val="1"/>
          <w:numId w:val="102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tần suất cần huy động năng lực chuyên gia bên ngoài — căn cứ quan trọng cho việc chấm điểm PA3 (thuê tư vấn QLDA chuyên nghiệp).</w:t>
      </w:r>
    </w:p>
    <w:p>
      <w:pPr>
        <w:pStyle w:val="Compact"/>
        <w:numPr>
          <w:ilvl w:val="1"/>
          <w:numId w:val="1024"/>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TC-07 — Năng lực chuyên môn sâu (Trọng số: 7%)</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Thường xuyên (trên 50% dự án) — đặc biệt các dự án cải tạo chiều sâu dây chuyền, chuyển đổi công nghệ xanh, tận dụng nhiệt khí thải.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Thỉnh thoảng (20–50% dự án) — chủ yếu dự án nhóm B có công nghệ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Hiếm khi (dưới 20% dự án) — nhân sự nội bộ đáp ứng hầu hết yêu cầu.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23"/>
        </w:numPr>
        <w:spacing w:line="312" w:lineRule="auto" w:before="80" w:after="80"/>
        <w:jc w:val="left"/>
      </w:pPr>
      <w:r>
        <w:rPr>
          <w:rFonts w:ascii="Times New Roman" w:hAnsi="Times New Roman" w:eastAsia="Times New Roman" w:cs="Times New Roman"/>
          <w:b/>
          <w:bCs/>
        </w:rPr>
        <w:t xml:space="preserve">[TC-07] Đánh giá khả năng tuyển dụng và giữ chân chuyên gia kỹ thuật cao tại Ban QLDA (nếu thành lập Ban QLDA độc lập — Phương án 2):</w:t>
      </w:r>
    </w:p>
    <w:p>
      <w:pPr>
        <w:pStyle w:val="Compact"/>
        <w:numPr>
          <w:ilvl w:val="1"/>
          <w:numId w:val="102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So sánh năng lực thu hút nhân tài giữa mô hình đơn vị phụ thuộc (bị ràng buộc khung lương Công ty) và mô hình pháp nhân độc lập (linh hoạt trả lương thị trường).</w:t>
      </w:r>
    </w:p>
    <w:p>
      <w:pPr>
        <w:pStyle w:val="Compact"/>
        <w:numPr>
          <w:ilvl w:val="1"/>
          <w:numId w:val="1025"/>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TC-07 — Năng lực chuyên môn sâu (Trọng số: 7%)</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Rất khó — khung lương Công ty không cạnh tranh được với thị trường tư vấn QLDA, kỹ sư giỏi dễ rời đi.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Trung bình — có thể thu hút nếu bổ sung cơ chế quỹ lương riêng, phụ cấp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Thuận lợi — thương hiệu VICEM Hà Tiên đủ hấp dẫn, phúc lợi ổn định là ưu thế.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23"/>
        </w:numPr>
        <w:spacing w:line="312" w:lineRule="auto" w:before="80" w:after="80"/>
        <w:jc w:val="left"/>
      </w:pPr>
      <w:r>
        <w:rPr>
          <w:rFonts w:ascii="Times New Roman" w:hAnsi="Times New Roman" w:eastAsia="Times New Roman" w:cs="Times New Roman"/>
          <w:b/>
          <w:bCs/>
        </w:rPr>
        <w:t xml:space="preserve">[TC-11] Số lượng cán bộ Ban QLDA hiện tại có chứng chỉ hành nghề quản lý dự án / giám sát thi công / thiết kế xây dựng theo quy định Luật XD 135/2025:</w:t>
      </w:r>
    </w:p>
    <w:p>
      <w:pPr>
        <w:pStyle w:val="Compact"/>
        <w:numPr>
          <w:ilvl w:val="1"/>
          <w:numId w:val="102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khoảng cách năng lực (gap) nhân sự hiện tại so với yêu cầu của từng phương án.</w:t>
      </w:r>
    </w:p>
    <w:p>
      <w:pPr>
        <w:pStyle w:val="Compact"/>
        <w:numPr>
          <w:ilvl w:val="1"/>
          <w:numId w:val="1026"/>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TC-11 — Mức độ sẵn sàng nhân sự nội bộ (Trọng số: 7%)</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Trên 70% cán bộ chuyên môn có chứng chỉ hành nghề phù hợp — đáp ứng tốt PA1.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40–70% — cần đào tạo bổ sung 6–12 tháng cho nhóm còn thiếu.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Dưới 40% — khoảng cách lớn, cần chương trình đào tạo dài hạn hoặc tuyển mới.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Số liệu cụ thể: _____ người có CC Hạng I, _____ người CC Hạng II, _____ người CC Hạng III, _____ người chưa có CC.</w:t>
      </w:r>
    </w:p>
    <w:p>
      <w:pPr>
        <w:numPr>
          <w:ilvl w:val="0"/>
          <w:numId w:val="1023"/>
        </w:numPr>
        <w:spacing w:line="312" w:lineRule="auto" w:before="80" w:after="80"/>
        <w:jc w:val="left"/>
      </w:pPr>
      <w:r>
        <w:rPr>
          <w:rFonts w:ascii="Times New Roman" w:hAnsi="Times New Roman" w:eastAsia="Times New Roman" w:cs="Times New Roman"/>
          <w:b/>
          <w:bCs/>
        </w:rPr>
        <w:t xml:space="preserve">[TC-11] Đánh giá năng lực thực tế của nhân sự Ban QLDA theo các lĩnh vực chuyên sâu (chọn nhiều nếu phù hợp):</w:t>
      </w:r>
    </w:p>
    <w:p>
      <w:pPr>
        <w:pStyle w:val="Compact"/>
        <w:numPr>
          <w:ilvl w:val="1"/>
          <w:numId w:val="102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các lĩnh vực năng lực cần bổ sung qua đào tạo (PA1) hoặc thuê ngoài (PA3).</w:t>
      </w:r>
    </w:p>
    <w:p>
      <w:pPr>
        <w:pStyle w:val="Compact"/>
        <w:numPr>
          <w:ilvl w:val="1"/>
          <w:numId w:val="1027"/>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TC-11 — Mức độ sẵn sàng nhân sự nội bộ (Trọng số: 7%)</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Quản lý hợp đồng FIDIC — ☐ Đáp ứng / ☐ Cần đào tạo / ☐ Thiếu hoàn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Sử dụng phần mềm BIM (Revit, Navisworks) — ☐ Đáp ứng / ☐ Cần đào tạo / ☐ Thiếu hoàn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Vận hành Môi trường Dữ liệu Chung (CDE) — ☐ Đáp ứng / ☐ Cần đào tạo / ☐ Thiếu hoàn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Ứng dụng phần mềm quản lý dự án (MS Project, Primavera) — ☐ Đáp ứng / ☐ Cần đào tạo / ☐ Thiếu hoàn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Đấu thầu qua mạng (E-GP) nâng cao — ☐ Đáp ứng / ☐ Cần đào tạo / ☐ Thiếu hoàn toàn.</w:t>
      </w:r>
    </w:p>
    <w:p>
      <w:pPr>
        <w:numPr>
          <w:ilvl w:val="0"/>
          <w:numId w:val="1023"/>
        </w:numPr>
        <w:spacing w:line="312" w:lineRule="auto" w:before="80" w:after="80"/>
        <w:jc w:val="left"/>
      </w:pPr>
      <w:r>
        <w:rPr>
          <w:rFonts w:ascii="Times New Roman" w:hAnsi="Times New Roman" w:eastAsia="Times New Roman" w:cs="Times New Roman"/>
          <w:b/>
          <w:bCs/>
        </w:rPr>
        <w:t xml:space="preserve">[TC-12] Tỷ lệ nghỉ việc (turnover) của cán bộ Ban QLDA trong 3 năm gần nhất:</w:t>
      </w:r>
    </w:p>
    <w:p>
      <w:pPr>
        <w:pStyle w:val="Compact"/>
        <w:numPr>
          <w:ilvl w:val="1"/>
          <w:numId w:val="102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khả năng giữ chân nhân sự — PA1 (lương theo khung Công ty) vs. PA2 (tự chủ tài chính, lương thị trường) vs. PA3 (nhân sự tư vấn rời đi sau dự án, Công ty không tích lũy năng lực).</w:t>
      </w:r>
    </w:p>
    <w:p>
      <w:pPr>
        <w:pStyle w:val="Compact"/>
        <w:numPr>
          <w:ilvl w:val="1"/>
          <w:numId w:val="1028"/>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TC-12 — Giữ chân &amp; Phát triển nhân tài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5%/năm — ổn định, nhân sự gắn bó lâu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Từ 5–15%/năm — trung bình, có sự luân chuyển nhất định.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Trên 15%/năm — cao, khó giữ chân kỹ sư giỏi do lương và cơ hội phát triển hạn chế.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spacing w:line="312" w:lineRule="auto" w:before="80" w:after="80"/>
        <w:jc w:val="left"/>
      </w:pPr>
      <w:r>
        <w:rPr>
          <w:rFonts w:ascii="Times New Roman" w:hAnsi="Times New Roman" w:eastAsia="Times New Roman" w:cs="Times New Roman"/>
        </w:rPr>
        <w:pict>
          <v:rect style="width:0;height:1.5pt" o:hralign="center" o:hrstd="t" o:hr="t"/>
        </w:pict>
      </w:r>
    </w:p>
    <w:bookmarkEnd w:id="12"/>
    <w:bookmarkEnd w:id="13"/>
    <w:bookmarkEnd w:id="14"/>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9">
    <w:abstractNumId w:val="991"/>
  </w:num>
  <w:num w:numId="1020">
    <w:abstractNumId w:val="991"/>
  </w:num>
  <w:num w:numId="1021">
    <w:abstractNumId w:val="991"/>
  </w:num>
  <w:num w:numId="1022">
    <w:abstractNumId w:val="991"/>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2026-06-16T16:43:39Z</dcterms:created>
  <dcterms:modified xsi:type="dcterms:W3CDTF">2026-06-16T16:43:39Z</dcterms:modified>
</cp:coreProperties>
</file>

<file path=docProps/custom.xml><?xml version="1.0" encoding="utf-8"?>
<Properties xmlns="http://schemas.openxmlformats.org/officeDocument/2006/custom-properties" xmlns:vt="http://schemas.openxmlformats.org/officeDocument/2006/docPropsVTypes"/>
</file>