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rsidR="00EA5809" w:rsidRDefault="00EA5809">
      <w:pPr>
        <w:jc w:val="center"/>
        <w:rPr>
          <w:rFonts w:ascii="Times New Roman" w:eastAsia="Times New Roman" w:hAnsi="Times New Roman" w:cs="Times New Roman"/>
          <w:b/>
          <w:bCs/>
          <w:color w:val="000000"/>
          <w:sz w:val="28"/>
          <w:szCs w:val="28"/>
        </w:rPr>
      </w:pPr>
    </w:p>
    <w:p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Rà soát, tái cấu trúc và chuẩn hóa hệ thống quản trị đầu tư xây dựng VICEM Hà Tiên theo quy định pháp luật hiện hành và quy định quản trị của VICEM</w:t>
      </w:r>
    </w:p>
    <w:p w:rsidR="00C16B2B" w:rsidRDefault="00C16B2B">
      <w:pPr>
        <w:jc w:val="both"/>
        <w:rPr>
          <w:rFonts w:ascii="Times New Roman" w:eastAsia="Times New Roman" w:hAnsi="Times New Roman" w:cs="Times New Roman"/>
          <w:color w:val="000000"/>
          <w:sz w:val="28"/>
          <w:szCs w:val="28"/>
        </w:rPr>
      </w:pP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trPr>
          <w:trHeight w:val="448"/>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trPr>
          <w:trHeight w:val="100"/>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trPr>
          <w:trHeight w:val="100"/>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thỏa thuận ký kết hợp đồng với những điều khoản sau:</w:t>
      </w:r>
    </w:p>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Rà soát, tái cấu trúc và chuẩn hóa hệ thống quản trị đầu tư xây dựng VICEM Hà Tiên theo quy định pháp luật hiện hành và quy định quản trị của VICEM”.</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Mô hình tổ chức quản trị đầu tư xây dựng mới của VICEM Hà Tiên phù hợp với Luật Xây dựng số 135/2025/QH15 ngày 10/12/2025; Luật số 68/2025/QH15 ngày 14/6/2025; các văn bản pháp luật khác có liên quan; đồng thời phù hợp với định hướng phát triển của VICEM Hà Tiên (kèm sơ đồ tổ chức, ma trận chức năng, ma trận RACI)</w:t>
      </w:r>
      <w:bookmarkEnd w:id="1"/>
      <w:r>
        <w:rPr>
          <w:rFonts w:ascii="Times New Roman" w:eastAsia="Times New Roman" w:hAnsi="Times New Roman" w:cs="Times New Roman"/>
          <w:color w:val="0000CC"/>
          <w:sz w:val="26"/>
          <w:szCs w:val="26"/>
        </w:rPr>
        <w:t>.</w:t>
      </w:r>
    </w:p>
    <w:p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mới của VICEM Hà Tiên (gồm 08 quy chế nội bộ: quản lý ĐTXD; quản lý chi phí đầu tư; đấu thầu; quản lý hợp đồng; nghiệm thu – bàn giao; quyết toán vốn đầu tư; phân cấp, phân quyền ĐTXD; kiểm soát nội bộ dự án), kèm hệ thống biểu mẫu chuẩn hóa.</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trình SOP đầu tư xây dựng chuẩn hóa theo 03 giai đoạn (chuẩn bị đầu tư, thực hiện, k</w:t>
      </w:r>
      <w:r>
        <w:rPr>
          <w:rFonts w:ascii="Times New Roman" w:eastAsia="Times New Roman" w:hAnsi="Times New Roman" w:cs="Times New Roman"/>
          <w:color w:val="0000CC"/>
          <w:sz w:val="26"/>
          <w:szCs w:val="26"/>
        </w:rPr>
        <w:t>ết thúc), theo định hướng tiêu chuẩn ISO và sơ đồ luồng công việc (workflow) điện tử.</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phân cấp, phân quyền đầu tư xây dựng (ma trận thẩm quyền giữa các cấp), đồng bộ với Điều lệ và Quy chế đầu tư xây dựng của VICEM.</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chỉ số KPI quản lý dự án (tiến</w:t>
      </w:r>
      <w:r>
        <w:rPr>
          <w:rFonts w:ascii="Times New Roman" w:eastAsia="Times New Roman" w:hAnsi="Times New Roman" w:cs="Times New Roman"/>
          <w:color w:val="0000CC"/>
          <w:sz w:val="26"/>
          <w:szCs w:val="26"/>
        </w:rPr>
        <w:t xml:space="preserve"> độ, chi phí, chất lượng, hiệu quả đầu tư) và hệ thống quản trị rủi ro ĐTXD (Risk Register, Sổ tay quản lý rủi ro dự án, Ma trận rủi ro toàn công ty).</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Lộ trình chuyển đổi số hoạt động đầu tư xây dựng (định hướng PMIS, quản lý hồ sơ và nhật ký công trình </w:t>
      </w:r>
      <w:r>
        <w:rPr>
          <w:rFonts w:ascii="Times New Roman" w:eastAsia="Times New Roman" w:hAnsi="Times New Roman" w:cs="Times New Roman"/>
          <w:color w:val="0000CC"/>
          <w:sz w:val="26"/>
          <w:szCs w:val="26"/>
        </w:rPr>
        <w:t>điện tử, dashboard lãnh đạo, áp dụng BIM đối với dự án lớn). Việc triển khai số hóa chi tiết, đầu tư phần mềm không thuộc phạm vi hợp đồng riêng.</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Kế hoạch triển khai áp dụng trong 03 năm.</w:t>
      </w:r>
    </w:p>
    <w:p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tiến độ thực hiện hợp đồng</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w:t>
      </w:r>
      <w:r w:rsidR="00E511BA">
        <w:rPr>
          <w:rFonts w:ascii="Times New Roman" w:eastAsia="Times New Roman" w:hAnsi="Times New Roman" w:cs="Times New Roman"/>
          <w:color w:val="000000"/>
          <w:sz w:val="26"/>
          <w:szCs w:val="26"/>
        </w:rPr>
        <w:t xml:space="preserve">45 </w:t>
      </w:r>
      <w:r>
        <w:rPr>
          <w:rFonts w:ascii="Times New Roman" w:eastAsia="Times New Roman" w:hAnsi="Times New Roman" w:cs="Times New Roman"/>
          <w:color w:val="000000"/>
          <w:sz w:val="26"/>
          <w:szCs w:val="26"/>
        </w:rPr>
        <w:t xml:space="preserve">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độ thực hiện, giai đoạn, sản phẩm bàn giao chi tiết của hợp đồng quy định tại Phụ lục 02 hợp đồng này. </w:t>
      </w:r>
    </w:p>
    <w:p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rsidR="00C16B2B" w:rsidRPr="002B6082"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455.000.000 đồng.</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 xml:space="preserve">  </w:t>
      </w:r>
      <w:r>
        <w:rPr>
          <w:rFonts w:ascii="Times New Roman" w:eastAsia="Times New Roman" w:hAnsi="Times New Roman" w:cs="Times New Roman"/>
          <w:bCs/>
          <w:color w:val="000000"/>
          <w:sz w:val="26"/>
          <w:szCs w:val="26"/>
        </w:rPr>
        <w:tab/>
        <w:t xml:space="preserve">  36.400.000 đồng.</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491.400.000 đồng.</w:t>
      </w:r>
    </w:p>
    <w:p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hợp đồng trong vòng 15 ngày làm việc kể từ ngày nhận được đầy đủ hồ sơ thanh toán hợp lệ, bao gồm: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rPr>
      </w:pPr>
      <w:r w:rsidRPr="002B6082">
        <w:rPr>
          <w:rFonts w:ascii="Times New Roman" w:eastAsia="Times New Roman" w:hAnsi="Times New Roman" w:cs="Times New Roman"/>
          <w:color w:val="0000CC"/>
          <w:sz w:val="26"/>
          <w:szCs w:val="26"/>
        </w:rPr>
        <w:t>+ Báo cáo khảo sát và đánh giá hiện trạng hệ thống ĐTXD (kèm phân tích SWOT, đánh giá nhân sự theo chức danh, phân loại danh mục dự án);</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rPr>
      </w:pPr>
      <w:r w:rsidRPr="002B6082">
        <w:rPr>
          <w:rFonts w:ascii="Times New Roman" w:eastAsia="Times New Roman" w:hAnsi="Times New Roman" w:cs="Times New Roman"/>
          <w:color w:val="0000CC"/>
          <w:sz w:val="26"/>
          <w:szCs w:val="26"/>
        </w:rPr>
        <w:t>+ Báo cáo khoảng cách pháp lý;</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highlight w:val="white"/>
        </w:rPr>
      </w:pPr>
      <w:r w:rsidRPr="002B6082">
        <w:rPr>
          <w:rFonts w:ascii="Times New Roman" w:eastAsia="Times New Roman" w:hAnsi="Times New Roman" w:cs="Times New Roman"/>
          <w:color w:val="0000CC"/>
          <w:sz w:val="26"/>
          <w:szCs w:val="26"/>
        </w:rPr>
        <w:t>+ Báo cáo đề xuất mô hình tổ chức quản trị ĐTXD mới (kèm sơ đồ tổ chức, ma trận chức năng, ma trận RACI).</w:t>
      </w:r>
    </w:p>
    <w:p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t>Điều 7. Bảo lãnh hợp đồng (Không áp dụng)</w:t>
      </w:r>
    </w:p>
    <w:p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9.2 Nghĩa vụ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Xuất hoá đơn tài chính theo quy định cho Bên A.</w:t>
      </w:r>
    </w:p>
    <w:p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rsidTr="00AD1473">
        <w:trPr>
          <w:trHeight w:val="2258"/>
        </w:trPr>
        <w:tc>
          <w:tcPr>
            <w:tcW w:w="4928" w:type="dxa"/>
          </w:tcPr>
          <w:p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t>PHỤ LỤC 1</w:t>
      </w:r>
    </w:p>
    <w:p w:rsidR="00317BFC" w:rsidRDefault="00317BFC">
      <w:pPr>
        <w:jc w:val="center"/>
        <w:rPr>
          <w:rFonts w:ascii="Times New Roman" w:eastAsia="Times New Roman" w:hAnsi="Times New Roman" w:cs="Times New Roman"/>
          <w:color w:val="000000"/>
          <w:sz w:val="26"/>
          <w:szCs w:val="26"/>
        </w:rPr>
      </w:pP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rsidR="00272987" w:rsidRDefault="00BE61A3">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thầu thực hiện các nhóm công việc sau:</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Pr>
          <w:rFonts w:ascii="Times New Roman" w:eastAsia="Times New Roman" w:hAnsi="Times New Roman" w:cs="Times New Roman"/>
          <w:b/>
          <w:bCs/>
          <w:sz w:val="26"/>
          <w:szCs w:val="26"/>
        </w:rPr>
        <w:t>Rà soát và đánh giá hiện trạng toàn bộ hệ thống đầu tư xây dựng:</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tổng thể một số dự án điển hình trong 05 năm gần nhất;</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mô hình tổ chức ĐTXD hiện nay: Ban Quản lý dự án; các phòng kỹ thuật; các đơn vị thành viên;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Đánh giá năng lực </w:t>
      </w:r>
      <w:r>
        <w:rPr>
          <w:rFonts w:ascii="Times New Roman" w:eastAsia="Times New Roman" w:hAnsi="Times New Roman" w:cs="Times New Roman"/>
          <w:sz w:val="26"/>
          <w:szCs w:val="26"/>
        </w:rPr>
        <w:t>nhân sự theo chức danh (số lượng, chất lượng, chứng chỉ hành nghề/năng lực), phân tích SWOT;</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các bất cập: chậm tiến độ; tăng tổng mức đầu tư; điều chỉnh thiết kế; vướng đấu thầu; vướng quyết toán; chồng chéo thẩm quyền.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Thiết kế mô hình quản </w:t>
      </w:r>
      <w:r>
        <w:rPr>
          <w:rFonts w:ascii="Times New Roman" w:eastAsia="Times New Roman" w:hAnsi="Times New Roman" w:cs="Times New Roman"/>
          <w:b/>
          <w:bCs/>
          <w:sz w:val="26"/>
          <w:szCs w:val="26"/>
        </w:rPr>
        <w:t>trị đầu tư xây dựng mới cho VICEM Hà Tiên: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đề xuất tối thiểu 03 phương án tổ chức kèm ưu, nhược điểm, khung tiêu chí và bảng so sánh; ưu tiên tận dụng nhân lực hiện hữu; khuyến nghị phương 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Sơ đồ tổ chức; Ma trận chức năng; Ma t</w:t>
      </w:r>
      <w:r>
        <w:rPr>
          <w:rFonts w:ascii="Times New Roman" w:eastAsia="Times New Roman" w:hAnsi="Times New Roman" w:cs="Times New Roman"/>
          <w:sz w:val="26"/>
          <w:szCs w:val="26"/>
        </w:rPr>
        <w:t>rận RACI.</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Chuẩn hóa toàn bộ quy trình ĐTXD (giai đoạn chuẩn bị đầu tư, thực hiện, kết thúc):</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Bộ SOP ĐTXD; quy trình theo định hướng ISO; sơ đồ luồng công việc (workflow) điện tử.</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Xây dựng hệ thống phân cấp, phân quyền: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Xây dựng ma trận </w:t>
      </w:r>
      <w:r>
        <w:rPr>
          <w:rFonts w:ascii="Times New Roman" w:eastAsia="Times New Roman" w:hAnsi="Times New Roman" w:cs="Times New Roman"/>
          <w:sz w:val="26"/>
          <w:szCs w:val="26"/>
        </w:rPr>
        <w:t>thẩm quyền (chủ trương đầu tư; phê duyệt dự án; điều chỉnh TMĐT; chỉ định thầu; quyết toán...) phân định rõ giữa các cấp (Tổng giám đốc, HĐQT, VICEM);</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quả: tránh vượt thẩm quyền; giảm thời gian trình ký; đồng bộ với Điều lệ VICEM và Quy chế ĐTXD của </w:t>
      </w:r>
      <w:r>
        <w:rPr>
          <w:rFonts w:ascii="Times New Roman" w:eastAsia="Times New Roman" w:hAnsi="Times New Roman" w:cs="Times New Roman"/>
          <w:sz w:val="26"/>
          <w:szCs w:val="26"/>
        </w:rPr>
        <w:t>VICEM; tăng tính chủ động, giảm phụ thuộc Tổng công ty VICEM.</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Xây dựng hệ thống biểu mẫu chuẩn kèm theo các quy chế, quy trình.</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Xây dựng hệ thống KPI quản lý dự 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Tiến độ: SPI; tỷ lệ hoàn thành kế hoạch. Chi phí: CPI; tỷ lệ vượt TMĐT. Chất lượng:</w:t>
      </w:r>
      <w:r>
        <w:rPr>
          <w:rFonts w:ascii="Times New Roman" w:eastAsia="Times New Roman" w:hAnsi="Times New Roman" w:cs="Times New Roman"/>
          <w:sz w:val="26"/>
          <w:szCs w:val="26"/>
        </w:rPr>
        <w:t xml:space="preserve"> số lỗi nghiệm thu; số sự cố. Hiệu quả đầu tư: NPV; IRR; thời gian hoàn vốn.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Xây dựng hệ thống quản trị rủi ro ĐTXD:</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Risk Register cho các nhóm: pháp lý; thiết kế; đấu thầu; thi công; môi trường; hợp đồng; thanh, quyết toán;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Sổ tay quả</w:t>
      </w:r>
      <w:r>
        <w:rPr>
          <w:rFonts w:ascii="Times New Roman" w:eastAsia="Times New Roman" w:hAnsi="Times New Roman" w:cs="Times New Roman"/>
          <w:sz w:val="26"/>
          <w:szCs w:val="26"/>
        </w:rPr>
        <w:t>n lý rủi ro dự án; Ma trận rủi ro toàn công ty.</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Chuyển đổi số hoạt động ĐTXD:</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Định hướng PMIS (Hệ thống thông tin quản lý dự án); quản lý hồ sơ điện tử; nhật ký công trình điện tử; dashboard lãnh đạo; BIM đối với dự án lớn; tích hợp SAP/ERP (nếu có);</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Việc triển khai số hóa chi tiết, đầu tư phần mềm thuộc phạm vi hợp đồng riêng, không thuộc phạm vi hợp đồng này.</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Xây dựng bộ quy chế nội bộ mới (08 quy chế):</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Quy chế quản lý ĐTXD; (2) Quy chế quản lý chi phí đầu tư; (3) Quy chế đấu thầu; (4) Quy</w:t>
      </w:r>
      <w:r>
        <w:rPr>
          <w:rFonts w:ascii="Times New Roman" w:eastAsia="Times New Roman" w:hAnsi="Times New Roman" w:cs="Times New Roman"/>
          <w:sz w:val="26"/>
          <w:szCs w:val="26"/>
        </w:rPr>
        <w:t xml:space="preserve"> chế quản lý hợp đồng; (5) Quy chế nghiệm thu – bàn giao; (6) Quy chế quyết toán vốn đầu tư; (7) Quy định phân cấp, phân quyền ĐTXD; (8) Quy chế kiểm soát nội bộ dự án.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Đào tạo và chuyển giao:</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Đào tạo HĐQT; Ban Tổng giám đốc; Ban ĐTXD; các nhà máy;</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Kèm: Sổ tay hướng dẫn; bộ tài liệu đào tạo; hỗ trợ áp dụng từ 06 đến 12 tháng.</w:t>
      </w:r>
    </w:p>
    <w:p w:rsidR="00272987" w:rsidRDefault="00BE61A3">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công việc nêu trên được thực hiện trên cơ sở tuân thủ: Luật Xây dựng số 135/2025/QH15; Luật Đấu thầu số 22/2023/QH15 (đã được sửa đổi, bổ sung bởi Luật số 57/2024/QH15 và </w:t>
      </w:r>
      <w:r>
        <w:rPr>
          <w:rFonts w:ascii="Times New Roman" w:eastAsia="Times New Roman" w:hAnsi="Times New Roman" w:cs="Times New Roman"/>
          <w:sz w:val="26"/>
          <w:szCs w:val="26"/>
        </w:rPr>
        <w:t>Luật số 90/2025/QH15); Luật số 68/2025/QH15; các văn bản hướng dẫn, các quy định pháp luật và quy định quản trị của VICEM có liên quan.</w:t>
      </w:r>
    </w:p>
    <w:p w:rsidR="00C16B2B" w:rsidRDefault="00D96D9D" w:rsidP="002B6082">
      <w:pPr>
        <w:numPr>
          <w:ilvl w:val="0"/>
          <w:numId w:val="1"/>
        </w:numPr>
        <w:spacing w:before="20" w:after="20"/>
        <w:ind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rsidR="00C16B2B" w:rsidRDefault="00D96D9D" w:rsidP="002B6082">
      <w:pPr>
        <w:numPr>
          <w:ilvl w:val="0"/>
          <w:numId w:val="1"/>
        </w:numPr>
        <w:spacing w:before="20" w:after="20"/>
        <w:ind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rsidR="00C16B2B" w:rsidRDefault="00D96D9D" w:rsidP="002B6082">
      <w:pPr>
        <w:numPr>
          <w:ilvl w:val="0"/>
          <w:numId w:val="2"/>
        </w:numPr>
        <w:spacing w:before="60" w:after="6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Mục </w:t>
      </w:r>
      <w:r w:rsidR="004F3E9C">
        <w:rPr>
          <w:rFonts w:ascii="Times New Roman" w:eastAsia="Times New Roman" w:hAnsi="Times New Roman" w:cs="Times New Roman"/>
          <w:b/>
          <w:bCs/>
          <w:color w:val="000000"/>
          <w:sz w:val="26"/>
          <w:szCs w:val="26"/>
        </w:rPr>
        <w:t>2</w:t>
      </w:r>
      <w:r>
        <w:rPr>
          <w:rFonts w:ascii="Times New Roman" w:eastAsia="Times New Roman" w:hAnsi="Times New Roman" w:cs="Times New Roman"/>
          <w:b/>
          <w:bCs/>
          <w:color w:val="000000"/>
          <w:sz w:val="26"/>
          <w:szCs w:val="26"/>
        </w:rPr>
        <w:t>. Yêu cầu về kỹ thuật</w:t>
      </w:r>
    </w:p>
    <w:p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Thực hiện đầy đủ các nhóm công việc quy định tại Mục 1 Phụ lục này (rà soát, đánh giá hiện trạng; thiết kế mô hình quản trị ĐTXD mới; chuẩn hóa quy trình SOP; phân cấp, phân quyền; hệ thống biểu mẫu chuẩn; hệ thống KPI; quản trị rủi ro; chuyển đổi số; bộ quy chế nội bộ mới; đào tạo, chuyển giao), bảo đảm tuân thủ và phù hợp với quy định pháp luật hiện hành và quy định quản trị của VICEM. Bao gồm nhưng không giới hạn các quy định pháp luật sau:</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PHỤ LỤC 2</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rsidR="00AD1473" w:rsidRDefault="00AD1473">
      <w:pPr>
        <w:rPr>
          <w:rFonts w:ascii="Times New Roman" w:eastAsia="Times New Roman" w:hAnsi="Times New Roman" w:cs="Times New Roman"/>
          <w:color w:val="000000"/>
          <w:sz w:val="26"/>
          <w:szCs w:val="26"/>
        </w:rPr>
      </w:pPr>
    </w:p>
    <w:p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Tổng thời gian thực hiện: </w:t>
      </w:r>
      <w:r w:rsidR="00BE61A3">
        <w:rPr>
          <w:rFonts w:ascii="Times New Roman" w:eastAsia="Times New Roman" w:hAnsi="Times New Roman" w:cs="Times New Roman"/>
          <w:color w:val="000000"/>
          <w:sz w:val="26"/>
          <w:szCs w:val="26"/>
        </w:rPr>
        <w:t>45</w:t>
      </w:r>
      <w:r>
        <w:rPr>
          <w:rFonts w:ascii="Times New Roman" w:eastAsia="Times New Roman" w:hAnsi="Times New Roman" w:cs="Times New Roman"/>
          <w:color w:val="000000"/>
          <w:sz w:val="26"/>
          <w:szCs w:val="26"/>
        </w:rPr>
        <w:t xml:space="preserve"> ngày.</w:t>
      </w:r>
    </w:p>
    <w:p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3432D4">
        <w:trPr>
          <w:tblHeader/>
        </w:trPr>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ĐÁNH GIÁ HIỆN TRẠNG VÀ THIẾT KẾ MÔ HÌNH QUẢN TRỊ ĐTXD</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20</w:t>
            </w:r>
          </w:p>
        </w:tc>
        <w:tc>
          <w:tcPr>
            <w:tcW w:w="2286"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tài liệu; khảo sát, đánh giá hiện trạng: mô hình tổ chức ĐTXD (Ban QLDA, các phòng kỹ thuật, các đơn vị thành viên); năng lực nhân sự theo chức danh; một số dự án điển hình trong 05 năm; phân tích SWOT; các bất cập (chậm tiến độ, tăng TMĐT, điều ch</w:t>
            </w:r>
            <w:r>
              <w:rPr>
                <w:rFonts w:ascii="Times New Roman" w:eastAsia="Times New Roman" w:hAnsi="Times New Roman" w:cs="Times New Roman"/>
                <w:color w:val="000000"/>
                <w:sz w:val="26"/>
                <w:szCs w:val="26"/>
              </w:rPr>
              <w:t>ỉnh thiết kế, vướng đấu thầu, vướng quyết toán, chồng chéo thẩm quyền).</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 10</w:t>
            </w:r>
          </w:p>
        </w:tc>
        <w:tc>
          <w:tcPr>
            <w:tcW w:w="2286"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bookmarkStart w:id="13" w:name="_Hlk232686436"/>
            <w:r>
              <w:rPr>
                <w:rFonts w:ascii="Times New Roman" w:eastAsia="Times New Roman" w:hAnsi="Times New Roman" w:cs="Times New Roman"/>
                <w:color w:val="000000"/>
                <w:sz w:val="26"/>
                <w:szCs w:val="26"/>
              </w:rPr>
              <w:t>+ Báo cáo khảo sát và đánh giá hiện trạng hệ thống ĐTXD (kèm phân tích SWOT, đánh giá nhân sự theo chức danh, phân loại danh mục dự án</w:t>
            </w:r>
            <w:r>
              <w:rPr>
                <w:rFonts w:ascii="Times New Roman" w:eastAsia="Times New Roman" w:hAnsi="Times New Roman" w:cs="Times New Roman"/>
                <w:color w:val="000000"/>
                <w:sz w:val="26"/>
                <w:szCs w:val="26"/>
              </w:rPr>
              <w:t>);</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khoảng cách pháp lý;</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đề xuất mô hình tổ chức quản trị ĐTXD mới (kèm sơ đồ tổ chức, ma trận chức năng, ma trận RACI).</w:t>
            </w:r>
            <w:bookmarkEnd w:id="13"/>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 xml:space="preserve"> – 16</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mô hình quản trị ĐTXD mới: phân tích tối thiểu 03 phương án tổ chức (khung tiêu chí, bảng so sánh, tham c</w:t>
            </w:r>
            <w:bookmarkStart w:id="14" w:name="_GoBack"/>
            <w:bookmarkEnd w:id="14"/>
            <w:r>
              <w:rPr>
                <w:rFonts w:ascii="Times New Roman" w:eastAsia="Times New Roman" w:hAnsi="Times New Roman" w:cs="Times New Roman"/>
                <w:color w:val="000000"/>
                <w:sz w:val="26"/>
                <w:szCs w:val="26"/>
              </w:rPr>
              <w:t>hiếu PVN/EVN/HUD/Hòa Phát), khuyến nghị phương án và lộ trình; tổng hợp, hoàn thiện Báo cáo Hạng mục 1.</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r>
              <w:rPr>
                <w:rFonts w:ascii="Times New Roman" w:eastAsia="Times New Roman" w:hAnsi="Times New Roman" w:cs="Times New Roman"/>
                <w:color w:val="000000"/>
                <w:sz w:val="26"/>
                <w:szCs w:val="26"/>
              </w:rPr>
              <w:t xml:space="preserve"> – 20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CHUẨN HÓA QUY</w:t>
            </w:r>
            <w:r>
              <w:rPr>
                <w:rFonts w:ascii="Times New Roman" w:eastAsia="Times New Roman" w:hAnsi="Times New Roman" w:cs="Times New Roman"/>
                <w:b/>
                <w:bCs/>
                <w:color w:val="000000"/>
                <w:sz w:val="26"/>
                <w:szCs w:val="26"/>
              </w:rPr>
              <w:t xml:space="preserve"> TRÌNH, QUY CHẾ, PHÂN CẤP, KPI, QUẢN TRỊ RỦI RO, CHUYỂN ĐỔI SỐ VÀ ĐÀO TẠO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r>
              <w:rPr>
                <w:rFonts w:ascii="Times New Roman" w:eastAsia="Times New Roman" w:hAnsi="Times New Roman" w:cs="Times New Roman"/>
                <w:b/>
                <w:bCs/>
                <w:color w:val="000000"/>
                <w:sz w:val="26"/>
                <w:szCs w:val="26"/>
              </w:rPr>
              <w:t xml:space="preserve"> – 45</w:t>
            </w:r>
          </w:p>
        </w:tc>
        <w:tc>
          <w:tcPr>
            <w:tcW w:w="2286"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Chuẩn hóa toàn bộ quy trình SOP ĐTXD (giai đoạn chuẩn bị đầu tư, thực hiện, kết thúc) theo định hướng ISO, sơ đồ luồng công việc điện tử; xây dựng hệ thống biểu mẫu chuẩn.</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20-25</w:t>
            </w:r>
          </w:p>
        </w:tc>
        <w:tc>
          <w:tcPr>
            <w:tcW w:w="2286"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trình SOP ĐTXD (03 giai đoạn, định hướng ISO, workflow điện tử) và hệ thống biểu mẫu chuẩn;</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phân cấp, phân quyền (ma trận thẩm quyền);</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08 quy chế nội bộ mới;</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KPI quản lý dự án và hệ thống quản trị rủi ro (Risk Register, Sổ tay rủi ro, Ma trận rủi ro);</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Lộ trình chuyển đổi số ĐTXD;</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Kế hoạch triển khai áp dụng 03 năm;</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tài liệu đào tạo, tập huấn.</w:t>
            </w: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phân cấp, phân quyền: ma trận th</w:t>
            </w:r>
            <w:r>
              <w:rPr>
                <w:rFonts w:ascii="Times New Roman" w:eastAsia="Times New Roman" w:hAnsi="Times New Roman" w:cs="Times New Roman"/>
                <w:color w:val="000000"/>
                <w:sz w:val="26"/>
                <w:szCs w:val="26"/>
              </w:rPr>
              <w:t>ẩm quyền giữa các cấp; đồng bộ với Điều lệ và Quy chế ĐTXD của VICEM.</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25-30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08 quy chế nội bộ mới (ưu tiên nhóm có rủi ro pháp lý cao).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31-35</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KPI quản lý dự án và hệ thống quản trị rủi ro ĐTXD (Risk Register, Sổ tay quản lý rủi ro, Ma trận rủi ro toàn công ty).</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36-38</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lộ trình chuyển đổi số hoạt động ĐTXD và Kế hoạch triển khai áp dụng 03 năm.</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39-40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và hoàn thiện sản phẩm.</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41-42</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Đào tạo, chuyển giao: 02 buổi đào tạo cho HĐQT, Ban Tổng giám đốc, Ban ĐTXD và các nhà máy; bàn giao sổ tay hướng dẫn và bộ tài liệu đào tạo.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43-45</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bl>
    <w:p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FB0" w:rsidRDefault="00D43FB0">
      <w:r>
        <w:separator/>
      </w:r>
    </w:p>
  </w:endnote>
  <w:endnote w:type="continuationSeparator" w:id="0">
    <w:p w:rsidR="00D43FB0" w:rsidRDefault="00D4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CFF7FB-0086-4C7B-99FA-32CCDC21C307}"/>
    <w:embedBold r:id="rId2" w:fontKey="{AF82B592-7AD8-4C2D-8FE6-36D3ED34DF1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2267A30A-8B33-442E-8FFD-62CA5A9EB6BC}"/>
  </w:font>
  <w:font w:name="Georgia">
    <w:panose1 w:val="02040502050405020303"/>
    <w:charset w:val="00"/>
    <w:family w:val="roman"/>
    <w:pitch w:val="variable"/>
    <w:sig w:usb0="00000287" w:usb1="00000000" w:usb2="00000000" w:usb3="00000000" w:csb0="0000009F" w:csb1="00000000"/>
    <w:embedItalic r:id="rId4" w:fontKey="{19CA0AE6-C465-4560-A810-A90E2DDCAA72}"/>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869487"/>
    </w:sdtPr>
    <w:sdtEndPr>
      <w:rPr>
        <w:rFonts w:ascii="Times New Roman" w:hAnsi="Times New Roman" w:cs="Times New Roman"/>
        <w:sz w:val="26"/>
        <w:szCs w:val="26"/>
      </w:rPr>
    </w:sdtEndPr>
    <w:sdtContent>
      <w:p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FB0" w:rsidRDefault="00D43FB0">
      <w:r>
        <w:separator/>
      </w:r>
    </w:p>
  </w:footnote>
  <w:footnote w:type="continuationSeparator" w:id="0">
    <w:p w:rsidR="00D43FB0" w:rsidRDefault="00D4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B6082"/>
    <w:rsid w:val="002D6F3B"/>
    <w:rsid w:val="00317BFC"/>
    <w:rsid w:val="003224F0"/>
    <w:rsid w:val="003432D4"/>
    <w:rsid w:val="003C7D80"/>
    <w:rsid w:val="003D7C50"/>
    <w:rsid w:val="003F312C"/>
    <w:rsid w:val="004529DB"/>
    <w:rsid w:val="004B197F"/>
    <w:rsid w:val="004F3E9C"/>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BE61A3"/>
    <w:rsid w:val="00C16B2B"/>
    <w:rsid w:val="00D12D2B"/>
    <w:rsid w:val="00D34C79"/>
    <w:rsid w:val="00D43FB0"/>
    <w:rsid w:val="00D96D9D"/>
    <w:rsid w:val="00DC307B"/>
    <w:rsid w:val="00E048A9"/>
    <w:rsid w:val="00E15857"/>
    <w:rsid w:val="00E27A73"/>
    <w:rsid w:val="00E5086B"/>
    <w:rsid w:val="00E511BA"/>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CB275"/>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495B43-12E2-49E1-8CA2-AE48CE20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3155</Words>
  <Characters>17987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Dương Đình Đăng</cp:lastModifiedBy>
  <cp:revision>4</cp:revision>
  <cp:lastPrinted>2026-06-18T07:49:00Z</cp:lastPrinted>
  <dcterms:created xsi:type="dcterms:W3CDTF">2026-06-18T07:45:00Z</dcterms:created>
  <dcterms:modified xsi:type="dcterms:W3CDTF">2026-06-18T08:04:00Z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