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CỘNG HOÀ XÃ HỘI CHỦ NGHĨA VIỆT NAM</w:t>
      </w:r>
      <w:r>
        <w:br/>
      </w:r>
      <w:r>
        <w:rPr>
          <w:b/>
          <w:bCs/>
        </w:rPr>
        <w:t xml:space="preserve">Độc lập - Tự do - Hạnh phúc</w:t>
      </w:r>
    </w:p>
    <w:p>
      <w:pPr>
        <w:pStyle w:val="BodyText"/>
      </w:pPr>
      <w:r>
        <w:rPr>
          <w:b/>
          <w:bCs/>
        </w:rPr>
        <w:t xml:space="preserve">HỢP ĐỒNG TƯ VẤN</w:t>
      </w:r>
    </w:p>
    <w:p>
      <w:pPr>
        <w:pStyle w:val="BodyText"/>
      </w:pPr>
      <w:r>
        <w:rPr>
          <w:b/>
          <w:bCs/>
        </w:rPr>
        <w:t xml:space="preserve">Số: HĐ_013/CSS_CIC_2026</w:t>
      </w:r>
    </w:p>
    <w:p>
      <w:pPr>
        <w:pStyle w:val="BodyText"/>
      </w:pPr>
      <w:r>
        <w:rPr>
          <w:b/>
          <w:bCs/>
        </w:rPr>
        <w:t xml:space="preserve">Rà soát, tái cấu trúc và chuẩn hóa hệ thống quản trị đầu tư xây dựng VICEM Hà Tiên theo quy định pháp luật hiện hành và quy định quản trị của VICEM</w:t>
      </w:r>
    </w:p>
    <w:p>
      <w:pPr>
        <w:pStyle w:val="BodyText"/>
      </w:pPr>
      <w:r>
        <w:rPr>
          <w:i/>
          <w:iCs/>
        </w:rPr>
        <w:t xml:space="preserve">Căn cứ Bộ luật Dân sự số 91/2015/QH13 ngày 24 tháng 11 năm 2015 và các văn bản hướng dẫn thi hành;</w:t>
      </w:r>
    </w:p>
    <w:p>
      <w:pPr>
        <w:pStyle w:val="BodyText"/>
      </w:pPr>
      <w:r>
        <w:rPr>
          <w:i/>
          <w:iCs/>
        </w:rPr>
        <w:t xml:space="preserve">Căn cứ Luật Thương mại số 36/2005/QH11 ngày 14 tháng 6 năm 2005 và các văn bản hướng dẫn thi hành;</w:t>
      </w:r>
    </w:p>
    <w:p>
      <w:pPr>
        <w:pStyle w:val="BodyText"/>
      </w:pPr>
      <w:r>
        <w:rPr>
          <w:i/>
          <w:iCs/>
        </w:rPr>
        <w:t xml:space="preserve">Căn cứ Luật Doanh nghiệp số: 59/2020/QH14 ngày 17 tháng 6 năm 2020 có hiệu lực thi hành từ ngày 01/01/2021;</w:t>
      </w:r>
    </w:p>
    <w:p>
      <w:pPr>
        <w:pStyle w:val="BodyText"/>
      </w:pPr>
      <w:r>
        <w:rPr>
          <w:i/>
          <w:iCs/>
        </w:rPr>
        <w:t xml:space="preserve">Căn cứ Luật Xây dựng 135/2025/QH15 ngày 10 tháng 12 năm 2025 và các văn bản hướng dẫn Luật kèm theo;</w:t>
      </w:r>
    </w:p>
    <w:p>
      <w:pPr>
        <w:pStyle w:val="BodyText"/>
      </w:pPr>
      <w:r>
        <w:rPr>
          <w:i/>
          <w:iCs/>
        </w:rPr>
        <w:t xml:space="preserve">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pPr>
        <w:pStyle w:val="BodyText"/>
      </w:pPr>
      <w:r>
        <w:rPr>
          <w:i/>
          <w:iCs/>
        </w:rPr>
        <w:t xml:space="preserve">Căn cứ vào nhu cầu và khả năng của mỗi bên.</w:t>
      </w:r>
    </w:p>
    <w:p>
      <w:pPr>
        <w:pStyle w:val="BodyText"/>
      </w:pPr>
      <w:r>
        <w:t xml:space="preserve">Hôm nay, ngày tháng 6 năm 2026, chúng tôi gồm các Bên dưới đây:</w:t>
      </w:r>
    </w:p>
    <w:p>
      <w:pPr>
        <w:pStyle w:val="BodyText"/>
      </w:pPr>
      <w:r>
        <w:rPr>
          <w:b/>
          <w:bCs/>
        </w:rPr>
        <w:t xml:space="preserve">BÊN A: CÔNG TY CỔ PHẦN XI MĂNG VICEM HÀ TIÊN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Đại diện là</w:t>
            </w:r>
          </w:p>
        </w:tc>
        <w:tc>
          <w:tcPr/>
          <w:p>
            <w:pPr>
              <w:pStyle w:val="Compact"/>
              <w:jc w:val="left"/>
            </w:pPr>
            <w:r>
              <w:t xml:space="preserve">:</w:t>
            </w:r>
          </w:p>
        </w:tc>
        <w:tc>
          <w:tcPr/>
          <w:p>
            <w:pPr>
              <w:pStyle w:val="Compact"/>
              <w:jc w:val="left"/>
            </w:pPr>
            <w:r>
              <w:t xml:space="preserve">Ông Nguyễn Quốc Thắng</w:t>
            </w:r>
          </w:p>
        </w:tc>
        <w:tc>
          <w:tcPr/>
          <w:p>
            <w:pPr>
              <w:pStyle w:val="Compact"/>
              <w:jc w:val="left"/>
            </w:pPr>
            <w:r>
              <w:t xml:space="preserve">Chức vụ: Tổng Giám đốc</w:t>
            </w:r>
          </w:p>
        </w:tc>
      </w:tr>
      <w:tr>
        <w:tc>
          <w:tcPr/>
          <w:p>
            <w:pPr>
              <w:pStyle w:val="Compact"/>
              <w:jc w:val="left"/>
            </w:pPr>
            <w:r>
              <w:t xml:space="preserve">Địa chỉ</w:t>
            </w:r>
          </w:p>
        </w:tc>
        <w:tc>
          <w:tcPr/>
          <w:p>
            <w:pPr>
              <w:pStyle w:val="Compact"/>
              <w:jc w:val="left"/>
            </w:pPr>
            <w:r>
              <w:t xml:space="preserve">:</w:t>
            </w:r>
          </w:p>
        </w:tc>
        <w:tc>
          <w:tcPr/>
          <w:p>
            <w:pPr>
              <w:pStyle w:val="Compact"/>
              <w:jc w:val="left"/>
            </w:pPr>
            <w:r>
              <w:t xml:space="preserve">604 Võ Văn Kiệt, P. Cầu Ông Lãnh, Hồ Chí Minh</w:t>
            </w:r>
          </w:p>
        </w:tc>
        <w:tc>
          <w:tcPr/>
          <w:p>
            <w:pPr>
              <w:pStyle w:val="Compact"/>
            </w:pPr>
          </w:p>
        </w:tc>
      </w:tr>
      <w:tr>
        <w:tc>
          <w:tcPr/>
          <w:p>
            <w:pPr>
              <w:pStyle w:val="Compact"/>
              <w:jc w:val="left"/>
            </w:pPr>
            <w:r>
              <w:t xml:space="preserve">Điện thoại</w:t>
            </w:r>
          </w:p>
        </w:tc>
        <w:tc>
          <w:tcPr/>
          <w:p>
            <w:pPr>
              <w:pStyle w:val="Compact"/>
              <w:jc w:val="left"/>
            </w:pPr>
            <w:r>
              <w:t xml:space="preserve">:</w:t>
            </w:r>
          </w:p>
        </w:tc>
        <w:tc>
          <w:tcPr/>
          <w:p>
            <w:pPr>
              <w:pStyle w:val="Compact"/>
              <w:jc w:val="left"/>
            </w:pPr>
            <w:r>
              <w:t xml:space="preserve">(028) 38 368 363</w:t>
            </w:r>
          </w:p>
        </w:tc>
        <w:tc>
          <w:tcPr/>
          <w:p>
            <w:pPr>
              <w:pStyle w:val="Compact"/>
            </w:pPr>
          </w:p>
        </w:tc>
      </w:tr>
      <w:tr>
        <w:tc>
          <w:tcPr/>
          <w:p>
            <w:pPr>
              <w:pStyle w:val="Compact"/>
              <w:jc w:val="left"/>
            </w:pPr>
            <w:r>
              <w:t xml:space="preserve">Mã số thuế</w:t>
            </w:r>
          </w:p>
        </w:tc>
        <w:tc>
          <w:tcPr/>
          <w:p>
            <w:pPr>
              <w:pStyle w:val="Compact"/>
              <w:jc w:val="left"/>
            </w:pPr>
            <w:r>
              <w:t xml:space="preserve">:</w:t>
            </w:r>
          </w:p>
        </w:tc>
        <w:tc>
          <w:tcPr/>
          <w:p>
            <w:pPr>
              <w:pStyle w:val="Compact"/>
              <w:jc w:val="left"/>
            </w:pPr>
            <w:r>
              <w:t xml:space="preserve">0301446422</w:t>
            </w:r>
          </w:p>
        </w:tc>
        <w:tc>
          <w:tcPr/>
          <w:p>
            <w:pPr>
              <w:pStyle w:val="Compact"/>
            </w:pPr>
          </w:p>
        </w:tc>
      </w:tr>
    </w:tbl>
    <w:p>
      <w:pPr>
        <w:pStyle w:val="BodyText"/>
      </w:pPr>
      <w:r>
        <w:rPr>
          <w:b/>
          <w:bCs/>
        </w:rPr>
        <w:t xml:space="preserve">BÊN B: CÔNG TY CỔ PHẦN CÔNG NGHỆ VÀ TƯ VẤN CIC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Đại diện là</w:t>
            </w:r>
          </w:p>
        </w:tc>
        <w:tc>
          <w:tcPr/>
          <w:p>
            <w:pPr>
              <w:pStyle w:val="Compact"/>
              <w:jc w:val="left"/>
            </w:pPr>
            <w:r>
              <w:t xml:space="preserve">:</w:t>
            </w:r>
          </w:p>
        </w:tc>
        <w:tc>
          <w:tcPr/>
          <w:p>
            <w:pPr>
              <w:pStyle w:val="Compact"/>
              <w:jc w:val="left"/>
            </w:pPr>
            <w:r>
              <w:t xml:space="preserve">Ông Nguyễn Hoàng Hà</w:t>
            </w:r>
          </w:p>
        </w:tc>
        <w:tc>
          <w:tcPr/>
          <w:p>
            <w:pPr>
              <w:pStyle w:val="Compact"/>
              <w:jc w:val="left"/>
            </w:pPr>
            <w:r>
              <w:t xml:space="preserve">Chức vụ: Tổng Giám đốc</w:t>
            </w:r>
          </w:p>
        </w:tc>
      </w:tr>
      <w:tr>
        <w:tc>
          <w:tcPr/>
          <w:p>
            <w:pPr>
              <w:pStyle w:val="Compact"/>
              <w:jc w:val="left"/>
            </w:pPr>
            <w:r>
              <w:t xml:space="preserve">Địa chỉ</w:t>
            </w:r>
          </w:p>
        </w:tc>
        <w:tc>
          <w:tcPr/>
          <w:p>
            <w:pPr>
              <w:pStyle w:val="Compact"/>
              <w:jc w:val="left"/>
            </w:pPr>
            <w:r>
              <w:t xml:space="preserve">:</w:t>
            </w:r>
          </w:p>
        </w:tc>
        <w:tc>
          <w:tcPr/>
          <w:p>
            <w:pPr>
              <w:pStyle w:val="Compact"/>
              <w:jc w:val="left"/>
            </w:pPr>
            <w:r>
              <w:t xml:space="preserve">Tầng 4, Tòa nhà VG Building, số 235 Nguyễn Trãi, Phường Khương Đình, TP. Hà Nội</w:t>
            </w:r>
          </w:p>
        </w:tc>
        <w:tc>
          <w:tcPr/>
          <w:p>
            <w:pPr>
              <w:pStyle w:val="Compact"/>
            </w:pPr>
          </w:p>
        </w:tc>
      </w:tr>
      <w:tr>
        <w:tc>
          <w:tcPr/>
          <w:p>
            <w:pPr>
              <w:pStyle w:val="Compact"/>
              <w:jc w:val="left"/>
            </w:pPr>
            <w:r>
              <w:t xml:space="preserve">Tài khoản số</w:t>
            </w:r>
          </w:p>
        </w:tc>
        <w:tc>
          <w:tcPr/>
          <w:p>
            <w:pPr>
              <w:pStyle w:val="Compact"/>
              <w:jc w:val="left"/>
            </w:pPr>
            <w:r>
              <w:t xml:space="preserve">:</w:t>
            </w:r>
          </w:p>
        </w:tc>
        <w:tc>
          <w:tcPr/>
          <w:p>
            <w:pPr>
              <w:pStyle w:val="Compact"/>
              <w:jc w:val="left"/>
            </w:pPr>
            <w:r>
              <w:t xml:space="preserve">1200014777 tại Ngân hàng TMCP đầu tư và phát triển Việt Nam (BIDV) - Chi nhánh Sở giao dịch 1</w:t>
            </w:r>
          </w:p>
        </w:tc>
        <w:tc>
          <w:tcPr/>
          <w:p>
            <w:pPr>
              <w:pStyle w:val="Compact"/>
            </w:pPr>
          </w:p>
        </w:tc>
      </w:tr>
      <w:tr>
        <w:tc>
          <w:tcPr/>
          <w:p>
            <w:pPr>
              <w:pStyle w:val="Compact"/>
              <w:jc w:val="left"/>
            </w:pPr>
            <w:r>
              <w:t xml:space="preserve">Mã số thuế</w:t>
            </w:r>
          </w:p>
        </w:tc>
        <w:tc>
          <w:tcPr/>
          <w:p>
            <w:pPr>
              <w:pStyle w:val="Compact"/>
              <w:jc w:val="left"/>
            </w:pPr>
            <w:r>
              <w:t xml:space="preserve">:</w:t>
            </w:r>
          </w:p>
        </w:tc>
        <w:tc>
          <w:tcPr/>
          <w:p>
            <w:pPr>
              <w:pStyle w:val="Compact"/>
              <w:jc w:val="left"/>
            </w:pPr>
            <w:r>
              <w:t xml:space="preserve">0100775353</w:t>
            </w:r>
          </w:p>
        </w:tc>
        <w:tc>
          <w:tcPr/>
          <w:p>
            <w:pPr>
              <w:pStyle w:val="Compact"/>
            </w:pPr>
          </w:p>
        </w:tc>
      </w:tr>
    </w:tbl>
    <w:p>
      <w:pPr>
        <w:pStyle w:val="BodyText"/>
      </w:pPr>
      <w:r>
        <w:t xml:space="preserve">Hai bên thỏa thuận ký kết hợp đồng với những điều khoản sau:</w:t>
      </w:r>
    </w:p>
    <w:p>
      <w:pPr>
        <w:pStyle w:val="BodyText"/>
      </w:pPr>
      <w:r>
        <w:rPr>
          <w:b/>
          <w:bCs/>
        </w:rPr>
        <w:t xml:space="preserve">Điều 1. Giải thích từ ngữ</w:t>
      </w:r>
    </w:p>
    <w:p>
      <w:pPr>
        <w:pStyle w:val="BodyText"/>
      </w:pPr>
      <w:r>
        <w:t xml:space="preserve">1.1.</w:t>
      </w:r>
      <w:r>
        <w:t xml:space="preserve"> </w:t>
      </w:r>
      <w:r>
        <w:rPr>
          <w:b/>
          <w:bCs/>
        </w:rPr>
        <w:t xml:space="preserve">“Hợp đồng”</w:t>
      </w:r>
      <w:r>
        <w:t xml:space="preserve"> </w:t>
      </w:r>
      <w:r>
        <w:t xml:space="preserve">là Hợp đồng này và các văn kiện, Hồ sơ Hợp đồng nêu tại Điều 2 của Hợp đồng;</w:t>
      </w:r>
    </w:p>
    <w:p>
      <w:pPr>
        <w:pStyle w:val="BodyText"/>
      </w:pPr>
      <w:r>
        <w:t xml:space="preserve">1.2.</w:t>
      </w:r>
      <w:r>
        <w:t xml:space="preserve"> </w:t>
      </w:r>
      <w:r>
        <w:rPr>
          <w:b/>
          <w:bCs/>
        </w:rPr>
        <w:t xml:space="preserve">“Phụ lục Hợp đồng”</w:t>
      </w:r>
      <w:r>
        <w:t xml:space="preserve">: Là văn bản sửa đổi hoặc bổ sung một hoặc nhiều nội dung của Hợp đồng và là bộ phận không tách rời của Hợp đồng;</w:t>
      </w:r>
    </w:p>
    <w:p>
      <w:pPr>
        <w:pStyle w:val="BodyText"/>
      </w:pPr>
      <w:r>
        <w:t xml:space="preserve">1.3.</w:t>
      </w:r>
      <w:r>
        <w:t xml:space="preserve"> </w:t>
      </w:r>
      <w:r>
        <w:rPr>
          <w:b/>
          <w:bCs/>
        </w:rPr>
        <w:t xml:space="preserve">“Các bên”</w:t>
      </w:r>
      <w:r>
        <w:t xml:space="preserve"> </w:t>
      </w:r>
      <w:r>
        <w:t xml:space="preserve">hoặc</w:t>
      </w:r>
      <w:r>
        <w:t xml:space="preserve"> </w:t>
      </w:r>
      <w:r>
        <w:rPr>
          <w:b/>
          <w:bCs/>
        </w:rPr>
        <w:t xml:space="preserve">“Bên A”</w:t>
      </w:r>
      <w:r>
        <w:t xml:space="preserve"> </w:t>
      </w:r>
      <w:r>
        <w:t xml:space="preserve">hoặc</w:t>
      </w:r>
      <w:r>
        <w:t xml:space="preserve"> </w:t>
      </w:r>
      <w:r>
        <w:rPr>
          <w:b/>
          <w:bCs/>
        </w:rPr>
        <w:t xml:space="preserve">“Bên B”:</w:t>
      </w:r>
      <w:r>
        <w:t xml:space="preserve"> </w:t>
      </w:r>
      <w:r>
        <w:t xml:space="preserve">Là các tổ chức, cá nhân có đầy đủ năng lực theo quy định của Pháp luật;</w:t>
      </w:r>
    </w:p>
    <w:p>
      <w:pPr>
        <w:pStyle w:val="BodyText"/>
      </w:pPr>
      <w:r>
        <w:t xml:space="preserve">1.4.</w:t>
      </w:r>
      <w:r>
        <w:t xml:space="preserve"> </w:t>
      </w:r>
      <w:r>
        <w:rPr>
          <w:b/>
          <w:bCs/>
        </w:rPr>
        <w:t xml:space="preserve">“Sự kiện bất khả kháng”</w:t>
      </w:r>
      <w:r>
        <w:t xml:space="preserve"> </w:t>
      </w:r>
      <w:r>
        <w:t xml:space="preserve">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pPr>
        <w:pStyle w:val="BodyText"/>
      </w:pPr>
      <w:r>
        <w:t xml:space="preserve">1.5.</w:t>
      </w:r>
      <w:r>
        <w:t xml:space="preserve"> </w:t>
      </w:r>
      <w:r>
        <w:rPr>
          <w:b/>
          <w:bCs/>
        </w:rPr>
        <w:t xml:space="preserve">“Ngày”</w:t>
      </w:r>
      <w:r>
        <w:t xml:space="preserve"> </w:t>
      </w:r>
      <w:r>
        <w:t xml:space="preserve">bao gồm cả ngày nghỉ, lễ, Tết theo quy định của Pháp luật;</w:t>
      </w:r>
    </w:p>
    <w:p>
      <w:pPr>
        <w:pStyle w:val="BodyText"/>
      </w:pPr>
      <w:r>
        <w:t xml:space="preserve">1.6.</w:t>
      </w:r>
      <w:r>
        <w:t xml:space="preserve"> </w:t>
      </w:r>
      <w:r>
        <w:rPr>
          <w:b/>
          <w:bCs/>
        </w:rPr>
        <w:t xml:space="preserve">“Pháp luật”</w:t>
      </w:r>
      <w:r>
        <w:t xml:space="preserve"> </w:t>
      </w:r>
      <w:r>
        <w:t xml:space="preserve">là pháp luật nước Cộng hòa xã hội chủ nghĩa Việt Nam.</w:t>
      </w:r>
    </w:p>
    <w:p>
      <w:pPr>
        <w:pStyle w:val="BodyText"/>
      </w:pPr>
      <w:r>
        <w:rPr>
          <w:b/>
          <w:bCs/>
        </w:rPr>
        <w:t xml:space="preserve">Điều 2. Hồ sơ Hợp đồng</w:t>
      </w:r>
    </w:p>
    <w:p>
      <w:pPr>
        <w:pStyle w:val="BodyText"/>
      </w:pPr>
      <w:r>
        <w:t xml:space="preserve">Các tài liệu sau đây là một phần không tách rời của Hợp đồng và được sắp xếp theo thứ tự ưu tiên về pháp lý như sau:</w:t>
      </w:r>
    </w:p>
    <w:p>
      <w:pPr>
        <w:pStyle w:val="BodyText"/>
      </w:pPr>
      <w:r>
        <w:t xml:space="preserve">2.1. Văn bản Hợp đồng này;</w:t>
      </w:r>
    </w:p>
    <w:p>
      <w:pPr>
        <w:pStyle w:val="BodyText"/>
      </w:pPr>
      <w:r>
        <w:t xml:space="preserve">2.2. Tất cả các Phụ lục của Hợp đồng này (nếu có) nhằm sửa đổi, bổ sung hoặc làm rõ các nội dung của hợp đồng này;</w:t>
      </w:r>
    </w:p>
    <w:p>
      <w:pPr>
        <w:pStyle w:val="BodyText"/>
      </w:pPr>
      <w:r>
        <w:rPr>
          <w:b/>
          <w:bCs/>
        </w:rPr>
        <w:t xml:space="preserve">Điều 3. Nội dung và sản phẩm hợp đồng</w:t>
      </w:r>
    </w:p>
    <w:p>
      <w:pPr>
        <w:pStyle w:val="BodyText"/>
      </w:pPr>
      <w:r>
        <w:t xml:space="preserve">3.1. Nội dung hợp đồng:</w:t>
      </w:r>
    </w:p>
    <w:p>
      <w:pPr>
        <w:pStyle w:val="BodyText"/>
      </w:pPr>
      <w:r>
        <w:t xml:space="preserve">Bên A đồng ý giao và Bên B đồng ý nhận thực hiện “</w:t>
      </w:r>
      <w:r>
        <w:rPr>
          <w:i/>
          <w:iCs/>
        </w:rPr>
        <w:t xml:space="preserve">Rà soát, tái cấu trúc và chuẩn hóa hệ thống quản trị đầu tư xây dựng VICEM Hà Tiên theo quy định pháp luật hiện hành và quy định quản trị của VICEM”.</w:t>
      </w:r>
      <w:r>
        <w:t xml:space="preserve"> </w:t>
      </w:r>
      <w:r>
        <w:t xml:space="preserve">Danh mục sản phẩm đính kèm tại Phụ lục 1 và Phụ lục 2 của hợp đồng này.</w:t>
      </w:r>
    </w:p>
    <w:p>
      <w:pPr>
        <w:pStyle w:val="BodyText"/>
      </w:pPr>
      <w:r>
        <w:t xml:space="preserve">3.2. Sản phẩm Bên B phải bàn giao cho Bên A bao gồm:</w:t>
      </w:r>
    </w:p>
    <w:p>
      <w:pPr>
        <w:pStyle w:val="BodyText"/>
      </w:pPr>
      <w:r>
        <w:t xml:space="preserve">- Sản phẩm:</w:t>
      </w:r>
    </w:p>
    <w:p>
      <w:pPr>
        <w:pStyle w:val="BodyText"/>
      </w:pPr>
      <w:r>
        <w:t xml:space="preserve">+</w:t>
      </w:r>
      <w:r>
        <w:t xml:space="preserve"> </w:t>
      </w:r>
      <w:r>
        <w:rPr>
          <w:b/>
          <w:bCs/>
        </w:rPr>
        <w:t xml:space="preserve">Mô hình tổ chức quản trị Đầu tư Xây dựng mới và hệ thống phân cấp, phân quyền:</w:t>
      </w:r>
      <w:r>
        <w:t xml:space="preserve"> </w:t>
      </w:r>
      <w:r>
        <w:t xml:space="preserve">mô hình tổ chức quản trị đầu tư xây dựng mới của VICEM Hà Tiên, phù hợp với quy định pháp luật hiện hành và định hướng quản trị của VICEM; kèm sơ đồ tổ chức, ma trận chức năng, ma trận phân công trách nhiệm và ma trận thẩm quyền giữa các cấp.</w:t>
      </w:r>
    </w:p>
    <w:p>
      <w:pPr>
        <w:pStyle w:val="BodyText"/>
      </w:pPr>
      <w:r>
        <w:t xml:space="preserve">+</w:t>
      </w:r>
      <w:r>
        <w:t xml:space="preserve"> </w:t>
      </w:r>
      <w:r>
        <w:rPr>
          <w:b/>
          <w:bCs/>
        </w:rPr>
        <w:t xml:space="preserve">Hệ thống quy chế, quy trình và biểu mẫu Đầu tư Xây dựng:</w:t>
      </w:r>
      <w:r>
        <w:t xml:space="preserve"> </w:t>
      </w:r>
      <w:r>
        <w:t xml:space="preserve">bộ 08 quy chế nội bộ theo 03 giai đoạn (chuẩn bị đầu tư, thực hiện, kết thúc) và hệ thống biểu mẫu chuẩn hóa.</w:t>
      </w:r>
    </w:p>
    <w:p>
      <w:pPr>
        <w:pStyle w:val="BodyText"/>
      </w:pPr>
      <w:r>
        <w:t xml:space="preserve">+</w:t>
      </w:r>
      <w:r>
        <w:t xml:space="preserve"> </w:t>
      </w:r>
      <w:r>
        <w:rPr>
          <w:b/>
          <w:bCs/>
        </w:rPr>
        <w:t xml:space="preserve">Hệ thống công cụ quản trị và lộ trình chuyển đổi số:</w:t>
      </w:r>
      <w:r>
        <w:t xml:space="preserve"> </w:t>
      </w:r>
      <w:r>
        <w:t xml:space="preserve">bộ chỉ số đánh giá hiệu suất chính trong quản lý dự án (tiến độ, chi phí, chất lượng, hiệu quả đầu tư); hệ thống quản trị rủi ro Đầu tư Xây dựng; lộ trình chuyển đổi số hoạt động Đầu tư Xây dựng. Việc triển khai số hóa chi tiết, đầu tư phần mềm thuộc phạm vi hợp đồng riêng, không thuộc phạm vi hợp đồng này.</w:t>
      </w:r>
    </w:p>
    <w:p>
      <w:pPr>
        <w:pStyle w:val="BodyText"/>
      </w:pPr>
      <w:r>
        <w:t xml:space="preserve">+</w:t>
      </w:r>
      <w:r>
        <w:t xml:space="preserve"> </w:t>
      </w:r>
      <w:r>
        <w:rPr>
          <w:b/>
          <w:bCs/>
        </w:rPr>
        <w:t xml:space="preserve">Kế hoạch đào tạo và chuyển giao:</w:t>
      </w:r>
      <w:r>
        <w:t xml:space="preserve"> </w:t>
      </w:r>
      <w:r>
        <w:t xml:space="preserve">bộ tài liệu đào tạo, tập huấn và sổ tay hướng dẫn áp dụng.</w:t>
      </w:r>
    </w:p>
    <w:p>
      <w:pPr>
        <w:pStyle w:val="BodyText"/>
      </w:pPr>
      <w:r>
        <w:t xml:space="preserve">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pPr>
        <w:pStyle w:val="BodyText"/>
      </w:pPr>
      <w:r>
        <w:t xml:space="preserve">- Chất lượng: Các hồ sơ, quy trình phù hợp với quy định của pháp luật hiện hành và được Bên A nghiệm thu sản phẩm. Bên B có trách nhiệm giải trình, chỉnh sửa, hoàn thiện sản phẩm theo ý kiến góp ý của Bên A trong phạm vi công việc của Hợp đồng cho đến khi được Bên A nghiệm thu.</w:t>
      </w:r>
    </w:p>
    <w:p>
      <w:pPr>
        <w:pStyle w:val="BodyText"/>
      </w:pPr>
      <w:r>
        <w:rPr>
          <w:b/>
          <w:bCs/>
        </w:rPr>
        <w:t xml:space="preserve">Điều 4</w:t>
      </w:r>
      <w:r>
        <w:t xml:space="preserve">.</w:t>
      </w:r>
      <w:r>
        <w:t xml:space="preserve"> </w:t>
      </w:r>
      <w:r>
        <w:rPr>
          <w:b/>
          <w:bCs/>
        </w:rPr>
        <w:t xml:space="preserve">Thời gian, tiến độ thực hiện hợp đồng</w:t>
      </w:r>
    </w:p>
    <w:p>
      <w:pPr>
        <w:pStyle w:val="BodyText"/>
      </w:pPr>
      <w:r>
        <w:t xml:space="preserve">4.1. Thời gian thực hiện: Bên B hoàn thành công việc và bàn giao sản phẩm hợp đồng trong vòng 45 ngày kể từ ngày hợp đồng có hiệu lực. Thời gian Bên A xem xét, góp ý hồ sơ và thời gian Bên B chờ Bên A cung cấp tài liệu theo yêu cầu bằng văn bản sẽ không tính vào thời gian thực hiện hợp đồng. Hợp đồng có hiệu lực kể từ ngày ký hợp đồng.</w:t>
      </w:r>
    </w:p>
    <w:p>
      <w:pPr>
        <w:pStyle w:val="BodyText"/>
      </w:pPr>
      <w:r>
        <w:t xml:space="preserve">Tiến độ thực hiện, giai đoạn, sản phẩm bàn giao chi tiết của hợp đồng quy định tại Phụ lục 02 hợp đồng này.</w:t>
      </w:r>
    </w:p>
    <w:p>
      <w:pPr>
        <w:pStyle w:val="BodyText"/>
      </w:pPr>
      <w:r>
        <w:t xml:space="preserve">4.2. Kết thúc hợp đồng: Hợp đồng chỉ được xem là hoàn thành khi Bên B đã bàn giao đầy đủ sản phẩm, được Bên A nghiệm thu bằng văn bản và hoàn thành các nghĩa vụ khác theo Hợp đồng.</w:t>
      </w:r>
    </w:p>
    <w:p>
      <w:pPr>
        <w:pStyle w:val="BodyText"/>
      </w:pPr>
      <w:r>
        <w:rPr>
          <w:b/>
          <w:bCs/>
        </w:rPr>
        <w:t xml:space="preserve">Điều 5. Giá trị hợp đồng, hình thức hợp đồng</w:t>
      </w:r>
    </w:p>
    <w:p>
      <w:pPr>
        <w:pStyle w:val="BodyText"/>
      </w:pPr>
      <w:r>
        <w:t xml:space="preserve">5.1. Giá hợp đồng</w:t>
      </w:r>
      <w:r>
        <w:rPr>
          <w:i/>
          <w:iCs/>
        </w:rPr>
        <w:t xml:space="preserve">:</w:t>
      </w:r>
    </w:p>
    <w:p>
      <w:pPr>
        <w:pStyle w:val="BodyText"/>
      </w:pPr>
      <w:r>
        <w:t xml:space="preserve">Giá trị trước thuế: 455.000.000 đồng.</w:t>
      </w:r>
    </w:p>
    <w:p>
      <w:pPr>
        <w:pStyle w:val="BodyText"/>
      </w:pPr>
      <w:r>
        <w:t xml:space="preserve">Thuế Giá trị gia tăng: 36.400.000 đồng.</w:t>
      </w:r>
    </w:p>
    <w:p>
      <w:pPr>
        <w:pStyle w:val="BodyText"/>
      </w:pPr>
      <w:r>
        <w:t xml:space="preserve">Giá trị sau thuế: 491.400.000 đồng.</w:t>
      </w:r>
    </w:p>
    <w:p>
      <w:pPr>
        <w:pStyle w:val="BodyText"/>
      </w:pPr>
      <w:r>
        <w:t xml:space="preserve">Bằng chữ: Bốn trăm chín mươi mốt triệu bốn trăm nghìn đồng.</w:t>
      </w:r>
    </w:p>
    <w:p>
      <w:pPr>
        <w:pStyle w:val="BodyText"/>
      </w:pPr>
      <w:r>
        <w:t xml:space="preserve">Giá trị hợp đồng đã bao gồm thuế Giá trị gia tăng 8% và toàn bộ các chi phí để Bên B thực hiện hợp đồng. Thuế Giá trị gia tăng được xác định theo quy định hiện hành của Nhà nước, hai bên sẽ điều chỉnh thuế suất Giá trị gia tăng theo biểu thuế hiện hành và không phải ký Phụ lục hợp đồng.</w:t>
      </w:r>
    </w:p>
    <w:p>
      <w:pPr>
        <w:pStyle w:val="BodyText"/>
      </w:pPr>
      <w:r>
        <w:t xml:space="preserve">5.2. Hình thức hợp đồng: Hợp đồng trọn gói.</w:t>
      </w:r>
    </w:p>
    <w:p>
      <w:pPr>
        <w:pStyle w:val="BodyText"/>
      </w:pPr>
      <w:r>
        <w:rPr>
          <w:b/>
          <w:bCs/>
        </w:rPr>
        <w:t xml:space="preserve">Điều 6. Phương thức thanh toán</w:t>
      </w:r>
    </w:p>
    <w:p>
      <w:pPr>
        <w:pStyle w:val="BodyText"/>
      </w:pPr>
      <w:r>
        <w:t xml:space="preserve">6.1. Đồng tiền thanh toán: Tiền Việt Nam.</w:t>
      </w:r>
    </w:p>
    <w:p>
      <w:pPr>
        <w:pStyle w:val="BodyText"/>
      </w:pPr>
      <w:r>
        <w:t xml:space="preserve">6.2. Hình thức thanh toán: Chuyển khoản.</w:t>
      </w:r>
    </w:p>
    <w:p>
      <w:pPr>
        <w:pStyle w:val="BodyText"/>
      </w:pPr>
      <w:r>
        <w:t xml:space="preserve">6.3. Phương thức thanh toán: Các đợt thanh toán chi tiết như sau:</w:t>
      </w:r>
    </w:p>
    <w:p>
      <w:pPr>
        <w:pStyle w:val="BodyText"/>
      </w:pPr>
      <w:r>
        <w:t xml:space="preserve">+ Đợt 1: Sau khi Bên B hoàn thành công việc khảo sát và đánh giá hiện trạng quy định tại Hạng mục 1 – Phụ lục 2 đính kèm Hợp đồng, Bên A thanh toán cho Bên B 30 % giá trị hợp đồng trong vòng 15 ngày làm việc kể từ ngày nhận được đầy đủ hồ sơ thanh toán hợp lệ, bao gồm:</w:t>
      </w:r>
    </w:p>
    <w:p>
      <w:pPr>
        <w:pStyle w:val="BodyText"/>
      </w:pPr>
      <w:r>
        <w:t xml:space="preserve">- Hóa đơn thuế Giá trị gia tăng hợp lệ;</w:t>
      </w:r>
    </w:p>
    <w:p>
      <w:pPr>
        <w:pStyle w:val="BodyText"/>
      </w:pPr>
      <w:r>
        <w:t xml:space="preserve">- Giấy đề nghị thanh toán của Bên B (bản chính);</w:t>
      </w:r>
    </w:p>
    <w:p>
      <w:pPr>
        <w:pStyle w:val="BodyText"/>
      </w:pPr>
      <w:r>
        <w:t xml:space="preserve">+ Báo cáo khảo sát và đánh giá hiện trạng hệ thống Đầu tư Xây dựng (kèm phân tích Điểm mạnh – Điểm yếu – Cơ hội – Thách thức, đánh giá nhân sự theo chức danh, phân loại danh mục dự án);</w:t>
      </w:r>
    </w:p>
    <w:p>
      <w:pPr>
        <w:pStyle w:val="BodyText"/>
      </w:pPr>
      <w:r>
        <w:t xml:space="preserve">+ Báo cáo khoảng cách pháp lý;</w:t>
      </w:r>
    </w:p>
    <w:p>
      <w:pPr>
        <w:pStyle w:val="BodyText"/>
      </w:pPr>
      <w:r>
        <w:t xml:space="preserve">+ Báo cáo đề xuất mô hình tổ chức quản trị Đầu tư Xây dựng mới (kèm sơ đồ tổ chức, ma trận chức năng, ma trận phân công trách nhiệm).</w:t>
      </w:r>
    </w:p>
    <w:p>
      <w:pPr>
        <w:pStyle w:val="BodyText"/>
      </w:pPr>
      <w: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w:t>
      </w:r>
    </w:p>
    <w:p>
      <w:pPr>
        <w:pStyle w:val="BodyText"/>
      </w:pPr>
      <w:r>
        <w:t xml:space="preserve">- Hóa đơn giá trị gia tăng hợp lệ;</w:t>
      </w:r>
    </w:p>
    <w:p>
      <w:pPr>
        <w:pStyle w:val="BodyText"/>
      </w:pPr>
      <w:r>
        <w:t xml:space="preserve">- Giấy đề nghị thanh toán của Bên B (bản chính);</w:t>
      </w:r>
    </w:p>
    <w:p>
      <w:pPr>
        <w:pStyle w:val="BodyText"/>
      </w:pPr>
      <w:r>
        <w:t xml:space="preserve">- Biên bản nghiệm thu chất lượng và tiến độ công việc (bản chính);</w:t>
      </w:r>
    </w:p>
    <w:p>
      <w:pPr>
        <w:pStyle w:val="BodyText"/>
      </w:pPr>
      <w:r>
        <w:t xml:space="preserve">- Biên bản giao nhận các sản phẩm hợp đồng quy định tại Hạng mục 2 – Phụ lục 2 đính kèm Hợp đồng (bản chính);</w:t>
      </w:r>
    </w:p>
    <w:p>
      <w:pPr>
        <w:pStyle w:val="BodyText"/>
      </w:pPr>
      <w:r>
        <w:t xml:space="preserve">- Biên bản quyết toán giá trị thực hiện (bản chính);</w:t>
      </w:r>
    </w:p>
    <w:p>
      <w:pPr>
        <w:pStyle w:val="BodyText"/>
      </w:pPr>
      <w:r>
        <w:t xml:space="preserve">- Biên bản phạt vi phạm hợp đồng (bản chính), (nếu có).</w:t>
      </w:r>
    </w:p>
    <w:p>
      <w:pPr>
        <w:pStyle w:val="BodyText"/>
      </w:pPr>
      <w:r>
        <w:rPr>
          <w:b/>
          <w:bCs/>
        </w:rPr>
        <w:t xml:space="preserve">Điều 7. Bảo lãnh hợp đồng (Không áp dụng)</w:t>
      </w:r>
    </w:p>
    <w:p>
      <w:pPr>
        <w:pStyle w:val="BodyText"/>
      </w:pPr>
      <w:r>
        <w:rPr>
          <w:b/>
          <w:bCs/>
        </w:rPr>
        <w:t xml:space="preserve">Điều 8. Quyền và nghĩa vụ của Bên A</w:t>
      </w:r>
    </w:p>
    <w:p>
      <w:pPr>
        <w:pStyle w:val="BodyText"/>
      </w:pPr>
      <w:r>
        <w:t xml:space="preserve">8.1 Quyền của Bên A:</w:t>
      </w:r>
    </w:p>
    <w:p>
      <w:pPr>
        <w:pStyle w:val="BodyText"/>
      </w:pPr>
      <w:r>
        <w:t xml:space="preserve">+ Nhận sản phẩm do Bên B giao đúng số lượng và chất lượng yêu cầu.</w:t>
      </w:r>
    </w:p>
    <w:p>
      <w:pPr>
        <w:pStyle w:val="BodyText"/>
      </w:pPr>
      <w:r>
        <w:t xml:space="preserve">+ 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pPr>
        <w:pStyle w:val="BodyText"/>
      </w:pPr>
      <w:r>
        <w:t xml:space="preserve">+ Giám sát, kiểm tra, đôn đốc và có quyền yêu cầu Bên B sửa chữa những sai sót hoặc bổ sung, thay đổi những vấn đề không phù hợp với yêu cầu.</w:t>
      </w:r>
    </w:p>
    <w:p>
      <w:pPr>
        <w:pStyle w:val="BodyText"/>
      </w:pPr>
      <w:r>
        <w:t xml:space="preserve">8.2 Nghĩa vụ của Bên A:</w:t>
      </w:r>
    </w:p>
    <w:p>
      <w:pPr>
        <w:pStyle w:val="BodyText"/>
      </w:pPr>
      <w:r>
        <w:t xml:space="preserve">+ Cung cấp hồ sơ, tài liệu đầy đủ, kịp thời và chính xác theo yêu cầu của Bên B, tạo mọi điều kiện thuận lợi để Bên B thực hiện hoàn thành công việc.</w:t>
      </w:r>
    </w:p>
    <w:p>
      <w:pPr>
        <w:pStyle w:val="BodyText"/>
      </w:pPr>
      <w:r>
        <w:t xml:space="preserve">+ Bên A đảm bảo các điều kiện và cử cán bộ kỹ thuật phụ trách thường xuyên giám sát và phối hợp với Bên B trong quá trình thực hiện Hợp đồng.</w:t>
      </w:r>
    </w:p>
    <w:p>
      <w:pPr>
        <w:pStyle w:val="BodyText"/>
      </w:pPr>
      <w:r>
        <w:t xml:space="preserve">+ Cùng bên B nghiệm thu và thanh lý hợp đồng.</w:t>
      </w:r>
    </w:p>
    <w:p>
      <w:pPr>
        <w:pStyle w:val="BodyText"/>
      </w:pPr>
      <w:r>
        <w:rPr>
          <w:b/>
          <w:bCs/>
        </w:rPr>
        <w:t xml:space="preserve">Điều 9. Quyền và nghĩa vụ của Bên B</w:t>
      </w:r>
    </w:p>
    <w:p>
      <w:pPr>
        <w:pStyle w:val="BodyText"/>
      </w:pPr>
      <w:r>
        <w:t xml:space="preserve">9.1 Quyền của Bên B:</w:t>
      </w:r>
    </w:p>
    <w:p>
      <w:pPr>
        <w:pStyle w:val="BodyText"/>
      </w:pPr>
      <w:r>
        <w:t xml:space="preserve">+ Được Bên A thanh toán theo quy định tại Điều 6 của Hợp đồng.</w:t>
      </w:r>
    </w:p>
    <w:p>
      <w:pPr>
        <w:pStyle w:val="BodyText"/>
      </w:pPr>
      <w:r>
        <w:t xml:space="preserve">+ Yêu cầu Bên A cung cấp những tài liệu, dữ liệu hoạt động cần thiết liên quan đến Hợp đồng trong phạm vi cho phép.</w:t>
      </w:r>
    </w:p>
    <w:p>
      <w:pPr>
        <w:pStyle w:val="BodyText"/>
      </w:pPr>
      <w:r>
        <w:t xml:space="preserve">9.2 Nghĩa vụ của Bên B:</w:t>
      </w:r>
    </w:p>
    <w:p>
      <w:pPr>
        <w:pStyle w:val="BodyText"/>
      </w:pPr>
      <w:r>
        <w:t xml:space="preserve">+ Khảo sát, thu thập thông tin, đánh giá và thực hiện công việc được quy định tại hợp đồng.</w:t>
      </w:r>
    </w:p>
    <w:p>
      <w:pPr>
        <w:pStyle w:val="BodyText"/>
      </w:pPr>
      <w:r>
        <w:t xml:space="preserve">+ Trình duyệt, giải trình, chỉnh sửa, bổ sung và hoàn thiện nội dung báo cáo theo yêu cầu của Bên A hoặc đơn vị thẩm định độc lập thứ 3 thực hiện quá trình thẩm định.</w:t>
      </w:r>
    </w:p>
    <w:p>
      <w:pPr>
        <w:pStyle w:val="BodyText"/>
      </w:pPr>
      <w:r>
        <w:t xml:space="preserve">+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pPr>
        <w:pStyle w:val="BodyText"/>
      </w:pPr>
      <w:r>
        <w:t xml:space="preserve">+ Bên B chịu trách nhiệm về tính hợp pháp, tính phù hợp của các quy chế, quy trình do mình soạn thảo theo quy định pháp luật hiện hành tại thời điểm bàn giao.</w:t>
      </w:r>
    </w:p>
    <w:p>
      <w:pPr>
        <w:pStyle w:val="BodyText"/>
      </w:pPr>
      <w:r>
        <w:t xml:space="preserve">+ Tuân thủ mọi nội quy, quy định hiện hành của bên A tại Trụ sở của Bên A.</w:t>
      </w:r>
    </w:p>
    <w:p>
      <w:pPr>
        <w:pStyle w:val="BodyText"/>
      </w:pPr>
      <w:r>
        <w:t xml:space="preserve">+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p>
    <w:p>
      <w:pPr>
        <w:pStyle w:val="BodyText"/>
      </w:pPr>
      <w:r>
        <w:t xml:space="preserve">+ Trong thời hạn từ 06 (sáu) đến 12 (mười hai) tháng kể từ ngày nghiệm thu, Bên B có trách nhiệm hỗ trợ áp dụng, giải thích, làm rõ và hướng dẫn triển khai các nội dung chuyên môn của sản phẩm đã bàn giao theo yêu cầu hợp lý của Bên A mà không phát sinh chi phí.</w:t>
      </w:r>
    </w:p>
    <w:p>
      <w:pPr>
        <w:pStyle w:val="BodyText"/>
      </w:pPr>
      <w:r>
        <w:t xml:space="preserve">+ Xuất hoá đơn tài chính theo quy định cho Bên A.</w:t>
      </w:r>
    </w:p>
    <w:p>
      <w:pPr>
        <w:pStyle w:val="BodyText"/>
      </w:pPr>
      <w:r>
        <w:rPr>
          <w:b/>
          <w:bCs/>
        </w:rPr>
        <w:t xml:space="preserve">Điều 10. Phạt vi phạm hợp đồng</w:t>
      </w:r>
    </w:p>
    <w:p>
      <w:pPr>
        <w:pStyle w:val="SourceCode"/>
      </w:pPr>
      <w:r>
        <w:rPr>
          <w:rStyle w:val="VerbatimChar"/>
        </w:rPr>
        <w:t xml:space="preserve">10.1. Đối với Bên A</w:t>
      </w:r>
    </w:p>
    <w:p>
      <w:pPr>
        <w:pStyle w:val="FirstParagraph"/>
      </w:pPr>
      <w:r>
        <w:t xml:space="preserve">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pPr>
        <w:pStyle w:val="SourceCode"/>
      </w:pPr>
      <w:r>
        <w:rPr>
          <w:rStyle w:val="VerbatimChar"/>
        </w:rPr>
        <w:t xml:space="preserve">10.2. Đối với Bên B</w:t>
      </w:r>
    </w:p>
    <w:p>
      <w:pPr>
        <w:pStyle w:val="Compact"/>
        <w:numPr>
          <w:ilvl w:val="0"/>
          <w:numId w:val="1001"/>
        </w:numPr>
      </w:pPr>
      <w:r>
        <w:t xml:space="preserve">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pPr>
        <w:pStyle w:val="FirstParagraph"/>
      </w:pPr>
      <w:r>
        <w:t xml:space="preserve">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pPr>
        <w:pStyle w:val="Compact"/>
        <w:numPr>
          <w:ilvl w:val="0"/>
          <w:numId w:val="1002"/>
        </w:numPr>
      </w:pPr>
      <w:r>
        <w:t xml:space="preserve">Bên B chậm tiến độ thực hiện công việc sẽ bị phạt 0,1% giá trị hợp đồng cho mỗi ngày chậm nhưng tổng mức phạt không vượt quá 8% giá trị phần nghĩa vụ bị vi phạm theo quy định pháp luật.</w:t>
      </w:r>
    </w:p>
    <w:p>
      <w:pPr>
        <w:pStyle w:val="FirstParagraph"/>
      </w:pPr>
      <w:r>
        <w:rPr>
          <w:b/>
          <w:bCs/>
        </w:rPr>
        <w:t xml:space="preserve">Điều 11. Điều khoản Bất khả kháng</w:t>
      </w:r>
    </w:p>
    <w:p>
      <w:pPr>
        <w:pStyle w:val="BodyText"/>
      </w:pPr>
      <w:r>
        <w:t xml:space="preserve">+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p>
    <w:p>
      <w:pPr>
        <w:pStyle w:val="BodyText"/>
      </w:pPr>
      <w:r>
        <w:t xml:space="preserve">+ Khi tình trạng bất khả kháng xảy ra, Bên gặp bất khả kháng sẽ phải thông báo cho Bên kia bằng văn bản (qua fax hoặc phương tiện tương đương) trong vòng 48 giờ kể từ khi xảy ra tình trạng bất khả kháng.</w:t>
      </w:r>
    </w:p>
    <w:p>
      <w:pPr>
        <w:pStyle w:val="BodyText"/>
      </w:pPr>
      <w:r>
        <w:t xml:space="preserve">+ Bên gặp bất khả kháng sẽ phải tiếp tục thực hiện trách nhiệm của mình khi bất khả kháng kết thúc.</w:t>
      </w:r>
    </w:p>
    <w:p>
      <w:pPr>
        <w:pStyle w:val="BodyText"/>
      </w:pPr>
      <w:r>
        <w:t xml:space="preserve">+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pPr>
        <w:pStyle w:val="BodyText"/>
      </w:pPr>
      <w:r>
        <w:rPr>
          <w:b/>
          <w:bCs/>
        </w:rPr>
        <w:t xml:space="preserve">Điều 12. Điều khoản chung</w:t>
      </w:r>
    </w:p>
    <w:p>
      <w:pPr>
        <w:pStyle w:val="BodyText"/>
      </w:pPr>
      <w:r>
        <w:t xml:space="preserve">12.1.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pPr>
        <w:pStyle w:val="BodyText"/>
      </w:pPr>
      <w:r>
        <w:t xml:space="preserve">12.2.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sẽ giải quyết tại Toà án có thẩm quyền tại Thành phố Hồ Chí Minh. Chi phí cho việc giải quyết tranh chấp do Toà án phán quyết, các Bên có nghĩa vụ phải tuân thủ.</w:t>
      </w:r>
    </w:p>
    <w:p>
      <w:pPr>
        <w:pStyle w:val="BodyText"/>
      </w:pPr>
      <w:r>
        <w:t xml:space="preserve">12.3. Bên B cam kết bảo mật tuyệt đối mọi thông tin, dữ liệu, hồ sơ, quy trình nội bộ của Bên A trong thời hạn thực hiện Hợp đồng và sau khi Hợp đồng chấm dứt.</w:t>
      </w:r>
    </w:p>
    <w:p>
      <w:pPr>
        <w:pStyle w:val="BodyText"/>
      </w:pPr>
      <w:r>
        <w:t xml:space="preserve">12.4. Hợp đồng làm thành 04 bản (bằng tiếng Việt) có giá trị pháp lý như nhau, Bên A giữ 02 bản, Bên B giữ 02 bản;</w:t>
      </w:r>
    </w:p>
    <w:p>
      <w:pPr>
        <w:pStyle w:val="BodyText"/>
      </w:pPr>
      <w:r>
        <w:t xml:space="preserve">12.5. Hợp đồng này có hiệu lực kể từ ngày ký./.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ĐẠI DIỆN BÊN B TỔNG GIÁM ĐỐC Nguyễn Hoàng Hà</w:t>
            </w:r>
          </w:p>
        </w:tc>
        <w:tc>
          <w:tcPr/>
          <w:p>
            <w:pPr>
              <w:pStyle w:val="Compact"/>
              <w:jc w:val="center"/>
            </w:pPr>
            <w:r>
              <w:t xml:space="preserve">ĐẠI DIỆN BÊN A TỔNG GIÁM ĐỐC Nguyễn Quốc Thắng</w:t>
            </w:r>
          </w:p>
        </w:tc>
      </w:tr>
    </w:tbl>
    <w:p>
      <w:pPr>
        <w:pStyle w:val="BodyText"/>
      </w:pPr>
      <w:r>
        <w:rPr>
          <w:b/>
          <w:bCs/>
        </w:rPr>
        <w:t xml:space="preserve">PHỤ LỤC 1</w:t>
      </w:r>
    </w:p>
    <w:p>
      <w:pPr>
        <w:pStyle w:val="BodyText"/>
      </w:pPr>
      <w:r>
        <w:rPr>
          <w:b/>
          <w:bCs/>
        </w:rPr>
        <w:t xml:space="preserve">Đính kèm hợp đồng số: HĐ_013/CSS_CIC_2026</w:t>
      </w:r>
      <w:r>
        <w:br/>
      </w:r>
      <w:r>
        <w:rPr>
          <w:b/>
          <w:bCs/>
        </w:rPr>
        <w:t xml:space="preserve">PHẠM VI CÔNG VIỆC, YÊU CẦU KỸ THUẬT CỦA HỢP ĐỒNG</w:t>
      </w:r>
    </w:p>
    <w:p>
      <w:pPr>
        <w:pStyle w:val="BodyText"/>
      </w:pPr>
      <w:r>
        <w:rPr>
          <w:b/>
          <w:bCs/>
        </w:rPr>
        <w:t xml:space="preserve">Mục 1. Phạm vi công việc</w:t>
      </w:r>
    </w:p>
    <w:p>
      <w:pPr>
        <w:pStyle w:val="BodyText"/>
      </w:pPr>
      <w:r>
        <w:t xml:space="preserve">Nhà thầu thực hiện các nhóm công việc sau:</w:t>
      </w:r>
    </w:p>
    <w:p>
      <w:pPr>
        <w:pStyle w:val="BodyText"/>
      </w:pPr>
      <w:r>
        <w:rPr>
          <w:b/>
          <w:bCs/>
        </w:rPr>
        <w:t xml:space="preserve">1. Rà soát, đánh giá hiện trạng toàn bộ hệ thống đầu tư xây dựng:</w:t>
      </w:r>
      <w:r>
        <w:t xml:space="preserve"> </w:t>
      </w:r>
      <w:r>
        <w:t xml:space="preserve">đánh giá mô hình tổ chức, năng lực nhân sự và một số dự án điển hình trong 05 năm gần nhất; phân tích điểm mạnh, điểm yếu, cơ hội và thách thức; xác định các tồn tại chủ yếu (chậm tiến độ, tăng tổng mức đầu tư, vướng mắc đấu thầu và quyết toán, chồng chéo thẩm quyền).</w:t>
      </w:r>
    </w:p>
    <w:p>
      <w:pPr>
        <w:pStyle w:val="BodyText"/>
      </w:pPr>
      <w:r>
        <w:rPr>
          <w:b/>
          <w:bCs/>
        </w:rPr>
        <w:t xml:space="preserve">2. Thiết kế mô hình tổ chức quản trị Đầu tư Xây dựng mới và hệ thống phân cấp, phân quyền:</w:t>
      </w:r>
      <w:r>
        <w:t xml:space="preserve"> </w:t>
      </w:r>
      <w:r>
        <w:t xml:space="preserve">đề xuất tối thiểu 03 phương án tổ chức (kèm ưu, nhược điểm, bảng so sánh) và khuyến nghị phương án tối ưu; xây dựng ma trận thẩm quyền phân định rõ giữa các cấp (Tổng giám đốc, Hội đồng quản trị, VICEM), đồng bộ với Điều lệ và Quy chế Đầu tư Xây dựng của VICEM.</w:t>
      </w:r>
      <w:r>
        <w:t xml:space="preserve"> </w:t>
      </w:r>
      <w:r>
        <w:rPr>
          <w:i/>
          <w:iCs/>
        </w:rPr>
        <w:t xml:space="preserve">Sản phẩm: Sơ đồ tổ chức; Ma trận chức năng; Ma trận phân công trách nhiệm; Ma trận thẩm quyền.</w:t>
      </w:r>
    </w:p>
    <w:p>
      <w:pPr>
        <w:pStyle w:val="BodyText"/>
      </w:pPr>
      <w:r>
        <w:rPr>
          <w:b/>
          <w:bCs/>
        </w:rPr>
        <w:t xml:space="preserve">3. Chuẩn hóa quy trình, quy chế và hệ thống biểu mẫu Đầu tư Xây dựng:</w:t>
      </w:r>
      <w:r>
        <w:t xml:space="preserve"> </w:t>
      </w:r>
      <w:r>
        <w:t xml:space="preserve">chuẩn hóa toàn bộ quy trình Đầu tư Xây dựng theo 03 giai đoạn (chuẩn bị đầu tư, thực hiện, kết thúc) theo định hướng Tiêu chuẩn Quản lý Quốc tế (ISO) và sơ đồ luồng công việc điện tử; xây dựng bộ 08 quy chế nội bộ mới — (1) Quản lý Đầu tư Xây dựng; (2) Quản lý chi phí đầu tư; (3) Đấu thầu; (4) Quản lý hợp đồng; (5) Nghiệm thu – bàn giao; (6) Quyết toán vốn đầu tư; (7) Phân cấp, phân quyền Đầu tư Xây dựng; (8) Kiểm soát nội bộ dự án; kèm hệ thống biểu mẫu chuẩn.</w:t>
      </w:r>
      <w:r>
        <w:t xml:space="preserve"> </w:t>
      </w:r>
      <w:r>
        <w:rPr>
          <w:i/>
          <w:iCs/>
        </w:rPr>
        <w:t xml:space="preserve">Sản phẩm: Bộ quy trình vận hành chuẩn Đầu tư Xây dựng; 08 quy chế nội bộ; hệ thống biểu mẫu chuẩn.</w:t>
      </w:r>
    </w:p>
    <w:p>
      <w:pPr>
        <w:pStyle w:val="BodyText"/>
      </w:pPr>
      <w:r>
        <w:rPr>
          <w:b/>
          <w:bCs/>
        </w:rPr>
        <w:t xml:space="preserve">4. Xây dựng hệ thống công cụ quản trị và lộ trình chuyển đổi số:</w:t>
      </w:r>
      <w:r>
        <w:t xml:space="preserve"> </w:t>
      </w:r>
      <w:r>
        <w:t xml:space="preserve">xây dựng bộ chỉ số đánh giá hiệu suất quản lý dự án (tiến độ, chi phí, chất lượng, hiệu quả đầu tư); hệ thống quản trị rủi ro Đầu tư Xây dựng; lộ trình chuyển đổi số hoạt động đầu tư xây dựng. Việc triển khai số hóa chi tiết và đầu tư phần mềm thuộc phạm vi hợp đồng riêng.</w:t>
      </w:r>
    </w:p>
    <w:p>
      <w:pPr>
        <w:pStyle w:val="BodyText"/>
      </w:pPr>
      <w:r>
        <w:rPr>
          <w:b/>
          <w:bCs/>
        </w:rPr>
        <w:t xml:space="preserve">5. Đào tạo và chuyển giao:</w:t>
      </w:r>
      <w:r>
        <w:t xml:space="preserve"> </w:t>
      </w:r>
      <w:r>
        <w:t xml:space="preserve">đào tạo Hội đồng quản trị, Ban Tổng giám đốc, Ban Đầu tư Xây dựng và các nhà máy; kèm sổ tay hướng dẫn, bộ tài liệu đào tạo; hỗ trợ áp dụng từ 06 đến 12 tháng.</w:t>
      </w:r>
    </w:p>
    <w:p>
      <w:pPr>
        <w:numPr>
          <w:ilvl w:val="0"/>
          <w:numId w:val="1003"/>
        </w:numPr>
      </w:pPr>
      <w:r>
        <w:t xml:space="preserve">Danh mục các hệ thống quy chế, quy trình quản lý dự án thuộc phạm vi của hợp đồng (Chưa bao gồm các quy trình dự kiến bổ sung mới):</w:t>
      </w:r>
    </w:p>
    <w:p>
      <w:pPr>
        <w:numPr>
          <w:ilvl w:val="0"/>
          <w:numId w:val="1003"/>
        </w:numPr>
      </w:pPr>
      <w:r>
        <w:t xml:space="preserve">QT 34/QT-QLDA — Quản lý dự án tổng thể</w:t>
      </w:r>
    </w:p>
    <w:p>
      <w:pPr>
        <w:numPr>
          <w:ilvl w:val="0"/>
          <w:numId w:val="1003"/>
        </w:numPr>
      </w:pPr>
      <w:r>
        <w:t xml:space="preserve">QT 35/QT-QLDA — Lựa chọn nhà thầu và ký kết hợp đồng</w:t>
      </w:r>
    </w:p>
    <w:p>
      <w:pPr>
        <w:numPr>
          <w:ilvl w:val="0"/>
          <w:numId w:val="1003"/>
        </w:numPr>
      </w:pPr>
      <w:r>
        <w:t xml:space="preserve">QT 36/QT-QLDA — Quản lý chất lượng trong giai đoạn chuẩn bị đầu tư</w:t>
      </w:r>
    </w:p>
    <w:p>
      <w:pPr>
        <w:numPr>
          <w:ilvl w:val="0"/>
          <w:numId w:val="1003"/>
        </w:numPr>
      </w:pPr>
      <w:r>
        <w:t xml:space="preserve">QT 37/QT-QLDA — Quản lý thực hiện hợp đồng</w:t>
      </w:r>
    </w:p>
    <w:p>
      <w:pPr>
        <w:numPr>
          <w:ilvl w:val="0"/>
          <w:numId w:val="1003"/>
        </w:numPr>
      </w:pPr>
      <w:r>
        <w:t xml:space="preserve">QT 16/QT-QLDA — Quản lý chất lượng trong hoạt động Đầu tư Xây dựng (khảo sát, thiết kế, thi công, nghiệm thu)</w:t>
      </w:r>
    </w:p>
    <w:p>
      <w:pPr>
        <w:numPr>
          <w:ilvl w:val="0"/>
          <w:numId w:val="1003"/>
        </w:numPr>
      </w:pPr>
      <w:r>
        <w:t xml:space="preserve">QT 17/QT-QLDA — Thanh, quyết toán hợp đồng Đầu tư Xây dựng</w:t>
      </w:r>
    </w:p>
    <w:p>
      <w:pPr>
        <w:numPr>
          <w:ilvl w:val="0"/>
          <w:numId w:val="1003"/>
        </w:numPr>
      </w:pPr>
      <w:r>
        <w:t xml:space="preserve">QT 18/QT-QLDA — Quyết toán dự án hoàn thành</w:t>
      </w:r>
    </w:p>
    <w:p>
      <w:pPr>
        <w:numPr>
          <w:ilvl w:val="0"/>
          <w:numId w:val="1003"/>
        </w:numPr>
      </w:pPr>
      <w:r>
        <w:t xml:space="preserve">QT 161/QT-QLDA — Số hóa và lưu trữ tài liệu</w:t>
      </w:r>
    </w:p>
    <w:p>
      <w:pPr>
        <w:numPr>
          <w:ilvl w:val="0"/>
          <w:numId w:val="1003"/>
        </w:numPr>
      </w:pPr>
      <w:r>
        <w:t xml:space="preserve">Danh mục các quy chế, quy trình dự kiến bổ sung, ban hành mới:</w:t>
      </w:r>
    </w:p>
    <w:p>
      <w:pPr>
        <w:numPr>
          <w:ilvl w:val="0"/>
          <w:numId w:val="1003"/>
        </w:numPr>
      </w:pPr>
      <w:r>
        <w:t xml:space="preserve">Quản lý Mô hình Thông tin Công trình và Môi trường Dữ liệu Chung</w:t>
      </w:r>
    </w:p>
    <w:p>
      <w:pPr>
        <w:numPr>
          <w:ilvl w:val="0"/>
          <w:numId w:val="1003"/>
        </w:numPr>
      </w:pPr>
      <w:r>
        <w:t xml:space="preserve">Bàn giao, bảo hành và bảo trì công trình</w:t>
      </w:r>
    </w:p>
    <w:p>
      <w:pPr>
        <w:numPr>
          <w:ilvl w:val="0"/>
          <w:numId w:val="1003"/>
        </w:numPr>
      </w:pPr>
      <w:r>
        <w:t xml:space="preserve">Giám sát, đánh giá và báo cáo dự án định kỳ</w:t>
      </w:r>
    </w:p>
    <w:p>
      <w:pPr>
        <w:numPr>
          <w:ilvl w:val="0"/>
          <w:numId w:val="1003"/>
        </w:numPr>
      </w:pPr>
      <w:r>
        <w:t xml:space="preserve">Quản lý an toàn lao động và môi trường thi công</w:t>
      </w:r>
    </w:p>
    <w:p>
      <w:pPr>
        <w:pStyle w:val="FirstParagraph"/>
      </w:pPr>
      <w:r>
        <w:rPr>
          <w:b/>
          <w:bCs/>
        </w:rPr>
        <w:t xml:space="preserve">Mục 2. Căn cứ pháp luật</w:t>
      </w:r>
    </w:p>
    <w:p>
      <w:pPr>
        <w:pStyle w:val="BodyText"/>
      </w:pPr>
      <w:r>
        <w:t xml:space="preserve">Toàn bộ công việc tại Mục 1 được thực hiện bảo đảm tuân thủ và phù hợp với quy định pháp luật hiện hành và quy định quản trị của VICEM, bao gồm nhưng không giới hạn:</w:t>
      </w:r>
    </w:p>
    <w:p>
      <w:pPr>
        <w:pStyle w:val="BodyText"/>
      </w:pPr>
      <w:r>
        <w:t xml:space="preserve">- Luật Xây dựng số 135/2025/QH15 ngày 10/12/2025 và các văn bản hướng dẫn kèm theo;</w:t>
      </w:r>
    </w:p>
    <w:p>
      <w:pPr>
        <w:pStyle w:val="BodyText"/>
      </w:pPr>
      <w:r>
        <w:t xml:space="preserve">- Luật Đấu thầu số 22/2023/QH15 (đã được sửa đổi, bổ sung bởi Luật số 57/2024/QH15 và Luật số 90/2025/QH15) và các văn bản hướng dẫn kèm theo;</w:t>
      </w:r>
    </w:p>
    <w:p>
      <w:pPr>
        <w:pStyle w:val="BodyText"/>
      </w:pPr>
      <w:r>
        <w:t xml:space="preserve">- Luật số 68/2025/QH15 ngày 14/6/2025 – Luật Quản lý và đầu tư vốn nhà nước tại doanh nghiệp (nếu có) và các văn bản hướng dẫn kèm theo;</w:t>
      </w:r>
    </w:p>
    <w:p>
      <w:pPr>
        <w:pStyle w:val="BodyText"/>
      </w:pPr>
      <w:r>
        <w:t xml:space="preserve">- Các quy định pháp luật khác có liên quan.</w:t>
      </w:r>
    </w:p>
    <w:p>
      <w:pPr>
        <w:pStyle w:val="BodyText"/>
      </w:pPr>
      <w:r>
        <w:rPr>
          <w:b/>
          <w:bCs/>
        </w:rPr>
        <w:t xml:space="preserve">PHỤ LỤC 2</w:t>
      </w:r>
      <w:r>
        <w:br/>
      </w:r>
      <w:r>
        <w:rPr>
          <w:b/>
          <w:bCs/>
        </w:rPr>
        <w:t xml:space="preserve">Đính kèm hợp đồng số: HĐ_013/CSS_CIC_2026</w:t>
      </w:r>
      <w:r>
        <w:br/>
      </w:r>
      <w:r>
        <w:rPr>
          <w:b/>
          <w:bCs/>
        </w:rPr>
        <w:t xml:space="preserve">KẾ HOẠCH TRIỂN KHAI CÔNG VIỆC, THỰC HIỆN HỢP ĐỒNG</w:t>
      </w:r>
    </w:p>
    <w:p>
      <w:pPr>
        <w:pStyle w:val="BodyText"/>
      </w:pPr>
      <w:r>
        <w:t xml:space="preserve">Tổng thời gian thực hiện: 45 ngày.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TT</w:t>
            </w:r>
          </w:p>
        </w:tc>
        <w:tc>
          <w:tcPr/>
          <w:p>
            <w:pPr>
              <w:pStyle w:val="Compact"/>
            </w:pPr>
            <w:r>
              <w:t xml:space="preserve">Giai đoạn triển khai</w:t>
            </w:r>
          </w:p>
        </w:tc>
        <w:tc>
          <w:tcPr/>
          <w:p>
            <w:pPr>
              <w:pStyle w:val="Compact"/>
              <w:jc w:val="center"/>
            </w:pPr>
            <w:r>
              <w:t xml:space="preserve">Tiến độ</w:t>
            </w:r>
          </w:p>
        </w:tc>
        <w:tc>
          <w:tcPr/>
          <w:p>
            <w:pPr>
              <w:pStyle w:val="Compact"/>
            </w:pPr>
            <w:r>
              <w:t xml:space="preserve">Phụ trách</w:t>
            </w:r>
          </w:p>
        </w:tc>
        <w:tc>
          <w:tcPr/>
          <w:p>
            <w:pPr>
              <w:pStyle w:val="Compact"/>
            </w:pPr>
            <w:r>
              <w:t xml:space="preserve">Kết quả bàn giao</w:t>
            </w:r>
          </w:p>
        </w:tc>
      </w:tr>
      <w:tr>
        <w:tc>
          <w:tcPr/>
          <w:p>
            <w:pPr>
              <w:pStyle w:val="Compact"/>
              <w:jc w:val="center"/>
            </w:pPr>
            <w:r>
              <w:rPr>
                <w:b/>
                <w:bCs/>
              </w:rPr>
              <w:t xml:space="preserve">1</w:t>
            </w:r>
          </w:p>
        </w:tc>
        <w:tc>
          <w:tcPr/>
          <w:p>
            <w:pPr>
              <w:pStyle w:val="Compact"/>
            </w:pPr>
            <w:r>
              <w:rPr>
                <w:b/>
                <w:bCs/>
              </w:rPr>
              <w:t xml:space="preserve">HẠNG MỤC 1: KHẢO SÁT, ĐÁNH GIÁ HIỆN TRẠNG VÀ THIẾT KẾ MÔ HÌNH QUẢN TRỊ ĐẦU TƯ XÂY DỰNG</w:t>
            </w:r>
          </w:p>
        </w:tc>
        <w:tc>
          <w:tcPr/>
          <w:p>
            <w:pPr>
              <w:pStyle w:val="Compact"/>
              <w:jc w:val="center"/>
            </w:pPr>
            <w:r>
              <w:rPr>
                <w:b/>
                <w:bCs/>
              </w:rPr>
              <w:t xml:space="preserve">1 – 20</w:t>
            </w:r>
          </w:p>
        </w:tc>
        <w:tc>
          <w:tcPr/>
          <w:p>
            <w:pPr>
              <w:pStyle w:val="Compact"/>
            </w:pPr>
          </w:p>
        </w:tc>
        <w:tc>
          <w:tcPr/>
          <w:p>
            <w:pPr>
              <w:pStyle w:val="Compact"/>
            </w:pPr>
          </w:p>
        </w:tc>
      </w:tr>
      <w:tr>
        <w:tc>
          <w:tcPr/>
          <w:p>
            <w:pPr>
              <w:pStyle w:val="Compact"/>
              <w:jc w:val="center"/>
            </w:pPr>
            <w:r>
              <w:t xml:space="preserve">1.1</w:t>
            </w:r>
          </w:p>
        </w:tc>
        <w:tc>
          <w:tcPr/>
          <w:p>
            <w:pPr>
              <w:pStyle w:val="Compact"/>
            </w:pPr>
            <w:r>
              <w:t xml:space="preserve">Rà soát tài liệu; khảo sát, đánh giá hiện trạng mô hình tổ chức, năng lực nhân sự, một số dự án điển hình; phân tích điểm mạnh – điểm yếu – cơ hội – thách thức; xác định các tồn tại chủ yếu.</w:t>
            </w:r>
          </w:p>
        </w:tc>
        <w:tc>
          <w:tcPr/>
          <w:p>
            <w:pPr>
              <w:pStyle w:val="Compact"/>
              <w:jc w:val="center"/>
            </w:pPr>
            <w:r>
              <w:t xml:space="preserve">1 – 10</w:t>
            </w:r>
          </w:p>
        </w:tc>
        <w:tc>
          <w:tcPr/>
          <w:p>
            <w:pPr>
              <w:pStyle w:val="Compact"/>
            </w:pPr>
            <w:r>
              <w:t xml:space="preserve">Nhà thầu phụ trách, VICEM Hà Tiên phối hợp</w:t>
            </w:r>
          </w:p>
        </w:tc>
        <w:tc>
          <w:tcPr/>
          <w:p>
            <w:pPr>
              <w:pStyle w:val="Compact"/>
            </w:pPr>
            <w:r>
              <w:t xml:space="preserve">+ Báo cáo đánh giá hiện trạng hệ thống Đầu tư Xây dựng; + Báo cáo khoảng cách pháp lý; + Báo cáo đề xuất mô hình quản trị Đầu tư Xây dựng mới.</w:t>
            </w:r>
          </w:p>
        </w:tc>
      </w:tr>
      <w:tr>
        <w:tc>
          <w:tcPr/>
          <w:p>
            <w:pPr>
              <w:pStyle w:val="Compact"/>
              <w:jc w:val="center"/>
            </w:pPr>
            <w:r>
              <w:t xml:space="preserve">1.2</w:t>
            </w:r>
          </w:p>
        </w:tc>
        <w:tc>
          <w:tcPr/>
          <w:p>
            <w:pPr>
              <w:pStyle w:val="Compact"/>
            </w:pPr>
            <w:r>
              <w:t xml:space="preserve">Khảo sát thực địa.</w:t>
            </w:r>
          </w:p>
        </w:tc>
        <w:tc>
          <w:tcPr/>
          <w:p>
            <w:pPr>
              <w:pStyle w:val="Compact"/>
              <w:jc w:val="center"/>
            </w:pPr>
            <w:r>
              <w:t xml:space="preserve">11 – 16</w:t>
            </w:r>
          </w:p>
        </w:tc>
        <w:tc>
          <w:tcPr/>
          <w:p>
            <w:pPr>
              <w:pStyle w:val="Compact"/>
            </w:pPr>
          </w:p>
        </w:tc>
        <w:tc>
          <w:tcPr/>
          <w:p>
            <w:pPr>
              <w:pStyle w:val="Compact"/>
            </w:pPr>
          </w:p>
        </w:tc>
      </w:tr>
      <w:tr>
        <w:tc>
          <w:tcPr/>
          <w:p>
            <w:pPr>
              <w:pStyle w:val="Compact"/>
              <w:jc w:val="center"/>
            </w:pPr>
            <w:r>
              <w:t xml:space="preserve">1.3</w:t>
            </w:r>
          </w:p>
        </w:tc>
        <w:tc>
          <w:tcPr/>
          <w:p>
            <w:pPr>
              <w:pStyle w:val="Compact"/>
            </w:pPr>
            <w:r>
              <w:t xml:space="preserve">Thiết kế mô hình quản trị Đầu tư Xây dựng mới: đề xuất và so sánh các phương án tổ chức (có tham chiếu thực tiễn doanh nghiệp), khuyến nghị phương án và lộ trình; tổng hợp, hoàn thiện Báo cáo Hạng mục 1.</w:t>
            </w:r>
          </w:p>
        </w:tc>
        <w:tc>
          <w:tcPr/>
          <w:p>
            <w:pPr>
              <w:pStyle w:val="Compact"/>
              <w:jc w:val="center"/>
            </w:pPr>
            <w:r>
              <w:t xml:space="preserve">17 – 20</w:t>
            </w:r>
          </w:p>
        </w:tc>
        <w:tc>
          <w:tcPr/>
          <w:p>
            <w:pPr>
              <w:pStyle w:val="Compact"/>
            </w:pPr>
          </w:p>
        </w:tc>
        <w:tc>
          <w:tcPr/>
          <w:p>
            <w:pPr>
              <w:pStyle w:val="Compact"/>
            </w:pPr>
          </w:p>
        </w:tc>
      </w:tr>
      <w:tr>
        <w:tc>
          <w:tcPr/>
          <w:p>
            <w:pPr>
              <w:pStyle w:val="Compact"/>
              <w:jc w:val="center"/>
            </w:pPr>
            <w:r>
              <w:rPr>
                <w:b/>
                <w:bCs/>
              </w:rPr>
              <w:t xml:space="preserve">2</w:t>
            </w:r>
          </w:p>
        </w:tc>
        <w:tc>
          <w:tcPr/>
          <w:p>
            <w:pPr>
              <w:pStyle w:val="Compact"/>
            </w:pPr>
            <w:r>
              <w:rPr>
                <w:b/>
                <w:bCs/>
              </w:rPr>
              <w:t xml:space="preserve">HẠNG MỤC 2: CHUẨN HÓA QUY TRÌNH, QUY CHẾ, PHÂN CẤP, CHỈ SỐ ĐÁNH GIÁ HIỆU SUẤT, QUẢN TRỊ RỦI RO, CHUYỂN ĐỔI SỐ VÀ ĐÀO TẠO</w:t>
            </w:r>
          </w:p>
        </w:tc>
        <w:tc>
          <w:tcPr/>
          <w:p>
            <w:pPr>
              <w:pStyle w:val="Compact"/>
              <w:jc w:val="center"/>
            </w:pPr>
            <w:r>
              <w:rPr>
                <w:b/>
                <w:bCs/>
              </w:rPr>
              <w:t xml:space="preserve">20 – 45</w:t>
            </w:r>
          </w:p>
        </w:tc>
        <w:tc>
          <w:tcPr/>
          <w:p>
            <w:pPr>
              <w:pStyle w:val="Compact"/>
            </w:pPr>
          </w:p>
        </w:tc>
        <w:tc>
          <w:tcPr/>
          <w:p>
            <w:pPr>
              <w:pStyle w:val="Compact"/>
            </w:pPr>
          </w:p>
        </w:tc>
      </w:tr>
      <w:tr>
        <w:tc>
          <w:tcPr/>
          <w:p>
            <w:pPr>
              <w:pStyle w:val="Compact"/>
              <w:jc w:val="center"/>
            </w:pPr>
            <w:r>
              <w:t xml:space="preserve">2.1</w:t>
            </w:r>
          </w:p>
        </w:tc>
        <w:tc>
          <w:tcPr/>
          <w:p>
            <w:pPr>
              <w:pStyle w:val="Compact"/>
            </w:pPr>
            <w:r>
              <w:t xml:space="preserve">Chuẩn hóa toàn bộ quy trình vận hành chuẩn Đầu tư Xây dựng (giai đoạn chuẩn bị đầu tư, thực hiện, kết thúc) theo định hướng Tiêu chuẩn Quản lý Quốc tế (ISO), sơ đồ luồng công việc điện tử; xây dựng hệ thống biểu mẫu chuẩn.</w:t>
            </w:r>
          </w:p>
        </w:tc>
        <w:tc>
          <w:tcPr/>
          <w:p>
            <w:pPr>
              <w:pStyle w:val="Compact"/>
              <w:jc w:val="center"/>
            </w:pPr>
            <w:r>
              <w:t xml:space="preserve">20-25</w:t>
            </w:r>
          </w:p>
        </w:tc>
        <w:tc>
          <w:tcPr/>
          <w:p>
            <w:pPr>
              <w:pStyle w:val="Compact"/>
            </w:pPr>
            <w:r>
              <w:t xml:space="preserve">Nhà thầu phụ trách, VICEM Hà Tiên phối hợp</w:t>
            </w:r>
          </w:p>
        </w:tc>
        <w:tc>
          <w:tcPr/>
          <w:p>
            <w:pPr>
              <w:pStyle w:val="Compact"/>
            </w:pPr>
            <w:r>
              <w:t xml:space="preserve">+ Hệ thống phân cấp, phân quyền (ma trận thẩm quyền) và mô hình tổ chức hoàn thiện; + Hệ thống quy chế, quy trình và biểu mẫu (Bộ quy trình vận hành chuẩn 03 giai đoạn; 08 quy chế nội bộ; biểu mẫu chuẩn); + Hệ thống công cụ quản trị và lộ trình chuyển đổi số; + Bộ tài liệu đào tạo, tập huấn.</w:t>
            </w:r>
          </w:p>
        </w:tc>
      </w:tr>
      <w:tr>
        <w:tc>
          <w:tcPr/>
          <w:p>
            <w:pPr>
              <w:pStyle w:val="Compact"/>
              <w:jc w:val="center"/>
            </w:pPr>
            <w:r>
              <w:t xml:space="preserve">2.2</w:t>
            </w:r>
          </w:p>
        </w:tc>
        <w:tc>
          <w:tcPr/>
          <w:p>
            <w:pPr>
              <w:pStyle w:val="Compact"/>
            </w:pPr>
            <w:r>
              <w:t xml:space="preserve">Xây dựng hệ thống phân cấp, phân quyền: ma trận thẩm quyền giữa các cấp; đồng bộ với Điều lệ và Quy chế ĐTXD của VICEM.</w:t>
            </w:r>
          </w:p>
        </w:tc>
        <w:tc>
          <w:tcPr/>
          <w:p>
            <w:pPr>
              <w:pStyle w:val="Compact"/>
              <w:jc w:val="center"/>
            </w:pPr>
            <w:r>
              <w:t xml:space="preserve">25-30</w:t>
            </w:r>
          </w:p>
        </w:tc>
        <w:tc>
          <w:tcPr/>
          <w:p>
            <w:pPr>
              <w:pStyle w:val="Compact"/>
            </w:pPr>
          </w:p>
        </w:tc>
        <w:tc>
          <w:tcPr/>
          <w:p>
            <w:pPr>
              <w:pStyle w:val="Compact"/>
            </w:pPr>
          </w:p>
        </w:tc>
      </w:tr>
      <w:tr>
        <w:tc>
          <w:tcPr/>
          <w:p>
            <w:pPr>
              <w:pStyle w:val="Compact"/>
              <w:jc w:val="center"/>
            </w:pPr>
            <w:r>
              <w:t xml:space="preserve">2.3</w:t>
            </w:r>
          </w:p>
        </w:tc>
        <w:tc>
          <w:tcPr/>
          <w:p>
            <w:pPr>
              <w:pStyle w:val="Compact"/>
            </w:pPr>
            <w:r>
              <w:t xml:space="preserve">Soạn thảo 08 quy chế nội bộ mới (ưu tiên nhóm có rủi ro pháp lý cao).</w:t>
            </w:r>
          </w:p>
        </w:tc>
        <w:tc>
          <w:tcPr/>
          <w:p>
            <w:pPr>
              <w:pStyle w:val="Compact"/>
              <w:jc w:val="center"/>
            </w:pPr>
            <w:r>
              <w:t xml:space="preserve">31-35</w:t>
            </w:r>
          </w:p>
        </w:tc>
        <w:tc>
          <w:tcPr/>
          <w:p>
            <w:pPr>
              <w:pStyle w:val="Compact"/>
            </w:pPr>
          </w:p>
        </w:tc>
        <w:tc>
          <w:tcPr/>
          <w:p>
            <w:pPr>
              <w:pStyle w:val="Compact"/>
            </w:pPr>
          </w:p>
        </w:tc>
      </w:tr>
      <w:tr>
        <w:tc>
          <w:tcPr/>
          <w:p>
            <w:pPr>
              <w:pStyle w:val="Compact"/>
              <w:jc w:val="center"/>
            </w:pPr>
            <w:r>
              <w:t xml:space="preserve">2.4</w:t>
            </w:r>
          </w:p>
        </w:tc>
        <w:tc>
          <w:tcPr/>
          <w:p>
            <w:pPr>
              <w:pStyle w:val="Compact"/>
            </w:pPr>
            <w:r>
              <w:t xml:space="preserve">Xây dựng hệ thống chỉ số đánh giá hiệu suất quản lý dự án và hệ thống quản trị rủi ro Đầu tư Xây dựng.</w:t>
            </w:r>
          </w:p>
        </w:tc>
        <w:tc>
          <w:tcPr/>
          <w:p>
            <w:pPr>
              <w:pStyle w:val="Compact"/>
              <w:jc w:val="center"/>
            </w:pPr>
            <w:r>
              <w:t xml:space="preserve">36-38</w:t>
            </w:r>
          </w:p>
        </w:tc>
        <w:tc>
          <w:tcPr/>
          <w:p>
            <w:pPr>
              <w:pStyle w:val="Compact"/>
            </w:pPr>
          </w:p>
        </w:tc>
        <w:tc>
          <w:tcPr/>
          <w:p>
            <w:pPr>
              <w:pStyle w:val="Compact"/>
            </w:pPr>
          </w:p>
        </w:tc>
      </w:tr>
      <w:tr>
        <w:tc>
          <w:tcPr/>
          <w:p>
            <w:pPr>
              <w:pStyle w:val="Compact"/>
              <w:jc w:val="center"/>
            </w:pPr>
            <w:r>
              <w:t xml:space="preserve">2.5</w:t>
            </w:r>
          </w:p>
        </w:tc>
        <w:tc>
          <w:tcPr/>
          <w:p>
            <w:pPr>
              <w:pStyle w:val="Compact"/>
            </w:pPr>
            <w:r>
              <w:t xml:space="preserve">Xây dựng lộ trình chuyển đổi số hoạt động Đầu tư Xây dựng.</w:t>
            </w:r>
          </w:p>
        </w:tc>
        <w:tc>
          <w:tcPr/>
          <w:p>
            <w:pPr>
              <w:pStyle w:val="Compact"/>
              <w:jc w:val="center"/>
            </w:pPr>
            <w:r>
              <w:t xml:space="preserve">39-40</w:t>
            </w:r>
          </w:p>
        </w:tc>
        <w:tc>
          <w:tcPr/>
          <w:p>
            <w:pPr>
              <w:pStyle w:val="Compact"/>
            </w:pPr>
          </w:p>
        </w:tc>
        <w:tc>
          <w:tcPr/>
          <w:p>
            <w:pPr>
              <w:pStyle w:val="Compact"/>
            </w:pPr>
          </w:p>
        </w:tc>
      </w:tr>
      <w:tr>
        <w:tc>
          <w:tcPr/>
          <w:p>
            <w:pPr>
              <w:pStyle w:val="Compact"/>
              <w:jc w:val="center"/>
            </w:pPr>
            <w:r>
              <w:t xml:space="preserve">2.6</w:t>
            </w:r>
          </w:p>
        </w:tc>
        <w:tc>
          <w:tcPr/>
          <w:p>
            <w:pPr>
              <w:pStyle w:val="Compact"/>
            </w:pPr>
            <w:r>
              <w:t xml:space="preserve">Lấy ý kiến VICEM Hà Tiên và hoàn thiện sản phẩm.</w:t>
            </w:r>
          </w:p>
        </w:tc>
        <w:tc>
          <w:tcPr/>
          <w:p>
            <w:pPr>
              <w:pStyle w:val="Compact"/>
              <w:jc w:val="center"/>
            </w:pPr>
            <w:r>
              <w:t xml:space="preserve">41-42</w:t>
            </w:r>
          </w:p>
        </w:tc>
        <w:tc>
          <w:tcPr/>
          <w:p>
            <w:pPr>
              <w:pStyle w:val="Compact"/>
            </w:pPr>
          </w:p>
        </w:tc>
        <w:tc>
          <w:tcPr/>
          <w:p>
            <w:pPr>
              <w:pStyle w:val="Compact"/>
            </w:pPr>
          </w:p>
        </w:tc>
      </w:tr>
      <w:tr>
        <w:tc>
          <w:tcPr/>
          <w:p>
            <w:pPr>
              <w:pStyle w:val="Compact"/>
              <w:jc w:val="center"/>
            </w:pPr>
            <w:r>
              <w:t xml:space="preserve">2.7</w:t>
            </w:r>
          </w:p>
        </w:tc>
        <w:tc>
          <w:tcPr/>
          <w:p>
            <w:pPr>
              <w:pStyle w:val="Compact"/>
            </w:pPr>
            <w:r>
              <w:t xml:space="preserve">Đào tạo, chuyển giao: 02 buổi đào tạo cho Hội đồng quản trị, Ban Tổng giám đốc, Ban Đầu tư Xây dựng và các nhà máy; bàn giao sổ tay hướng dẫn và bộ tài liệu đào tạo.</w:t>
            </w:r>
          </w:p>
        </w:tc>
        <w:tc>
          <w:tcPr/>
          <w:p>
            <w:pPr>
              <w:pStyle w:val="Compact"/>
              <w:jc w:val="center"/>
            </w:pPr>
            <w:r>
              <w:t xml:space="preserve">43-45</w:t>
            </w:r>
          </w:p>
        </w:tc>
        <w:tc>
          <w:tcPr/>
          <w:p>
            <w:pPr>
              <w:pStyle w:val="Compact"/>
            </w:pPr>
          </w:p>
        </w:tc>
        <w:tc>
          <w:tcPr/>
          <w:p>
            <w:pPr>
              <w:pStyle w:val="Compact"/>
            </w:pPr>
          </w:p>
        </w:tc>
      </w:tr>
    </w:tbl>
    <w:sectPr w:rsidR="00C16B2B" w:rsidSect="008C7D39">
      <w:footerReference r:id="rId9" w:type="default"/>
      <w:pgSz w:code="9" w:h="16840" w:w="11907"/>
      <w:pgMar w:bottom="1077" w:footer="244" w:gutter="0" w:header="561" w:left="1474" w:right="1077" w:top="1077"/>
      <w:pgNumType w:start="1"/>
      <w:cols w:space="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6CFF7FB-0086-4C7B-99FA-32CCDC21C307}"/>
    <w:embedBold r:id="rId2" w:fontKey="{AF82B592-7AD8-4C2D-8FE6-36D3ED34DF1A}"/>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2267A30A-8B33-442E-8FFD-62CA5A9EB6BC}"/>
  </w:font>
  <w:font w:name="Georgia">
    <w:panose1 w:val="02040502050405020303"/>
    <w:charset w:val="00"/>
    <w:family w:val="roman"/>
    <w:pitch w:val="variable"/>
    <w:sig w:usb0="00000287" w:usb1="00000000" w:usb2="00000000" w:usb3="00000000" w:csb0="0000009F" w:csb1="00000000"/>
    <w:embedItalic r:id="rId4" w:fontKey="{19CA0AE6-C465-4560-A810-A90E2DDCAA72}"/>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869487"/>
    </w:sdtPr>
    <w:sdtEndPr>
      <w:rPr>
        <w:rFonts w:ascii="Times New Roman" w:hAnsi="Times New Roman" w:cs="Times New Roman"/>
        <w:sz w:val="26"/>
        <w:szCs w:val="26"/>
      </w:rPr>
    </w:sdtEndPr>
    <w:sdtContent>
      <w:p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rsidR="00C16B2B" w:rsidRDefault="00C16B2B">
    <w:pPr>
      <w:tabs>
        <w:tab w:val="center" w:pos="4680"/>
        <w:tab w:val="right" w:pos="9360"/>
      </w:tabs>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269E279F"/>
    <w:multiLevelType w:val="multilevel"/>
    <w:tmpl w:val="269E279F"/>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15:restartNumberingAfterBreak="0" w:abstractNumId="1">
    <w:nsid w:val="3ED64FC5"/>
    <w:multiLevelType w:val="hybridMultilevel"/>
    <w:tmpl w:val="FB48AEA2"/>
    <w:lvl w:ilvl="0" w:tplc="0409000D">
      <w:start w:val="1"/>
      <w:numFmt w:val="bullet"/>
      <w:lvlText w:val=""/>
      <w:lvlJc w:val="left"/>
      <w:pPr>
        <w:ind w:hanging="360" w:left="720"/>
      </w:pPr>
      <w:rPr>
        <w:rFonts w:ascii="Wingdings" w:hAnsi="Wingding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7BA52EB0"/>
    <w:multiLevelType w:val="multilevel"/>
    <w:tmpl w:val="7BA52EB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0"/>
  </w:num>
  <w:num w:numId="3">
    <w:abstractNumId w:val="1"/>
  </w: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64BE7"/>
    <w:rsid w:val="00272987"/>
    <w:rsid w:val="002B6082"/>
    <w:rsid w:val="002D6F3B"/>
    <w:rsid w:val="00317BFC"/>
    <w:rsid w:val="003224F0"/>
    <w:rsid w:val="003432D4"/>
    <w:rsid w:val="003C7D80"/>
    <w:rsid w:val="003D7C50"/>
    <w:rsid w:val="003F312C"/>
    <w:rsid w:val="004529DB"/>
    <w:rsid w:val="004B197F"/>
    <w:rsid w:val="004F3E9C"/>
    <w:rsid w:val="00530A96"/>
    <w:rsid w:val="005407E5"/>
    <w:rsid w:val="005579D1"/>
    <w:rsid w:val="005E6E6B"/>
    <w:rsid w:val="006270FC"/>
    <w:rsid w:val="00637775"/>
    <w:rsid w:val="00642A31"/>
    <w:rsid w:val="006870EB"/>
    <w:rsid w:val="006F660A"/>
    <w:rsid w:val="00713335"/>
    <w:rsid w:val="0075338D"/>
    <w:rsid w:val="007761F4"/>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BE61A3"/>
    <w:rsid w:val="00C16B2B"/>
    <w:rsid w:val="00D12D2B"/>
    <w:rsid w:val="00D34C79"/>
    <w:rsid w:val="00D43FB0"/>
    <w:rsid w:val="00D96D9D"/>
    <w:rsid w:val="00DC307B"/>
    <w:rsid w:val="00E048A9"/>
    <w:rsid w:val="00E15857"/>
    <w:rsid w:val="00E27A73"/>
    <w:rsid w:val="00E5086B"/>
    <w:rsid w:val="00E511BA"/>
    <w:rsid w:val="00EA5809"/>
    <w:rsid w:val="00EE3EA7"/>
    <w:rsid w:val="00F41EB7"/>
    <w:rsid w:val="00F7352D"/>
    <w:rsid w:val="035A07C0"/>
    <w:rsid w:val="39870875"/>
    <w:rsid w:val="3EA955EB"/>
    <w:rsid w:val="580E2E04"/>
    <w:rsid w:val="630C6ECB"/>
  </w:rsids>
  <w:themeFontLang w:eastAsia="zh-CN" w:val="vi-VN"/>
  <w:clrSchemeMapping w:accent1="accent1" w:accent2="accent2" w:accent3="accent3" w:accent4="accent4" w:accent5="accent5" w:accent6="accent6" w:bg1="light1" w:bg2="light2" w:followedHyperlink="followedHyperlink" w:hyperlink="hyperlink" w:t1="dark1" w:t2="dark2"/>
  <w:shapeDefaults>
    <o:shapedefaults fillcolor="white" spidmax="1026" v:ext="edit">
      <v:fill color="white"/>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cs="Calibri" w:eastAsia="Calibri" w:hAnsi="Calibri"/>
        <w:lang w:bidi="ar-SA" w:eastAsia="vi-VN" w:val="vi-VN"/>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Pr>
      <w:sz w:val="24"/>
      <w:szCs w:val="24"/>
      <w:lang w:val="pt-BR"/>
    </w:rPr>
  </w:style>
  <w:style w:styleId="Heading1" w:type="paragraph">
    <w:name w:val="heading 1"/>
    <w:basedOn w:val="Normal"/>
    <w:next w:val="Normal"/>
    <w:uiPriority w:val="9"/>
    <w:qFormat/>
    <w:pPr>
      <w:keepNext/>
      <w:keepLines/>
      <w:spacing w:before="480"/>
      <w:outlineLvl w:val="0"/>
    </w:pPr>
    <w:rPr>
      <w:rFonts w:ascii="Courier New" w:cs="Courier New" w:eastAsia="Courier New" w:hAnsi="Courier New"/>
      <w:b/>
      <w:bCs/>
      <w:color w:val="365F91"/>
      <w:sz w:val="28"/>
      <w:szCs w:val="28"/>
    </w:rPr>
  </w:style>
  <w:style w:styleId="Heading2" w:type="paragraph">
    <w:name w:val="heading 2"/>
    <w:basedOn w:val="Normal"/>
    <w:next w:val="Normal"/>
    <w:uiPriority w:val="9"/>
    <w:semiHidden/>
    <w:unhideWhenUsed/>
    <w:qFormat/>
    <w:pPr>
      <w:keepNext/>
      <w:keepLines/>
      <w:spacing w:before="200"/>
      <w:outlineLvl w:val="1"/>
    </w:pPr>
    <w:rPr>
      <w:rFonts w:ascii="Courier New" w:cs="Courier New" w:eastAsia="Courier New" w:hAnsi="Courier New"/>
      <w:b/>
      <w:bCs/>
      <w:color w:val="4F81BD"/>
      <w:sz w:val="20"/>
      <w:szCs w:val="20"/>
    </w:rPr>
  </w:style>
  <w:style w:styleId="Heading3" w:type="paragraph">
    <w:name w:val="heading 3"/>
    <w:basedOn w:val="Normal"/>
    <w:next w:val="Normal"/>
    <w:uiPriority w:val="9"/>
    <w:semiHidden/>
    <w:unhideWhenUsed/>
    <w:qFormat/>
    <w:pPr>
      <w:keepNext/>
      <w:keepLines/>
      <w:spacing w:before="200"/>
      <w:outlineLvl w:val="2"/>
    </w:pPr>
    <w:rPr>
      <w:rFonts w:ascii="Courier New" w:cs="Courier New" w:eastAsia="Courier New" w:hAnsi="Courier New"/>
      <w:b/>
      <w:bCs/>
      <w:color w:val="4F81BD"/>
    </w:rPr>
  </w:style>
  <w:style w:styleId="Heading4" w:type="paragraph">
    <w:name w:val="heading 4"/>
    <w:basedOn w:val="Normal"/>
    <w:next w:val="Normal"/>
    <w:uiPriority w:val="9"/>
    <w:semiHidden/>
    <w:unhideWhenUsed/>
    <w:qFormat/>
    <w:pPr>
      <w:keepNext/>
      <w:keepLines/>
      <w:spacing w:after="40" w:before="240"/>
      <w:outlineLvl w:val="3"/>
    </w:pPr>
    <w:rPr>
      <w:b/>
      <w:bCs/>
    </w:rPr>
  </w:style>
  <w:style w:styleId="Heading5" w:type="paragraph">
    <w:name w:val="heading 5"/>
    <w:basedOn w:val="Normal"/>
    <w:next w:val="Normal"/>
    <w:uiPriority w:val="9"/>
    <w:semiHidden/>
    <w:unhideWhenUsed/>
    <w:qFormat/>
    <w:pPr>
      <w:keepNext/>
      <w:jc w:val="center"/>
      <w:outlineLvl w:val="4"/>
    </w:pPr>
    <w:rPr>
      <w:rFonts w:ascii="Noto Sans Symbols" w:cs="Noto Sans Symbols" w:eastAsia="Noto Sans Symbols" w:hAnsi="Noto Sans Symbols"/>
      <w:b/>
      <w:bCs/>
    </w:rPr>
  </w:style>
  <w:style w:styleId="Heading6" w:type="paragraph">
    <w:name w:val="heading 6"/>
    <w:basedOn w:val="Normal"/>
    <w:next w:val="Normal"/>
    <w:uiPriority w:val="9"/>
    <w:semiHidden/>
    <w:unhideWhenUsed/>
    <w:qFormat/>
    <w:pPr>
      <w:keepNext/>
      <w:keepLines/>
      <w:spacing w:after="40" w:before="200"/>
      <w:outlineLvl w:val="5"/>
    </w:pPr>
    <w:rPr>
      <w:b/>
      <w:bCs/>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qFormat/>
    <w:rPr>
      <w:rFonts w:ascii="Segoe UI" w:cs="Segoe UI" w:hAnsi="Segoe UI"/>
      <w:sz w:val="18"/>
      <w:szCs w:val="18"/>
    </w:rPr>
  </w:style>
  <w:style w:styleId="CommentReference" w:type="character">
    <w:name w:val="annotation reference"/>
    <w:basedOn w:val="DefaultParagraphFont"/>
    <w:uiPriority w:val="99"/>
    <w:semiHidden/>
    <w:unhideWhenUsed/>
    <w:qFormat/>
    <w:rPr>
      <w:sz w:val="16"/>
      <w:szCs w:val="16"/>
    </w:rPr>
  </w:style>
  <w:style w:styleId="CommentText" w:type="paragraph">
    <w:name w:val="annotation text"/>
    <w:basedOn w:val="Normal"/>
    <w:link w:val="CommentTextChar"/>
    <w:uiPriority w:val="99"/>
    <w:semiHidden/>
    <w:unhideWhenUsed/>
    <w:qFormat/>
    <w:rPr>
      <w:sz w:val="20"/>
      <w:szCs w:val="20"/>
    </w:rPr>
  </w:style>
  <w:style w:styleId="CommentSubject" w:type="paragraph">
    <w:name w:val="annotation subject"/>
    <w:basedOn w:val="CommentText"/>
    <w:next w:val="CommentText"/>
    <w:link w:val="CommentSubjectChar"/>
    <w:uiPriority w:val="99"/>
    <w:semiHidden/>
    <w:unhideWhenUsed/>
    <w:qFormat/>
    <w:rPr>
      <w:b/>
      <w:bCs/>
    </w:rPr>
  </w:style>
  <w:style w:styleId="Footer" w:type="paragraph">
    <w:name w:val="footer"/>
    <w:basedOn w:val="Normal"/>
    <w:link w:val="FooterChar"/>
    <w:uiPriority w:val="99"/>
    <w:unhideWhenUsed/>
    <w:qFormat/>
    <w:pPr>
      <w:tabs>
        <w:tab w:pos="4680" w:val="center"/>
        <w:tab w:pos="9360" w:val="right"/>
      </w:tabs>
    </w:pPr>
  </w:style>
  <w:style w:styleId="Header" w:type="paragraph">
    <w:name w:val="header"/>
    <w:basedOn w:val="Normal"/>
    <w:link w:val="HeaderChar"/>
    <w:uiPriority w:val="99"/>
    <w:unhideWhenUsed/>
    <w:qFormat/>
    <w:pPr>
      <w:tabs>
        <w:tab w:pos="4680" w:val="center"/>
        <w:tab w:pos="9360" w:val="right"/>
      </w:tabs>
    </w:pPr>
  </w:style>
  <w:style w:styleId="Subtitle" w:type="paragraph">
    <w:name w:val="Subtitle"/>
    <w:basedOn w:val="Normal"/>
    <w:next w:val="Normal"/>
    <w:uiPriority w:val="11"/>
    <w:qFormat/>
    <w:pPr>
      <w:keepNext/>
      <w:keepLines/>
      <w:spacing w:after="80" w:before="360"/>
    </w:pPr>
    <w:rPr>
      <w:rFonts w:ascii="Georgia" w:cs="Georgia" w:eastAsia="Georgia" w:hAnsi="Georgia"/>
      <w:i/>
      <w:iCs/>
      <w:color w:val="666666"/>
      <w:sz w:val="48"/>
      <w:szCs w:val="48"/>
    </w:rPr>
  </w:style>
  <w:style w:styleId="Title" w:type="paragraph">
    <w:name w:val="Title"/>
    <w:basedOn w:val="Normal"/>
    <w:next w:val="Normal"/>
    <w:uiPriority w:val="10"/>
    <w:qFormat/>
    <w:pPr>
      <w:jc w:val="center"/>
    </w:pPr>
    <w:rPr>
      <w:rFonts w:ascii=".VnCopperplate Gothic" w:cs=".VnCopperplate Gothic" w:eastAsia=".VnCopperplate Gothic" w:hAnsi=".VnCopperplate Gothic"/>
      <w:sz w:val="32"/>
      <w:szCs w:val="32"/>
    </w:rPr>
  </w:style>
  <w:style w:customStyle="1" w:styleId="TableNormal0" w:type="table">
    <w:name w:val="TableNormal"/>
    <w:qFormat/>
    <w:tblPr>
      <w:tblCellMar>
        <w:top w:type="dxa" w:w="100"/>
        <w:left w:type="dxa" w:w="100"/>
        <w:bottom w:type="dxa" w:w="100"/>
        <w:right w:type="dxa" w:w="100"/>
      </w:tblCellMar>
    </w:tblPr>
  </w:style>
  <w:style w:customStyle="1" w:styleId="Style12" w:type="table">
    <w:name w:val="_Style 12"/>
    <w:basedOn w:val="TableNormal0"/>
    <w:qFormat/>
    <w:tblPr>
      <w:tblCellMar>
        <w:top w:type="dxa" w:w="0"/>
        <w:left w:type="dxa" w:w="108"/>
        <w:bottom w:type="dxa" w:w="0"/>
        <w:right w:type="dxa" w:w="108"/>
      </w:tblCellMar>
    </w:tblPr>
  </w:style>
  <w:style w:customStyle="1" w:styleId="Style13" w:type="table">
    <w:name w:val="_Style 13"/>
    <w:basedOn w:val="TableNormal0"/>
    <w:qFormat/>
    <w:tblPr>
      <w:tblCellMar>
        <w:top w:type="dxa" w:w="0"/>
        <w:left w:type="dxa" w:w="108"/>
        <w:bottom w:type="dxa" w:w="0"/>
        <w:right w:type="dxa" w:w="108"/>
      </w:tblCellMar>
    </w:tblPr>
  </w:style>
  <w:style w:customStyle="1" w:styleId="Style14" w:type="table">
    <w:name w:val="_Style 14"/>
    <w:basedOn w:val="TableNormal0"/>
    <w:qFormat/>
    <w:tblPr>
      <w:tblCellMar>
        <w:top w:type="dxa" w:w="0"/>
        <w:left w:type="dxa" w:w="108"/>
        <w:bottom w:type="dxa" w:w="0"/>
        <w:right w:type="dxa" w:w="108"/>
      </w:tblCellMar>
    </w:tblPr>
  </w:style>
  <w:style w:customStyle="1" w:styleId="Style15" w:type="table">
    <w:name w:val="_Style 15"/>
    <w:basedOn w:val="TableNormal0"/>
    <w:qFormat/>
    <w:tblPr>
      <w:tblCellMar>
        <w:top w:type="dxa" w:w="0"/>
        <w:left w:type="dxa" w:w="108"/>
        <w:bottom w:type="dxa" w:w="0"/>
        <w:right w:type="dxa" w:w="108"/>
      </w:tblCellMar>
    </w:tblPr>
  </w:style>
  <w:style w:customStyle="1" w:styleId="Style16" w:type="table">
    <w:name w:val="_Style 16"/>
    <w:basedOn w:val="TableNormal0"/>
    <w:qFormat/>
    <w:tblPr>
      <w:tblCellMar>
        <w:top w:type="dxa" w:w="0"/>
        <w:left w:type="dxa" w:w="10"/>
        <w:bottom w:type="dxa" w:w="0"/>
        <w:right w:type="dxa" w:w="10"/>
      </w:tblCellMar>
    </w:tblPr>
  </w:style>
  <w:style w:customStyle="1" w:styleId="CommentTextChar" w:type="character">
    <w:name w:val="Comment Text Char"/>
    <w:basedOn w:val="DefaultParagraphFont"/>
    <w:link w:val="CommentText"/>
    <w:uiPriority w:val="99"/>
    <w:semiHidden/>
    <w:qFormat/>
    <w:rPr>
      <w:sz w:val="20"/>
      <w:szCs w:val="20"/>
    </w:rPr>
  </w:style>
  <w:style w:customStyle="1" w:styleId="CommentSubjectChar" w:type="character">
    <w:name w:val="Comment Subject Char"/>
    <w:basedOn w:val="CommentTextChar"/>
    <w:link w:val="CommentSubject"/>
    <w:uiPriority w:val="99"/>
    <w:semiHidden/>
    <w:qFormat/>
    <w:rPr>
      <w:b/>
      <w:bCs/>
      <w:sz w:val="20"/>
      <w:szCs w:val="20"/>
    </w:rPr>
  </w:style>
  <w:style w:customStyle="1" w:styleId="BalloonTextChar" w:type="character">
    <w:name w:val="Balloon Text Char"/>
    <w:basedOn w:val="DefaultParagraphFont"/>
    <w:link w:val="BalloonText"/>
    <w:uiPriority w:val="99"/>
    <w:semiHidden/>
    <w:qFormat/>
    <w:rPr>
      <w:rFonts w:ascii="Segoe UI" w:cs="Segoe UI" w:hAnsi="Segoe UI"/>
      <w:sz w:val="18"/>
      <w:szCs w:val="18"/>
    </w:rPr>
  </w:style>
  <w:style w:customStyle="1" w:styleId="HeaderChar" w:type="character">
    <w:name w:val="Header Char"/>
    <w:basedOn w:val="DefaultParagraphFont"/>
    <w:link w:val="Header"/>
    <w:uiPriority w:val="99"/>
    <w:qFormat/>
  </w:style>
  <w:style w:customStyle="1" w:styleId="FooterChar" w:type="character">
    <w:name w:val="Footer Char"/>
    <w:basedOn w:val="DefaultParagraphFont"/>
    <w:link w:val="Footer"/>
    <w:uiPriority w:val="99"/>
    <w:qFormat/>
  </w:style>
  <w:style w:styleId="ListParagraph" w:type="paragraph">
    <w:name w:val="List Paragraph"/>
    <w:basedOn w:val="Normal"/>
    <w:uiPriority w:val="99"/>
    <w:rsid w:val="00105EDD"/>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3155</Words>
  <Characters>17987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2026-06-19T06:09:25Z</dcterms:created>
  <dcterms:modified xsi:type="dcterms:W3CDTF">2026-06-19T06:09:25Z</dcterms:modified>
</cp:coreProperties>
</file>

<file path=docProps/custom.xml><?xml version="1.0" encoding="utf-8"?>
<Properties xmlns="http://schemas.openxmlformats.org/officeDocument/2006/custom-properties" xmlns:vt="http://schemas.openxmlformats.org/officeDocument/2006/docPropsVTypes"/>
</file>