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6B2B" w:rsidRDefault="00D96D9D">
      <w:pPr>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CỘNG HOÀ XÃ HỘI CHỦ NGHĨA VIỆT NAM</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Độc lập - Tự do - Hạnh phúc</w:t>
      </w:r>
    </w:p>
    <w:p w:rsidR="00C16B2B" w:rsidRDefault="00D96D9D">
      <w:pPr>
        <w:jc w:val="center"/>
        <w:rPr>
          <w:rFonts w:ascii="Times New Roman" w:eastAsia="Times New Roman" w:hAnsi="Times New Roman" w:cs="Times New Roman"/>
          <w:b/>
          <w:bCs/>
          <w:color w:val="000000"/>
          <w:sz w:val="28"/>
          <w:szCs w:val="28"/>
        </w:rPr>
      </w:pPr>
      <w:r>
        <w:rPr>
          <w:rFonts w:ascii="Times New Roman" w:eastAsia="Times New Roman" w:hAnsi="Times New Roman" w:cs="Times New Roman"/>
          <w:b/>
          <w:bCs/>
          <w:noProof/>
          <w:color w:val="000000"/>
          <w:sz w:val="28"/>
          <w:szCs w:val="28"/>
        </w:rPr>
        <mc:AlternateContent>
          <mc:Choice Requires="wps">
            <w:drawing>
              <wp:anchor distT="0" distB="0" distL="114300" distR="114300" simplePos="0" relativeHeight="251659264" behindDoc="0" locked="0" layoutInCell="1" allowOverlap="1" wp14:anchorId="06CA2322" wp14:editId="13B287DA">
                <wp:simplePos x="0" y="0"/>
                <wp:positionH relativeFrom="column">
                  <wp:posOffset>1995170</wp:posOffset>
                </wp:positionH>
                <wp:positionV relativeFrom="paragraph">
                  <wp:posOffset>7620</wp:posOffset>
                </wp:positionV>
                <wp:extent cx="1980000" cy="0"/>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8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line w14:anchorId="7E421EFC" id="Straight Connector 4"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7.1pt,.6pt" to="313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" strokecolor="black [3213]"/>
            </w:pict>
          </mc:Fallback>
        </mc:AlternateContent>
      </w:r>
    </w:p>
    <w:p w:rsidR="00EA5809" w:rsidRDefault="00EA5809">
      <w:pPr>
        <w:jc w:val="center"/>
        <w:rPr>
          <w:rFonts w:ascii="Times New Roman" w:eastAsia="Times New Roman" w:hAnsi="Times New Roman" w:cs="Times New Roman"/>
          <w:b/>
          <w:bCs/>
          <w:color w:val="000000"/>
          <w:sz w:val="28"/>
          <w:szCs w:val="28"/>
        </w:rPr>
      </w:pPr>
    </w:p>
    <w:p w:rsidR="00C16B2B" w:rsidRDefault="00D96D9D">
      <w:pPr>
        <w:jc w:val="center"/>
        <w:rPr>
          <w:rFonts w:ascii="Times New Roman" w:eastAsia="Times New Roman" w:hAnsi="Times New Roman" w:cs="Times New Roman"/>
          <w:color w:val="000000"/>
          <w:sz w:val="28"/>
          <w:szCs w:val="28"/>
        </w:rPr>
      </w:pPr>
      <w:r>
        <w:rPr>
          <w:rFonts w:ascii="Times New Roman" w:eastAsia="Times New Roman" w:hAnsi="Times New Roman" w:cs="Times New Roman"/>
          <w:b/>
          <w:bCs/>
          <w:color w:val="000000"/>
          <w:sz w:val="28"/>
          <w:szCs w:val="28"/>
        </w:rPr>
        <w:t>HỢP ĐỒNG TƯ VẤN</w:t>
      </w:r>
    </w:p>
    <w:p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Số: HĐ_013/CSS_CIC_2026</w:t>
      </w:r>
    </w:p>
    <w:p w:rsidR="00C16B2B" w:rsidRDefault="00D96D9D" w:rsidP="00956ADA">
      <w:pPr>
        <w:spacing w:before="120"/>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Rà soát, tái cấu trúc và chuẩn hóa hệ thống quản trị đầu tư xây dựng VICEM Hà Tiên theo quy định pháp luật hiện hành và quy định quản trị của VICEM</w:t>
      </w:r>
    </w:p>
    <w:p w:rsidR="00C16B2B" w:rsidRDefault="00C16B2B">
      <w:pPr>
        <w:jc w:val="both"/>
        <w:rPr>
          <w:rFonts w:ascii="Times New Roman" w:eastAsia="Times New Roman" w:hAnsi="Times New Roman" w:cs="Times New Roman"/>
          <w:color w:val="000000"/>
          <w:sz w:val="28"/>
          <w:szCs w:val="28"/>
        </w:rPr>
      </w:pP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 xml:space="preserve">Căn cứ Bộ luật Dân sự số 91/2015/QH13 ngày 24 tháng 11 năm 2015 và các văn bản hướng dẫn thi hành; </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Thương mại số 36/2005/QH11 ngày 14 tháng 6 năm 2005 và các văn bản hướng dẫn thi hành;</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Doanh nghiệp số: 59/2020/QH14  ngày 17 tháng 6 năm 2020  có hiệu lực thi hành từ ngày 01/01/2021;</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Luật Xây dựng 135/2025/QH15 ngày 10 tháng 12 năm 2025 và các văn bản hướng dẫn Luật kèm theo;</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Quyết định số 2086/QĐ-HT1 ngày 05 tháng 6 năm 2026 của Công ty Cổ phần Xi măng VICEM Hà Tiên về việc phê duyệt kết quả lựa chọn nhà cung cấp của gói mua sắm “Dịch vụ tư vấn rà soát, điều chỉnh quy chế đầu tư xây dựng của VICEM Hà Tiên”;</w:t>
      </w:r>
    </w:p>
    <w:p w:rsidR="00C16B2B" w:rsidRDefault="00D96D9D" w:rsidP="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i/>
          <w:iCs/>
          <w:color w:val="000000"/>
          <w:sz w:val="26"/>
          <w:szCs w:val="26"/>
        </w:rPr>
        <w:t>Căn cứ vào nhu cầu và khả năng của mỗi bên.</w:t>
      </w:r>
    </w:p>
    <w:p w:rsidR="00C16B2B" w:rsidRDefault="00D96D9D" w:rsidP="008C7D39">
      <w:pPr>
        <w:spacing w:before="240" w:after="24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Hôm nay, ngày       tháng 6 năm 2026, chúng tôi gồm các Bên dưới đây:</w:t>
      </w:r>
    </w:p>
    <w:p w:rsidR="00C16B2B" w:rsidRDefault="00D96D9D">
      <w:pPr>
        <w:spacing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A: CÔNG TY CỔ PHẦN XI MĂNG VICEM HÀ TIÊN</w:t>
      </w:r>
    </w:p>
    <w:tbl>
      <w:tblPr>
        <w:tblStyle w:val="Style13"/>
        <w:tblW w:w="9180" w:type="dxa"/>
        <w:tblInd w:w="-108" w:type="dxa"/>
        <w:tblLayout w:type="fixed"/>
        <w:tblLook w:val="04A0" w:firstRow="1" w:lastRow="0" w:firstColumn="1" w:lastColumn="0" w:noHBand="0" w:noVBand="1"/>
      </w:tblPr>
      <w:tblGrid>
        <w:gridCol w:w="1668"/>
        <w:gridCol w:w="425"/>
        <w:gridCol w:w="3262"/>
        <w:gridCol w:w="3825"/>
      </w:tblGrid>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262" w:type="dxa"/>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Quốc Thắng</w:t>
            </w:r>
          </w:p>
        </w:tc>
        <w:tc>
          <w:tcPr>
            <w:tcW w:w="38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Địa chỉ</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604 Võ Văn Kiệt, P. Cầu Ông Lãnh, Hồ Chí Minh</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Điện thoại</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(028) 38 368 363</w:t>
            </w:r>
          </w:p>
        </w:tc>
      </w:tr>
      <w:tr w:rsidR="00C16B2B">
        <w:tc>
          <w:tcPr>
            <w:tcW w:w="1668"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425" w:type="dxa"/>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087" w:type="dxa"/>
            <w:gridSpan w:val="2"/>
          </w:tcPr>
          <w:p w:rsidR="00C16B2B" w:rsidRDefault="00D96D9D" w:rsidP="008C7D39">
            <w:pPr>
              <w:spacing w:before="80" w:after="80"/>
              <w:ind w:left="-105"/>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0301446422</w:t>
            </w:r>
          </w:p>
        </w:tc>
      </w:tr>
    </w:tbl>
    <w:p w:rsidR="00C16B2B" w:rsidRDefault="00D96D9D" w:rsidP="008C7D39">
      <w:pPr>
        <w:spacing w:before="120" w:after="10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BÊN B: CÔNG TY CỔ PHẦN CÔNG NGHỆ VÀ TƯ VẤN CIC</w:t>
      </w:r>
    </w:p>
    <w:tbl>
      <w:tblPr>
        <w:tblStyle w:val="Style14"/>
        <w:tblW w:w="91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68"/>
        <w:gridCol w:w="284"/>
        <w:gridCol w:w="3364"/>
        <w:gridCol w:w="3864"/>
      </w:tblGrid>
      <w:tr w:rsidR="00C16B2B">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Đại diện là</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3364" w:type="dxa"/>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Ông Nguyễn Hoàng Hà</w:t>
            </w:r>
          </w:p>
        </w:tc>
        <w:tc>
          <w:tcPr>
            <w:tcW w:w="3864" w:type="dxa"/>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Chức vụ:  Tổng Giám đốc</w:t>
            </w:r>
          </w:p>
        </w:tc>
      </w:tr>
      <w:tr w:rsidR="00C16B2B">
        <w:trPr>
          <w:trHeight w:val="448"/>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Địa chỉ</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Tầng 4, Tòa nhà VG Building, số 235 Nguyễn Trãi, Phường Khương Đình, TP. Hà Nội</w:t>
            </w:r>
          </w:p>
        </w:tc>
      </w:tr>
      <w:tr w:rsidR="00C16B2B">
        <w:trPr>
          <w:trHeight w:val="100"/>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khoản số</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1200014777 tại Ngân hàng TMCP đầu tư và phát triển Việt Nam (BIDV) - Chi nhánh Sở giao dịch 1</w:t>
            </w:r>
          </w:p>
        </w:tc>
      </w:tr>
      <w:tr w:rsidR="00C16B2B">
        <w:trPr>
          <w:trHeight w:val="100"/>
        </w:trPr>
        <w:tc>
          <w:tcPr>
            <w:tcW w:w="1668"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Mã số thuế</w:t>
            </w:r>
          </w:p>
        </w:tc>
        <w:tc>
          <w:tcPr>
            <w:tcW w:w="284" w:type="dxa"/>
            <w:tcBorders>
              <w:top w:val="nil"/>
              <w:left w:val="nil"/>
              <w:bottom w:val="nil"/>
              <w:right w:val="nil"/>
            </w:tcBorders>
            <w:vAlign w:val="center"/>
          </w:tcPr>
          <w:p w:rsidR="00C16B2B" w:rsidRDefault="00D96D9D" w:rsidP="008C7D39">
            <w:pPr>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p>
        </w:tc>
        <w:tc>
          <w:tcPr>
            <w:tcW w:w="7228" w:type="dxa"/>
            <w:gridSpan w:val="2"/>
            <w:tcBorders>
              <w:top w:val="nil"/>
              <w:left w:val="nil"/>
              <w:bottom w:val="nil"/>
              <w:right w:val="nil"/>
            </w:tcBorders>
            <w:vAlign w:val="center"/>
          </w:tcPr>
          <w:p w:rsidR="00C16B2B" w:rsidRDefault="00D96D9D" w:rsidP="008C7D39">
            <w:pPr>
              <w:tabs>
                <w:tab w:val="left" w:pos="2160"/>
                <w:tab w:val="left" w:pos="2520"/>
              </w:tabs>
              <w:spacing w:before="80" w:after="8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0100775353</w:t>
            </w:r>
          </w:p>
        </w:tc>
      </w:tr>
    </w:tbl>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lastRenderedPageBreak/>
        <w:t>Hai bên thỏa thuận ký kết hợp đồng với những điều khoản sau:</w:t>
      </w:r>
    </w:p>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 Giải thích từ ngữ</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1.1. </w:t>
      </w:r>
      <w:r>
        <w:rPr>
          <w:rFonts w:ascii="Times New Roman" w:eastAsia="Times New Roman" w:hAnsi="Times New Roman" w:cs="Times New Roman"/>
          <w:b/>
          <w:bCs/>
          <w:color w:val="000000"/>
          <w:sz w:val="26"/>
          <w:szCs w:val="26"/>
        </w:rPr>
        <w:t>“Hợp đồng”</w:t>
      </w:r>
      <w:r>
        <w:rPr>
          <w:rFonts w:ascii="Times New Roman" w:eastAsia="Times New Roman" w:hAnsi="Times New Roman" w:cs="Times New Roman"/>
          <w:color w:val="000000"/>
          <w:sz w:val="26"/>
          <w:szCs w:val="26"/>
        </w:rPr>
        <w:t xml:space="preserve"> là Hợp đồng này và các văn kiện, Hồ sơ Hợp đồng nêu tại Điều 2 của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1.2. </w:t>
      </w:r>
      <w:r>
        <w:rPr>
          <w:rFonts w:ascii="Times New Roman" w:eastAsia="Times New Roman" w:hAnsi="Times New Roman" w:cs="Times New Roman"/>
          <w:b/>
          <w:bCs/>
          <w:color w:val="000000"/>
          <w:sz w:val="26"/>
          <w:szCs w:val="26"/>
        </w:rPr>
        <w:t>“Phụ lục Hợp đồng”</w:t>
      </w:r>
      <w:r>
        <w:rPr>
          <w:rFonts w:ascii="Times New Roman" w:eastAsia="Times New Roman" w:hAnsi="Times New Roman" w:cs="Times New Roman"/>
          <w:color w:val="000000"/>
          <w:sz w:val="26"/>
          <w:szCs w:val="26"/>
        </w:rPr>
        <w:t>: Là văn bản sửa đổi hoặc bổ sung một hoặc nhiều nội dung của Hợp đồng và là bộ phận không tách rời của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1.3. </w:t>
      </w:r>
      <w:r>
        <w:rPr>
          <w:rFonts w:ascii="Times New Roman" w:eastAsia="Times New Roman" w:hAnsi="Times New Roman" w:cs="Times New Roman"/>
          <w:b/>
          <w:bCs/>
          <w:color w:val="000000"/>
          <w:sz w:val="26"/>
          <w:szCs w:val="26"/>
        </w:rPr>
        <w:t xml:space="preserve">“Các bên” </w:t>
      </w:r>
      <w:r>
        <w:rPr>
          <w:rFonts w:ascii="Times New Roman" w:eastAsia="Times New Roman" w:hAnsi="Times New Roman" w:cs="Times New Roman"/>
          <w:color w:val="000000"/>
          <w:sz w:val="26"/>
          <w:szCs w:val="26"/>
        </w:rPr>
        <w:t>hoặc</w:t>
      </w:r>
      <w:r>
        <w:rPr>
          <w:rFonts w:ascii="Times New Roman" w:eastAsia="Times New Roman" w:hAnsi="Times New Roman" w:cs="Times New Roman"/>
          <w:b/>
          <w:bCs/>
          <w:color w:val="000000"/>
          <w:sz w:val="26"/>
          <w:szCs w:val="26"/>
        </w:rPr>
        <w:t xml:space="preserve"> “Bên A” </w:t>
      </w:r>
      <w:r>
        <w:rPr>
          <w:rFonts w:ascii="Times New Roman" w:eastAsia="Times New Roman" w:hAnsi="Times New Roman" w:cs="Times New Roman"/>
          <w:color w:val="000000"/>
          <w:sz w:val="26"/>
          <w:szCs w:val="26"/>
        </w:rPr>
        <w:t xml:space="preserve">hoặc </w:t>
      </w:r>
      <w:r>
        <w:rPr>
          <w:rFonts w:ascii="Times New Roman" w:eastAsia="Times New Roman" w:hAnsi="Times New Roman" w:cs="Times New Roman"/>
          <w:b/>
          <w:bCs/>
          <w:color w:val="000000"/>
          <w:sz w:val="26"/>
          <w:szCs w:val="26"/>
        </w:rPr>
        <w:t xml:space="preserve">“Bên B”: </w:t>
      </w:r>
      <w:r>
        <w:rPr>
          <w:rFonts w:ascii="Times New Roman" w:eastAsia="Times New Roman" w:hAnsi="Times New Roman" w:cs="Times New Roman"/>
          <w:color w:val="000000"/>
          <w:sz w:val="26"/>
          <w:szCs w:val="26"/>
        </w:rPr>
        <w:t>Là các tổ chức, cá nhân có đầy đủ năng lực theo quy định của Pháp luật;</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1.4.</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“Sự kiện bất khả kháng”</w:t>
      </w:r>
      <w:r>
        <w:rPr>
          <w:rFonts w:ascii="Times New Roman" w:eastAsia="Times New Roman" w:hAnsi="Times New Roman" w:cs="Times New Roman"/>
          <w:color w:val="000000"/>
          <w:sz w:val="26"/>
          <w:szCs w:val="26"/>
        </w:rPr>
        <w:t xml:space="preserve"> là các sự kiện được phát sinh từ những nguyên nhân khách quan khác nhau vượt quá tầm kiểm soát và dự kiến của Các Bên, Các Bên không biết và không thể biết trước được sẽ xảy ra như: chiến tranh, bạo loạn, đình công, hỏa hoạn, thiên tai, lũ lụt, dịch bệnh, cách lý do kiểm dịch...;</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“Ngày”</w:t>
      </w:r>
      <w:r>
        <w:rPr>
          <w:rFonts w:ascii="Times New Roman" w:eastAsia="Times New Roman" w:hAnsi="Times New Roman" w:cs="Times New Roman"/>
          <w:color w:val="000000"/>
          <w:sz w:val="26"/>
          <w:szCs w:val="26"/>
        </w:rPr>
        <w:t xml:space="preserve"> bao gồm cả ngày nghỉ, lễ, Tết theo quy định của Pháp luật;</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1.6.</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b/>
          <w:bCs/>
          <w:color w:val="000000"/>
          <w:sz w:val="26"/>
          <w:szCs w:val="26"/>
        </w:rPr>
        <w:t>“Pháp luật”</w:t>
      </w:r>
      <w:r>
        <w:rPr>
          <w:rFonts w:ascii="Times New Roman" w:eastAsia="Times New Roman" w:hAnsi="Times New Roman" w:cs="Times New Roman"/>
          <w:b/>
          <w:bCs/>
          <w:i/>
          <w:iCs/>
          <w:color w:val="000000"/>
          <w:sz w:val="26"/>
          <w:szCs w:val="26"/>
        </w:rPr>
        <w:t xml:space="preserve"> </w:t>
      </w:r>
      <w:r>
        <w:rPr>
          <w:rFonts w:ascii="Times New Roman" w:eastAsia="Times New Roman" w:hAnsi="Times New Roman" w:cs="Times New Roman"/>
          <w:color w:val="000000"/>
          <w:sz w:val="26"/>
          <w:szCs w:val="26"/>
        </w:rPr>
        <w:t>là pháp luật nước Cộng hòa xã hội chủ nghĩa Việt Nam.</w:t>
      </w:r>
    </w:p>
    <w:p w:rsidR="00C16B2B" w:rsidRDefault="00D96D9D">
      <w:pPr>
        <w:keepNext/>
        <w:tabs>
          <w:tab w:val="left" w:pos="709"/>
        </w:tabs>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2. Hồ sơ Hợp đồng</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sau đây là một phần không tách rời của Hợp đồng và được sắp xếp theo thứ tự ưu tiên về pháp lý như sau:</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 Văn bản Hợp đồng này;</w:t>
      </w:r>
    </w:p>
    <w:p w:rsidR="00C16B2B" w:rsidRDefault="00D96D9D">
      <w:pPr>
        <w:tabs>
          <w:tab w:val="left" w:pos="567"/>
          <w:tab w:val="left" w:pos="709"/>
        </w:tabs>
        <w:spacing w:before="120" w:after="120"/>
        <w:ind w:firstLine="567"/>
        <w:jc w:val="both"/>
        <w:rPr>
          <w:rFonts w:ascii="Times New Roman" w:eastAsia="Times New Roman" w:hAnsi="Times New Roman" w:cs="Times New Roman"/>
          <w:color w:val="000000"/>
          <w:sz w:val="26"/>
          <w:szCs w:val="26"/>
        </w:rPr>
      </w:pPr>
      <w:bookmarkStart w:id="0" w:name="_xtufelltglwa" w:colFirst="0" w:colLast="0"/>
      <w:bookmarkEnd w:id="0"/>
      <w:r>
        <w:rPr>
          <w:rFonts w:ascii="Times New Roman" w:eastAsia="Times New Roman" w:hAnsi="Times New Roman" w:cs="Times New Roman"/>
          <w:color w:val="000000"/>
          <w:sz w:val="26"/>
          <w:szCs w:val="26"/>
        </w:rPr>
        <w:t>2.2. Tất cả các Phụ lục của Hợp đồng này (nếu có) nhằm sửa đổi, bổ sung hoặc làm rõ các nội dung của hợp đồng này;</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3. Nội dung và sản phẩm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 Nội dung hợp đồng:</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Bên A đồng ý giao và Bên B đồng ý nhận thực hiện “</w:t>
      </w:r>
      <w:r>
        <w:rPr>
          <w:rFonts w:ascii="Times New Roman" w:eastAsia="Times New Roman" w:hAnsi="Times New Roman" w:cs="Times New Roman"/>
          <w:i/>
          <w:iCs/>
          <w:color w:val="000000"/>
          <w:sz w:val="26"/>
          <w:szCs w:val="26"/>
        </w:rPr>
        <w:t>Rà soát, tái cấu trúc và chuẩn hóa hệ thống quản trị đầu tư xây dựng VICEM Hà Tiên theo quy định pháp luật hiện hành và quy định quản trị của VICEM”.</w:t>
      </w:r>
      <w:r>
        <w:rPr>
          <w:rFonts w:ascii="Times New Roman" w:eastAsia="Times New Roman" w:hAnsi="Times New Roman" w:cs="Times New Roman"/>
          <w:color w:val="000000"/>
          <w:sz w:val="26"/>
          <w:szCs w:val="26"/>
        </w:rPr>
        <w:t xml:space="preserve"> Danh mục sản phẩm đính kèm tại Phụ lục 1 và Phụ lục 2 của hợp đồng này. </w:t>
      </w:r>
    </w:p>
    <w:p w:rsidR="00C16B2B" w:rsidRDefault="00D96D9D">
      <w:pPr>
        <w:spacing w:before="120" w:after="120"/>
        <w:ind w:firstLine="5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3.2. Sản phẩm Bên B phải bàn giao cho Bên A bao gồm: </w:t>
      </w:r>
    </w:p>
    <w:p w:rsidR="006870EB" w:rsidRDefault="00D96D9D" w:rsidP="0075338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 Sản phẩm:</w:t>
      </w:r>
    </w:p>
    <w:p w:rsidR="006870EB" w:rsidRPr="00B82359" w:rsidRDefault="006870EB" w:rsidP="0075338D">
      <w:pPr>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w:t>
      </w:r>
      <w:bookmarkStart w:id="1" w:name="_Hlk232666337"/>
      <w:r>
        <w:rPr>
          <w:rFonts w:ascii="Times New Roman" w:eastAsia="Times New Roman" w:hAnsi="Times New Roman" w:cs="Times New Roman"/>
          <w:color w:val="0000CC"/>
          <w:sz w:val="26"/>
          <w:szCs w:val="26"/>
        </w:rPr>
        <w:t>Mô hình tổ chức quản trị đầu tư xây dựng mới của VICEM Hà Tiên phù hợp với Luật Xây dựng số 135/2025/QH15 ngày 10/12/2025; Luật số 68/2025/QH15 ngày 14/6/2025; các văn bản pháp luật khác có liên quan; đồng thời phù hợp với định hướng phát triển của VICEM Hà Tiên (kèm sơ đồ tổ chức, ma trận chức năng, ma trận phân công trách nhiệm (Thực hiện – Phê duyệt – Tư vấn – Thông báo))</w:t>
      </w:r>
      <w:bookmarkEnd w:id="1"/>
      <w:r>
        <w:rPr>
          <w:rFonts w:ascii="Times New Roman" w:eastAsia="Times New Roman" w:hAnsi="Times New Roman" w:cs="Times New Roman"/>
          <w:color w:val="0000CC"/>
          <w:sz w:val="26"/>
          <w:szCs w:val="26"/>
        </w:rPr>
        <w:t>.</w:t>
      </w:r>
    </w:p>
    <w:p w:rsidR="006870EB" w:rsidRPr="00B82359" w:rsidRDefault="006870EB" w:rsidP="0075338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chế đầu tư xây dựng mới của VICEM Hà Tiên (gồm 08 quy chế nội bộ: quản lý Đầu tư Xây dựng; quản lý chi phí đầu tư; đấu thầu; quản lý hợp đồng; nghiệm thu – bàn giao; quyết toán vốn đầu tư; phân cấp, phân quyền Đầu tư Xây dựng; kiểm soát nội bộ dự án), kèm hệ thống biểu mẫu chuẩn hóa.</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quy trình vận hành chuẩn đầu tư xây dựng chuẩn hóa theo 03 giai đoạn (chuẩn bị đầu tư, thực hiện, k</w:t>
      </w:r>
      <w:r>
        <w:rPr>
          <w:rFonts w:ascii="Times New Roman" w:eastAsia="Times New Roman" w:hAnsi="Times New Roman" w:cs="Times New Roman"/>
          <w:color w:val="0000CC"/>
          <w:sz w:val="26"/>
          <w:szCs w:val="26"/>
        </w:rPr>
        <w:t>ết thúc), theo định hướng Tiêu chuẩn Quản lý Quốc tế (ISO) và sơ đồ luồng công việc điện tử.</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phân cấp, phân quyền đầu tư xây dựng (ma trận thẩm quyền giữa các cấp), đồng bộ với Điều lệ và Quy chế đầu tư xây dựng của VICEM.</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Bộ chỉ số đánh giá hiệu suất chính trong quản lý dự án (tiến độ, chi phí, chất lượng, hiệu quả đầu tư) và hệ thống quản trị rủi ro Đầu tư Xây dựng.</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xml:space="preserve">+ Lộ trình chuyển đổi số hoạt động đầu tư xây dựng (định hướng Hệ thống Thông tin Quản lý Dự án, quản lý hồ sơ và nhật ký công trình </w:t>
      </w:r>
      <w:r>
        <w:rPr>
          <w:rFonts w:ascii="Times New Roman" w:eastAsia="Times New Roman" w:hAnsi="Times New Roman" w:cs="Times New Roman"/>
          <w:color w:val="0000CC"/>
          <w:sz w:val="26"/>
          <w:szCs w:val="26"/>
        </w:rPr>
        <w:t>điện tử, bảng theo dõi tổng quan cho lãnh đạo, áp dụng Mô hình Thông tin Công trình đối với dự án lớn). Việc triển khai số hóa chi tiết, đầu tư phần mềm không thuộc phạm vi hợp đồng riêng.</w:t>
      </w:r>
    </w:p>
    <w:p w:rsidR="00272987" w:rsidRDefault="00BE61A3">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 Kế hoạch triển khai áp dụng trong 03 năm.</w:t>
      </w:r>
    </w:p>
    <w:p w:rsidR="00C16B2B" w:rsidRDefault="00F41EB7">
      <w:pPr>
        <w:spacing w:before="120" w:after="120"/>
        <w:ind w:firstLine="567"/>
        <w:jc w:val="both"/>
        <w:rPr>
          <w:rFonts w:ascii="Times New Roman" w:eastAsia="Times New Roman" w:hAnsi="Times New Roman" w:cs="Times New Roman"/>
          <w:color w:val="000000"/>
          <w:sz w:val="26"/>
          <w:szCs w:val="26"/>
        </w:rPr>
      </w:pPr>
      <w:bookmarkStart w:id="2" w:name="5x8nokkn8euu" w:colFirst="0" w:colLast="0"/>
      <w:bookmarkEnd w:id="2"/>
      <w:r>
        <w:rPr>
          <w:rFonts w:ascii="Times New Roman" w:eastAsia="Times New Roman" w:hAnsi="Times New Roman" w:cs="Times New Roman"/>
          <w:color w:val="0000CC"/>
          <w:sz w:val="26"/>
          <w:szCs w:val="26"/>
        </w:rPr>
        <w:t>Sản phẩm bàn giao phải bao gồm toàn bộ hồ sơ gồm bản giấy, bản định dạng Word và PDF có thể chỉnh sửa, kèm bảng đối chiếu các nội dung sửa đổi, bổ sung so với quy chế hiện hành và tài liệu thuyết minh cơ sở pháp lý của từng nội dung sửa đổi (nếu có).</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Chất lượng: Các hồ sơ, quy trình phù hợp với quy định của pháp luật hiện hành và được Bên A nghiệm thu sản phẩm. </w:t>
      </w:r>
      <w:r>
        <w:rPr>
          <w:rFonts w:ascii="Times New Roman" w:eastAsia="Times New Roman" w:hAnsi="Times New Roman" w:cs="Times New Roman"/>
          <w:color w:val="0000CC"/>
          <w:sz w:val="26"/>
          <w:szCs w:val="26"/>
        </w:rPr>
        <w:t>Bên B có trách nhiệm giải trình, chỉnh sửa, hoàn thiện sản phẩm theo ý kiến góp ý của Bên A trong phạm vi công việc của Hợp đồng cho đến khi được Bên A nghiệm thu.</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4</w:t>
      </w: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b/>
          <w:bCs/>
          <w:color w:val="000000"/>
          <w:sz w:val="26"/>
          <w:szCs w:val="26"/>
        </w:rPr>
        <w:t>Thời gian, tiến độ thực hiện hợp đồng</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4.1. Thời gian thực hiện: Bên B hoàn thành công việc và bàn giao sản phẩm hợp đồng trong vòng </w:t>
      </w:r>
      <w:r w:rsidR="00E511BA">
        <w:rPr>
          <w:rFonts w:ascii="Times New Roman" w:eastAsia="Times New Roman" w:hAnsi="Times New Roman" w:cs="Times New Roman"/>
          <w:color w:val="000000"/>
          <w:sz w:val="26"/>
          <w:szCs w:val="26"/>
        </w:rPr>
        <w:t xml:space="preserve">45 </w:t>
      </w:r>
      <w:r>
        <w:rPr>
          <w:rFonts w:ascii="Times New Roman" w:eastAsia="Times New Roman" w:hAnsi="Times New Roman" w:cs="Times New Roman"/>
          <w:color w:val="000000"/>
          <w:sz w:val="26"/>
          <w:szCs w:val="26"/>
        </w:rPr>
        <w:t xml:space="preserve">ngày kể từ ngày hợp đồng có hiệu lực. </w:t>
      </w:r>
      <w:r>
        <w:rPr>
          <w:rFonts w:ascii="Times New Roman" w:eastAsia="Times New Roman" w:hAnsi="Times New Roman" w:cs="Times New Roman"/>
          <w:color w:val="0000CC"/>
          <w:sz w:val="26"/>
          <w:szCs w:val="26"/>
        </w:rPr>
        <w:t xml:space="preserve">Thời gian Bên A xem xét, góp ý hồ sơ và thời gian Bên B chờ Bên A cung cấp tài liệu theo yêu cầu bằng văn bản sẽ không tính vào thời gian thực hiện hợp đồng. </w:t>
      </w:r>
      <w:r>
        <w:rPr>
          <w:rFonts w:ascii="Times New Roman" w:eastAsia="Times New Roman" w:hAnsi="Times New Roman" w:cs="Times New Roman"/>
          <w:color w:val="000000"/>
          <w:sz w:val="26"/>
          <w:szCs w:val="26"/>
        </w:rPr>
        <w:t xml:space="preserve">Hợp đồng có hiệu lực kể từ ngày ký hợp đồng. </w:t>
      </w:r>
    </w:p>
    <w:p w:rsidR="00C16B2B" w:rsidRDefault="00D96D9D">
      <w:pPr>
        <w:spacing w:before="120" w:after="120"/>
        <w:ind w:firstLine="56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Tiến độ thực hiện, giai đoạn, sản phẩm bàn giao chi tiết của hợp đồng quy định tại Phụ lục 02 hợp đồng này. </w:t>
      </w:r>
    </w:p>
    <w:p w:rsidR="00C16B2B" w:rsidRPr="003224F0" w:rsidRDefault="00D96D9D">
      <w:pPr>
        <w:spacing w:before="120" w:after="120"/>
        <w:ind w:firstLine="567"/>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xml:space="preserve">4.2. Kết thúc hợp đồng: </w:t>
      </w:r>
      <w:r>
        <w:rPr>
          <w:rFonts w:ascii="Times New Roman" w:eastAsia="Times New Roman" w:hAnsi="Times New Roman" w:cs="Times New Roman"/>
          <w:color w:val="0000CC"/>
          <w:sz w:val="26"/>
          <w:szCs w:val="26"/>
        </w:rPr>
        <w:t>Hợp đồng chỉ được xem là hoàn thành khi Bên B đã bàn giao đầy đủ sản phẩm, được Bên A nghiệm thu bằng văn bản và hoàn thành các nghĩa vụ khác theo Hợp đồng.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5. Giá trị hợp đồng, hình thức hợp đồng</w:t>
      </w:r>
    </w:p>
    <w:p w:rsidR="00C16B2B" w:rsidRPr="002B6082" w:rsidRDefault="00D96D9D">
      <w:pPr>
        <w:widowControl w:val="0"/>
        <w:shd w:val="clear" w:color="auto" w:fill="FFFFFF"/>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5.1. Giá hợp đồng</w:t>
      </w:r>
      <w:r>
        <w:rPr>
          <w:rFonts w:ascii="Times New Roman" w:eastAsia="Times New Roman" w:hAnsi="Times New Roman" w:cs="Times New Roman"/>
          <w:i/>
          <w:iCs/>
          <w:color w:val="000000"/>
          <w:sz w:val="26"/>
          <w:szCs w:val="26"/>
        </w:rPr>
        <w:t>:</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trước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455.000.000 đồng.</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Thuế Giá trị gia tăng:</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 xml:space="preserve">  </w:t>
      </w:r>
      <w:r>
        <w:rPr>
          <w:rFonts w:ascii="Times New Roman" w:eastAsia="Times New Roman" w:hAnsi="Times New Roman" w:cs="Times New Roman"/>
          <w:bCs/>
          <w:color w:val="000000"/>
          <w:sz w:val="26"/>
          <w:szCs w:val="26"/>
        </w:rPr>
        <w:tab/>
        <w:t xml:space="preserve">  36.400.000 đồng.</w:t>
      </w:r>
    </w:p>
    <w:p w:rsidR="00C16B2B" w:rsidRDefault="00D96D9D">
      <w:pPr>
        <w:spacing w:before="120" w:after="120"/>
        <w:ind w:firstLine="709"/>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rPr>
        <w:t>Giá trị sau thuế:</w:t>
      </w:r>
      <w:r>
        <w:rPr>
          <w:rFonts w:ascii="Times New Roman" w:eastAsia="Times New Roman" w:hAnsi="Times New Roman" w:cs="Times New Roman"/>
          <w:bCs/>
          <w:color w:val="000000"/>
          <w:sz w:val="26"/>
          <w:szCs w:val="26"/>
        </w:rPr>
        <w:tab/>
      </w:r>
      <w:r>
        <w:rPr>
          <w:rFonts w:ascii="Times New Roman" w:eastAsia="Times New Roman" w:hAnsi="Times New Roman" w:cs="Times New Roman"/>
          <w:bCs/>
          <w:color w:val="000000"/>
          <w:sz w:val="26"/>
          <w:szCs w:val="26"/>
        </w:rPr>
        <w:tab/>
        <w:t>491.400.000 đồng.</w:t>
      </w:r>
    </w:p>
    <w:p w:rsidR="003224F0" w:rsidRDefault="00D96D9D">
      <w:pPr>
        <w:spacing w:before="120" w:after="120"/>
        <w:ind w:firstLine="709"/>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Cs/>
          <w:color w:val="000000"/>
          <w:sz w:val="26"/>
          <w:szCs w:val="26"/>
        </w:rPr>
        <w:t>Bằng chữ: Bốn trăm chín mươi mốt triệu bốn trăm nghìn đồng.</w:t>
      </w:r>
      <w:r>
        <w:rPr>
          <w:rFonts w:ascii="Times New Roman" w:eastAsia="Times New Roman" w:hAnsi="Times New Roman" w:cs="Times New Roman"/>
          <w:b/>
          <w:bCs/>
          <w:color w:val="000000"/>
          <w:sz w:val="26"/>
          <w:szCs w:val="26"/>
        </w:rPr>
        <w:t xml:space="preserve"> </w:t>
      </w:r>
    </w:p>
    <w:p w:rsidR="00C16B2B" w:rsidRDefault="003224F0">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 trị hợp đồng đã bao gồm thuế Giá trị gia tăng 8% và toàn bộ các chi phí để Bên B thực hiện hợp đồng. Thuế Giá trị gia tăng được xác định theo quy định hiện hành của Nhà nước, hai bên sẽ điều chỉnh thuế suất Giá trị gia tăng theo biểu thuế hiện hành và không phải ký Phụ lục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5.2. Hình thức hợp đồng:  Hợp đồng trọn gói.</w:t>
      </w:r>
    </w:p>
    <w:p w:rsidR="00C16B2B" w:rsidRDefault="00D96D9D">
      <w:pPr>
        <w:widowControl w:val="0"/>
        <w:shd w:val="clear" w:color="auto" w:fill="FFFFFF"/>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6. Phương thức thanh toán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6.1. Đồng tiền thanh toán: Tiền Việt Nam.</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6.2. Hình thức thanh toán: Chuyển khoản.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6.3. Phương thức thanh toán: Các đợt thanh toán chi tiết như sau: </w:t>
      </w:r>
    </w:p>
    <w:p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Đợt 1: Sau khi Bên B hoàn thành công việc khảo sát và đánh giá hiện trạng</w:t>
      </w:r>
      <w:r>
        <w:t xml:space="preserve"> </w:t>
      </w:r>
      <w:r>
        <w:rPr>
          <w:rFonts w:ascii="Times New Roman" w:eastAsia="Times New Roman" w:hAnsi="Times New Roman" w:cs="Times New Roman"/>
          <w:color w:val="000000"/>
          <w:sz w:val="26"/>
          <w:szCs w:val="26"/>
        </w:rPr>
        <w:t>quy định tại Hạng mục 1 – Phụ lục 2 đính kèm Hợp đồng</w:t>
      </w:r>
      <w:r>
        <w:rPr>
          <w:rFonts w:ascii="Times New Roman" w:eastAsia="Times New Roman" w:hAnsi="Times New Roman" w:cs="Times New Roman"/>
          <w:color w:val="000000"/>
          <w:sz w:val="26"/>
          <w:szCs w:val="26"/>
          <w:highlight w:val="white"/>
        </w:rPr>
        <w:t>, Bên A thanh toán cho Bên B 30</w:t>
      </w:r>
      <w:r>
        <w:rPr>
          <w:rFonts w:ascii="Times New Roman" w:eastAsia="Times New Roman" w:hAnsi="Times New Roman" w:cs="Times New Roman"/>
          <w:color w:val="000000"/>
          <w:sz w:val="26"/>
          <w:szCs w:val="26"/>
          <w:highlight w:val="white"/>
          <w:lang w:val="en-US"/>
        </w:rPr>
        <w:t xml:space="preserve"> </w:t>
      </w:r>
      <w:r>
        <w:rPr>
          <w:rFonts w:ascii="Times New Roman" w:eastAsia="Times New Roman" w:hAnsi="Times New Roman" w:cs="Times New Roman"/>
          <w:color w:val="000000"/>
          <w:sz w:val="26"/>
          <w:szCs w:val="26"/>
          <w:highlight w:val="white"/>
        </w:rPr>
        <w:t xml:space="preserve">% giá trị hợp đồng trong vòng 15 ngày làm việc kể từ ngày nhận được đầy đủ hồ sơ thanh toán hợp lệ, bao gồm: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Hóa đơn thuế Giá trị gia tăng hợp lệ;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rPr>
      </w:pPr>
      <w:r w:rsidRPr="002B6082">
        <w:rPr>
          <w:rFonts w:ascii="Times New Roman" w:eastAsia="Times New Roman" w:hAnsi="Times New Roman" w:cs="Times New Roman"/>
          <w:color w:val="0000CC"/>
          <w:sz w:val="26"/>
          <w:szCs w:val="26"/>
        </w:rPr>
        <w:t>+ Báo cáo khảo sát và đánh giá hiện trạng hệ thống Đầu tư Xây dựng (kèm phân tích Điểm mạnh – Điểm yếu – Cơ hội – Thách thức, đánh giá nhân sự theo chức danh, phân loại danh mục dự án);</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rPr>
      </w:pPr>
      <w:r w:rsidRPr="002B6082">
        <w:rPr>
          <w:rFonts w:ascii="Times New Roman" w:eastAsia="Times New Roman" w:hAnsi="Times New Roman" w:cs="Times New Roman"/>
          <w:color w:val="0000CC"/>
          <w:sz w:val="26"/>
          <w:szCs w:val="26"/>
        </w:rPr>
        <w:t>+ Báo cáo khoảng cách pháp lý;</w:t>
      </w:r>
    </w:p>
    <w:p w:rsidR="002B6082" w:rsidRPr="002B6082" w:rsidRDefault="002B6082" w:rsidP="002B6082">
      <w:pPr>
        <w:spacing w:before="120" w:after="120"/>
        <w:ind w:firstLine="720"/>
        <w:jc w:val="both"/>
        <w:rPr>
          <w:rFonts w:ascii="Times New Roman" w:eastAsia="Times New Roman" w:hAnsi="Times New Roman" w:cs="Times New Roman"/>
          <w:color w:val="0000CC"/>
          <w:sz w:val="26"/>
          <w:szCs w:val="26"/>
          <w:highlight w:val="white"/>
        </w:rPr>
      </w:pPr>
      <w:r w:rsidRPr="002B6082">
        <w:rPr>
          <w:rFonts w:ascii="Times New Roman" w:eastAsia="Times New Roman" w:hAnsi="Times New Roman" w:cs="Times New Roman"/>
          <w:color w:val="0000CC"/>
          <w:sz w:val="26"/>
          <w:szCs w:val="26"/>
        </w:rPr>
        <w:t>+ Báo cáo đề xuất mô hình tổ chức quản trị Đầu tư Xây dựng mới (kèm sơ đồ tổ chức, ma trận chức năng, ma trận phân công trách nhiệm (Thực hiện – Phê duyệt – Tư vấn – Thông báo)).</w:t>
      </w:r>
    </w:p>
    <w:p w:rsidR="00C16B2B" w:rsidRDefault="00D96D9D">
      <w:pPr>
        <w:spacing w:before="120" w:after="1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Đợt 2: Sau khi Bên B hoàn thiện các sản phẩm của Hợp đồng và được bên A đồng ý nghiệm thu, Bên A thanh toán cho bên B giá trị còn lại của hợp đồng trong vòng 15 ngày kể từ ngày nhận đủ hồ sơ thanh toán hợp lệ, bao gồm: </w:t>
      </w:r>
    </w:p>
    <w:p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Hóa đơn thuế Giá trị gia tăng hợp lệ;</w:t>
      </w:r>
    </w:p>
    <w:p w:rsidR="00D96D9D"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Giấy đề nghị thanh toán của Bên B (bản chính);</w:t>
      </w:r>
    </w:p>
    <w:p w:rsidR="00D96D9D" w:rsidRDefault="00D96D9D" w:rsidP="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nghiệm thu chất lượng và tiến độ công việc (bản chính); </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xml:space="preserve">- Biên bản giao nhận các sản phẩm hợp đồng </w:t>
      </w:r>
      <w:bookmarkStart w:id="3" w:name="_Hlk232155992"/>
      <w:r>
        <w:rPr>
          <w:rFonts w:ascii="Times New Roman" w:eastAsia="Times New Roman" w:hAnsi="Times New Roman" w:cs="Times New Roman"/>
          <w:color w:val="000000"/>
          <w:sz w:val="26"/>
          <w:szCs w:val="26"/>
          <w:highlight w:val="white"/>
        </w:rPr>
        <w:t xml:space="preserve">quy định tại Hạng mục 2 – Phụ lục 2 đính kèm Hợp đồng </w:t>
      </w:r>
      <w:bookmarkEnd w:id="3"/>
      <w:r>
        <w:rPr>
          <w:rFonts w:ascii="Times New Roman" w:eastAsia="Times New Roman" w:hAnsi="Times New Roman" w:cs="Times New Roman"/>
          <w:color w:val="000000"/>
          <w:sz w:val="26"/>
          <w:szCs w:val="26"/>
          <w:highlight w:val="white"/>
        </w:rPr>
        <w:t>(bản chính);</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quyết toán giá trị thực hiện (bản chính);</w:t>
      </w:r>
    </w:p>
    <w:p w:rsidR="00C16B2B" w:rsidRDefault="00D96D9D">
      <w:pPr>
        <w:spacing w:before="120" w:after="120"/>
        <w:ind w:firstLine="72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 Biên bản phạt vi phạm hợp đồng (bản chính), (nếu có).</w:t>
      </w:r>
    </w:p>
    <w:p w:rsidR="00C16B2B" w:rsidRDefault="00D96D9D">
      <w:pPr>
        <w:spacing w:before="120" w:after="120"/>
        <w:ind w:hanging="90"/>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b/>
          <w:bCs/>
          <w:color w:val="000000"/>
          <w:sz w:val="26"/>
          <w:szCs w:val="26"/>
          <w:highlight w:val="white"/>
        </w:rPr>
        <w:t>Điều 7. Bảo lãnh hợp đồng (Không áp dụng)</w:t>
      </w:r>
    </w:p>
    <w:p w:rsidR="00C16B2B" w:rsidRDefault="00D96D9D">
      <w:pPr>
        <w:spacing w:before="120" w:after="120"/>
        <w:ind w:hanging="9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highlight w:val="white"/>
        </w:rPr>
        <w:t>Điều</w:t>
      </w:r>
      <w:r>
        <w:rPr>
          <w:rFonts w:ascii="Times New Roman" w:eastAsia="Times New Roman" w:hAnsi="Times New Roman" w:cs="Times New Roman"/>
          <w:b/>
          <w:bCs/>
          <w:color w:val="000000"/>
          <w:sz w:val="26"/>
          <w:szCs w:val="26"/>
        </w:rPr>
        <w:t xml:space="preserve"> 8. Quyền và nghĩa vụ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8.1 Quyền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Nhận sản phẩm do Bên B giao đúng số lượng và chất lượng yêu cầu.</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Mọi sản phẩm, tài liệu, dữ liệu, báo cáo, quy trình, quy chế được hình thành từ việc thực hiện Hợp đồng thuộc quyền sở hữu duy nhất của Bên A kể từ thời điểm Bên A thanh toán đầy đủ cho Bên B. Bên B không được chuyển giao hoặc cung cấp cho bên thứ ba nếu không có chấp thuận bằng văn bản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Giám sát, kiểm tra, đôn đốc và có quyền yêu cầu Bên B sửa chữa những sai sót hoặc bổ sung, thay đổi những vấn đề không phù hợp với yêu cầu.</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8.2 Nghĩa vụ của Bên 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Cung cấp hồ sơ, tài liệu đầy đủ, kịp thời và chính xác theo yêu cầu của Bên B, tạo mọi điều kiện thuận lợi để Bên B thực hiện hoàn thành công việc.</w:t>
      </w:r>
      <w:bookmarkStart w:id="4" w:name="2862c780obwf" w:colFirst="0" w:colLast="0"/>
      <w:bookmarkEnd w:id="4"/>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A đảm bảo các điều kiện và cử cán bộ kỹ thuật phụ trách thường xuyên giám sát và phối hợp với Bên B trong quá trình thực hiện Hợp đồng.</w:t>
      </w:r>
      <w:bookmarkStart w:id="5" w:name="ny0d35fp35pl" w:colFirst="0" w:colLast="0"/>
      <w:bookmarkEnd w:id="5"/>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Cùng bên B nghiệm thu và thanh lý hợp đồng.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9. Quyền và nghĩa vụ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9.1 Quyền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Được Bên A thanh toán theo quy định tại Điều 6 của Hợp đồng.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Yêu cầu Bên A cung cấp những tài liệu, dữ liệu hoạt động cần thiết liên quan đến Hợp đồng trong phạm vi cho phép.</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9.2 Nghĩa vụ của Bên B:</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Khảo sát, thu thập thông tin, đánh giá và thực hiện công việc được quy định tại hợp đồng. </w:t>
      </w:r>
      <w:bookmarkStart w:id="6" w:name="x4xh2ec23e1" w:colFirst="0" w:colLast="0"/>
      <w:bookmarkEnd w:id="6"/>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Trình duyệt, giải trình, chỉnh sửa, bổ sung và hoàn thiện nội dung báo cáo theo yêu cầu của Bên A hoặc đơn vị thẩm định độc lập thứ 3 thực hiện quá trình thẩm định. </w:t>
      </w:r>
    </w:p>
    <w:p w:rsidR="00806176" w:rsidRDefault="00D96D9D">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00"/>
          <w:sz w:val="26"/>
          <w:szCs w:val="26"/>
        </w:rPr>
        <w:t>+ Bên B đảm bảo rằng tất cả các công việc của Bên B thực hiện theo Hợp đồng này phải phù hợp với yêu cầu của Bên A và các quy định về tiêu chuẩn chất lượng cũng như các văn bản pháp luật hiện hành của Nhà nước.</w:t>
      </w:r>
    </w:p>
    <w:p w:rsidR="00C16B2B"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CC"/>
          <w:sz w:val="26"/>
          <w:szCs w:val="26"/>
        </w:rPr>
        <w:t>+ Bên B chịu trách nhiệm về tính hợp pháp, tính phù hợp của các quy chế, quy trình do mình soạn thảo theo quy định pháp luật hiện hành tại thời điểm bàn giao.</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Tuân thủ mọi nội quy, quy định hiện hành của bên A tại Trụ sở của Bên A.</w:t>
      </w:r>
      <w:bookmarkStart w:id="7" w:name="daen7q8o9erx" w:colFirst="0" w:colLast="0"/>
      <w:bookmarkEnd w:id="7"/>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Bảo mật các thông tin hồ sơ, tài liệu liên quan đến Hợp đồng. Không được phép cung cấp kết quả, báo cáo, sản phẩm của hợp đồng cho bất kỳ cá nhân, tổ chức nào khi chưa có sự đồng ý của Bên A, trừ trường hợp theo yêu cầu quy định Pháp luật hoặc yêu cầu của cơ quan chức năng Nhà nước có thẩm quyền thì Bên B phải thông báo bằng văn bản cho Bên A được biết trước khi cung cấp.</w:t>
      </w:r>
      <w:bookmarkStart w:id="8" w:name="cvv8b92po93g" w:colFirst="0" w:colLast="0"/>
      <w:bookmarkEnd w:id="8"/>
    </w:p>
    <w:p w:rsidR="00806176" w:rsidRDefault="00806176">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CC"/>
          <w:sz w:val="26"/>
          <w:szCs w:val="26"/>
        </w:rPr>
        <w:t>Trong thời hạn từ 06 (sáu) đến 12 (mười hai) tháng kể từ ngày nghiệm thu, Bên B có trách nhiệm hỗ trợ áp dụng, giải thích, làm rõ và hướng dẫn triển khai các nội dung chuyên môn của sản phẩm đã bàn giao theo yêu cầu hợp lý của Bên A mà không phát sinh chi phí.</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Xuất hoá đơn tài chính theo quy định cho Bên A.</w:t>
      </w:r>
    </w:p>
    <w:p w:rsidR="00C16B2B" w:rsidRDefault="00D96D9D">
      <w:pPr>
        <w:spacing w:before="120" w:after="120"/>
        <w:jc w:val="both"/>
        <w:rPr>
          <w:rFonts w:ascii="Times New Roman" w:eastAsia="Times New Roman" w:hAnsi="Times New Roman" w:cs="Times New Roman"/>
          <w:b/>
          <w:bCs/>
          <w:color w:val="000000"/>
          <w:sz w:val="26"/>
          <w:szCs w:val="26"/>
        </w:rPr>
      </w:pPr>
      <w:bookmarkStart w:id="9" w:name="k7znusbveq71" w:colFirst="0" w:colLast="0"/>
      <w:bookmarkEnd w:id="9"/>
      <w:r>
        <w:rPr>
          <w:rFonts w:ascii="Times New Roman" w:eastAsia="Times New Roman" w:hAnsi="Times New Roman" w:cs="Times New Roman"/>
          <w:b/>
          <w:bCs/>
          <w:color w:val="000000"/>
          <w:sz w:val="26"/>
          <w:szCs w:val="26"/>
        </w:rPr>
        <w:t>Điều 10. Phạt vi phạm hợp đồng</w:t>
      </w:r>
    </w:p>
    <w:p w:rsidR="00EE3EA7" w:rsidRPr="00B82359" w:rsidRDefault="00D96D9D"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
          <w:bCs/>
          <w:color w:val="000000"/>
          <w:sz w:val="26"/>
          <w:szCs w:val="26"/>
        </w:rPr>
        <w:tab/>
      </w:r>
      <w:r>
        <w:rPr>
          <w:rFonts w:ascii="Times New Roman" w:eastAsia="Times New Roman" w:hAnsi="Times New Roman" w:cs="Times New Roman"/>
          <w:bCs/>
          <w:color w:val="0000CC"/>
          <w:sz w:val="26"/>
          <w:szCs w:val="26"/>
        </w:rPr>
        <w:t>10.1. Đối với Bên A</w:t>
      </w:r>
    </w:p>
    <w:p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Trường hợp trong thời hạn thực hiện Hợp Đồng hoặc thời gian được gia hạn (nếu có), Bên A đơn phương chấm dứt Hợp Đồng không thuộc các trường hợp được phép theo Hợp Đồng hoặc pháp luật, và không được Bên B chấp thuận bằng văn bản, thì Bên A phải chịu khoản phạt vi phạm tương đương 8% giá trị Hợp Đồng và bồi thường toàn bộ thiệt hại thực tế, hợp lý phát sinh cho Bên B (nếu có).</w:t>
      </w:r>
    </w:p>
    <w:p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b/>
        <w:t>10.2. Đối với Bên B</w:t>
      </w:r>
    </w:p>
    <w:p w:rsidR="00EE3EA7" w:rsidRPr="00B82359" w:rsidRDefault="00EE3EA7" w:rsidP="00EE3EA7">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a) Trường hợp Bên B không thực hiện dịch vụ theo yêu cầu của Hợp Đồng hoặc vi phạm bất kỳ nghĩa vụ nào theo Hợp Đồng mà không khắc phục trong thời hạn do Bên A thông báo bằng văn bản, Bên A có quyền đơn phương chấm dứt Hợp Đồng mà không phải chịu bất kỳ trách nhiệm hay khoản bồi thường nào phát sinh từ việc chấm dứt Hợp Đồng. Đồng thời, Bên B phải chịu khoản phạt vi phạm tương đương 8% giá trị Hợp Đồng và bồi thường toàn bộ thiệt hại thực tế, hợp lý phát sinh cho Bên A (nếu có).</w:t>
      </w:r>
    </w:p>
    <w:p w:rsidR="00EE3EA7" w:rsidRPr="00B82359" w:rsidRDefault="00EE3EA7" w:rsidP="00EE3EA7">
      <w:pPr>
        <w:spacing w:before="120" w:after="1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Bên A có quyền khấu trừ toàn bộ hoặc một phần khoản tiền phạt vi phạm, tiền bồi thường thiệt hại và các khoản phải thu khác của Bên B từ bất kỳ khoản thanh toán nào mà Bên A phải thanh toán cho Bên B theo Hợp Đồng.</w:t>
      </w:r>
    </w:p>
    <w:p w:rsidR="00EE3EA7" w:rsidRPr="00806176" w:rsidRDefault="00EE3EA7" w:rsidP="00806176">
      <w:pPr>
        <w:spacing w:before="120" w:after="120"/>
        <w:ind w:firstLine="720"/>
        <w:jc w:val="both"/>
        <w:rPr>
          <w:rFonts w:ascii="Times New Roman" w:eastAsia="Times New Roman" w:hAnsi="Times New Roman" w:cs="Times New Roman"/>
          <w:bCs/>
          <w:color w:val="0000CC"/>
          <w:sz w:val="26"/>
          <w:szCs w:val="26"/>
        </w:rPr>
      </w:pPr>
      <w:r>
        <w:rPr>
          <w:rFonts w:ascii="Times New Roman" w:eastAsia="Times New Roman" w:hAnsi="Times New Roman" w:cs="Times New Roman"/>
          <w:bCs/>
          <w:color w:val="0000CC"/>
          <w:sz w:val="26"/>
          <w:szCs w:val="26"/>
        </w:rPr>
        <w:t>b) Bên B chậm tiến độ thực hiện công việc sẽ bị phạt 0,1% giá trị hợp đồng cho mỗi ngày chậm nhưng tổng mức phạt không vượt quá 8% giá trị phần nghĩa vụ bị vi phạm theo quy định pháp luật.</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11. Điều khoản Bất khả kháng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Không Bên nào phải chịu trách nhiệm bồi thường cho Bên kia khi không thể hoàn thành toàn bộ hay một phần trách nhiệm của mình, hay bị ngăn cản, bị trì hoãn trong việc thực hiện nghĩa vụ vì lý do thiên tai (bão lụt, núi lửa, động đất...) chiến tranh, bế quan toả cảng bởi lực lượng thù địch, nổi loạn, đình công tại nhà máy...mà không tiên liệu được và ngoài tầm kiểm soát của mình.</w:t>
      </w:r>
      <w:bookmarkStart w:id="10" w:name="8qrjpg3m5wir" w:colFirst="0" w:colLast="0"/>
      <w:bookmarkEnd w:id="10"/>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Khi tình trạng bất khả kháng xảy ra, Bên gặp bất khả kháng sẽ phải thông báo cho Bên kia bằng văn bản (qua fax hoặc phương tiện tương đương) trong vòng 48 giờ kể từ khi xảy ra tình trạng bất khả kháng.</w:t>
      </w:r>
      <w:bookmarkStart w:id="11" w:name="ap13jcg0mdpj" w:colFirst="0" w:colLast="0"/>
      <w:bookmarkEnd w:id="11"/>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Bên gặp bất khả kháng sẽ phải tiếp tục thực hiện trách nhiệm của mình khi bất khả kháng kết thúc.</w:t>
      </w:r>
      <w:bookmarkStart w:id="12" w:name="4bmgko7x8lai" w:colFirst="0" w:colLast="0"/>
      <w:bookmarkEnd w:id="12"/>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Nếu tình trạng bất khả kháng tiếp diễn quá 05 ngày, mỗi Bên tuỳ theo sự lựa chọn của mình, có thể quyết định tiếp tục hoặc ngừng thực hiện Hợp đồng. Trong trường hợp này, Bên kia sẽ không có quyền khiếu nại đòi bồi thường.</w:t>
      </w:r>
    </w:p>
    <w:p w:rsidR="00C16B2B" w:rsidRDefault="00D96D9D">
      <w:pPr>
        <w:spacing w:before="120" w:after="120"/>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Điều 12. Điều khoản chung</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12.1. Hai bên cam kết thực hiện đầy đủ các điều khoản đã thoả thuận trong Hợp đồng và tạo mọi điều kiện để Hợp đồng hoàn thành đúng tiến độ và đảm bảo chất lượng. Bên nào tự huỷ bỏ hoặc vi phạm hợp đồng sẽ phải đền bù mọi phí tổn và thiệt hại cho Bên kia.</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12.2. Trong trường hợp xảy ra tranh chấp hợp đồng thì hai Bên cùng thương lượng giải quyết trên tinh thần tôn trọng quyền lợi của mỗi Bên. Trường hợp không đạt được thỏa thuận giữa các Bên, việc giải quyết tranh chấp thông qua hòa giải không thành, thì hai Bên sẽ giải quyết tại Toà án có thẩm quyền</w:t>
      </w:r>
      <w:r>
        <w:t xml:space="preserve"> </w:t>
      </w:r>
      <w:r>
        <w:rPr>
          <w:rFonts w:ascii="Times New Roman" w:eastAsia="Times New Roman" w:hAnsi="Times New Roman" w:cs="Times New Roman"/>
          <w:color w:val="0000CC"/>
          <w:sz w:val="26"/>
          <w:szCs w:val="26"/>
        </w:rPr>
        <w:t>tại Thành phố Hồ Chí Minh</w:t>
      </w:r>
      <w:r>
        <w:rPr>
          <w:rFonts w:ascii="Times New Roman" w:eastAsia="Times New Roman" w:hAnsi="Times New Roman" w:cs="Times New Roman"/>
          <w:color w:val="000000"/>
          <w:sz w:val="26"/>
          <w:szCs w:val="26"/>
        </w:rPr>
        <w:t>. Chi phí cho việc giải quyết tranh chấp do Toà án phán quyết, các Bên có nghĩa vụ phải tuân thủ.</w:t>
      </w:r>
    </w:p>
    <w:p w:rsidR="00806176" w:rsidRPr="00806176" w:rsidRDefault="00806176">
      <w:pPr>
        <w:spacing w:before="120" w:after="120"/>
        <w:ind w:firstLine="709"/>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12.3. Bên B cam kết bảo mật tuyệt đối mọi thông tin, dữ liệu, hồ sơ, quy trình nội bộ của Bên A trong thời hạn thực hiện Hợp đồng và sau khi Hợp đồng chấm dứt.</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12.4. Hợp đồng làm thành 04 bản (bằng tiếng Việt) có giá trị pháp lý như nhau, Bên A giữ 02 bản, Bên B giữ 02 bản;</w:t>
      </w:r>
    </w:p>
    <w:p w:rsidR="00C16B2B" w:rsidRDefault="00D96D9D">
      <w:pPr>
        <w:spacing w:before="120" w:after="120"/>
        <w:ind w:firstLine="709"/>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12.5. Hợp đồng này có hiệu lực kể từ ngày ký./.</w:t>
      </w:r>
    </w:p>
    <w:tbl>
      <w:tblPr>
        <w:tblStyle w:val="Style15"/>
        <w:tblW w:w="9606" w:type="dxa"/>
        <w:tblInd w:w="-108" w:type="dxa"/>
        <w:tblLayout w:type="fixed"/>
        <w:tblLook w:val="04A0" w:firstRow="1" w:lastRow="0" w:firstColumn="1" w:lastColumn="0" w:noHBand="0" w:noVBand="1"/>
      </w:tblPr>
      <w:tblGrid>
        <w:gridCol w:w="4928"/>
        <w:gridCol w:w="4678"/>
      </w:tblGrid>
      <w:tr w:rsidR="00C16B2B" w:rsidTr="00AD1473">
        <w:trPr>
          <w:trHeight w:val="2258"/>
        </w:trPr>
        <w:tc>
          <w:tcPr>
            <w:tcW w:w="4928" w:type="dxa"/>
          </w:tcPr>
          <w:p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B</w:t>
            </w: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Hoàng Hà</w:t>
            </w:r>
          </w:p>
        </w:tc>
        <w:tc>
          <w:tcPr>
            <w:tcW w:w="4678" w:type="dxa"/>
          </w:tcPr>
          <w:p w:rsidR="00C16B2B" w:rsidRDefault="00D96D9D" w:rsidP="00AD1473">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ĐẠI DIỆN BÊN A</w:t>
            </w:r>
          </w:p>
          <w:p w:rsid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TỔNG GIÁM ĐỐC</w:t>
            </w: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Default="00AD1473" w:rsidP="00AD1473">
            <w:pPr>
              <w:jc w:val="center"/>
              <w:rPr>
                <w:rFonts w:ascii="Times New Roman" w:eastAsia="Times New Roman" w:hAnsi="Times New Roman" w:cs="Times New Roman"/>
                <w:b/>
                <w:color w:val="000000"/>
                <w:sz w:val="26"/>
                <w:szCs w:val="26"/>
              </w:rPr>
            </w:pPr>
          </w:p>
          <w:p w:rsidR="00AD1473" w:rsidRPr="00AD1473" w:rsidRDefault="00AD1473" w:rsidP="00AD1473">
            <w:pPr>
              <w:jc w:val="center"/>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Nguyễn Quốc Thắng</w:t>
            </w:r>
          </w:p>
        </w:tc>
      </w:tr>
    </w:tbl>
    <w:p w:rsidR="00C16B2B" w:rsidRDefault="00D96D9D">
      <w:pPr>
        <w:jc w:val="center"/>
        <w:rPr>
          <w:rFonts w:ascii="Times New Roman" w:eastAsia="Times New Roman" w:hAnsi="Times New Roman" w:cs="Times New Roman"/>
          <w:b/>
          <w:bCs/>
          <w:color w:val="000000"/>
          <w:sz w:val="26"/>
          <w:szCs w:val="26"/>
        </w:rPr>
      </w:pPr>
      <w:r>
        <w:br w:type="page"/>
      </w:r>
      <w:r>
        <w:rPr>
          <w:rFonts w:ascii="Times New Roman" w:eastAsia="Times New Roman" w:hAnsi="Times New Roman" w:cs="Times New Roman"/>
          <w:b/>
          <w:bCs/>
          <w:color w:val="000000"/>
          <w:sz w:val="26"/>
          <w:szCs w:val="26"/>
        </w:rPr>
        <w:t>PHỤ LỤC 1</w:t>
      </w:r>
    </w:p>
    <w:p w:rsidR="00317BFC" w:rsidRDefault="00317BFC">
      <w:pPr>
        <w:jc w:val="center"/>
        <w:rPr>
          <w:rFonts w:ascii="Times New Roman" w:eastAsia="Times New Roman" w:hAnsi="Times New Roman" w:cs="Times New Roman"/>
          <w:color w:val="000000"/>
          <w:sz w:val="26"/>
          <w:szCs w:val="26"/>
        </w:rPr>
      </w:pP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PHẠM VI CÔNG VIỆC, YÊU CẦU KỸ THUẬT CỦA HỢP ĐỒNG</w:t>
      </w:r>
    </w:p>
    <w:p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Mục 1. Phạm vi công việc</w:t>
      </w:r>
    </w:p>
    <w:p w:rsidR="00272987" w:rsidRDefault="00BE61A3">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Nhà thầu thực hiện các nhóm công việc sau:</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1. </w:t>
      </w:r>
      <w:r>
        <w:rPr>
          <w:rFonts w:ascii="Times New Roman" w:eastAsia="Times New Roman" w:hAnsi="Times New Roman" w:cs="Times New Roman"/>
          <w:b/>
          <w:bCs/>
          <w:sz w:val="26"/>
          <w:szCs w:val="26"/>
        </w:rPr>
        <w:t>Rà soát và đánh giá hiện trạng toàn bộ hệ thống đầu tư xây dựng:</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tổng thể một số dự án điển hình trong 05 năm gần nhất;</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mô hình tổ chức Đầu tư Xây dựng hiện nay: Ban Quản lý dự án; các phòng kỹ thuật; các đơn vị thành viên;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Đánh giá năng lực </w:t>
      </w:r>
      <w:r>
        <w:rPr>
          <w:rFonts w:ascii="Times New Roman" w:eastAsia="Times New Roman" w:hAnsi="Times New Roman" w:cs="Times New Roman"/>
          <w:sz w:val="26"/>
          <w:szCs w:val="26"/>
        </w:rPr>
        <w:t>nhân sự theo chức danh (số lượng, chất lượng, chứng chỉ hành nghề/năng lực), phân tích Điểm mạnh – Điểm yếu – Cơ hội – Thách thức;</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Đánh giá các bất cập: chậm tiến độ; tăng tổng mức đầu tư; điều chỉnh thiết kế; vướng đấu thầu; vướng quyết toán; chồng chéo thẩm quyền.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2. Thiết kế mô hình quản </w:t>
      </w:r>
      <w:r>
        <w:rPr>
          <w:rFonts w:ascii="Times New Roman" w:eastAsia="Times New Roman" w:hAnsi="Times New Roman" w:cs="Times New Roman"/>
          <w:b/>
          <w:bCs/>
          <w:sz w:val="26"/>
          <w:szCs w:val="26"/>
        </w:rPr>
        <w:t>trị đầu tư xây dựng mới cho VICEM Hà Tiên: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tích, đề xuất tối thiểu 03 phương án tổ chức kèm ưu, nhược điểm, khung tiêu chí và bảng so sánh; ưu tiên tận dụng nhân lực hiện hữu; khuyến nghị phương 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Sơ đồ tổ chức; Ma trận chức năng; Ma trận phân công trách nhiệm (Thực hiện – Phê duyệt – Tư vấn – Thông báo).</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Chuẩn hóa toàn bộ quy trình Đầu tư Xây dựng (giai đoạn chuẩn bị đầu tư, thực hiện, kết thúc):</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Bộ quy trình vận hành chuẩn Đầu tư Xây dựng; quy trình theo định hướng Tiêu chuẩn Quản lý Quốc tế (ISO); sơ đồ luồng công việc điện tử.</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Xây dựng hệ thống phân cấp, phân quyền: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Xây dựng ma trận </w:t>
      </w:r>
      <w:r>
        <w:rPr>
          <w:rFonts w:ascii="Times New Roman" w:eastAsia="Times New Roman" w:hAnsi="Times New Roman" w:cs="Times New Roman"/>
          <w:sz w:val="26"/>
          <w:szCs w:val="26"/>
        </w:rPr>
        <w:t>thẩm quyền (chủ trương đầu tư; phê duyệt dự án; điều chỉnh Tổng mức đầu tư; chỉ định thầu; quyết toán...) phân định rõ giữa các cấp (Tổng giám đốc, Hội đồng quản trị, VICEM);</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Kết quả: tránh vượt thẩm quyền; giảm thời gian trình ký; đồng bộ với Điều lệ VICEM và Quy chế Đầu tư Xây dựng của </w:t>
      </w:r>
      <w:r>
        <w:rPr>
          <w:rFonts w:ascii="Times New Roman" w:eastAsia="Times New Roman" w:hAnsi="Times New Roman" w:cs="Times New Roman"/>
          <w:sz w:val="26"/>
          <w:szCs w:val="26"/>
        </w:rPr>
        <w:t>VICEM; tăng tính chủ động, giảm phụ thuộc Tổng công ty VICEM.</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Xây dựng hệ thống biểu mẫu chuẩn kèm theo các quy chế, quy trình.</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Xây dựng hệ thống chỉ số đánh giá hiệu suất chính trong quản lý dự 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Tiến độ: Chỉ số hiệu suất tiến độ; tỷ lệ hoàn thành kế hoạch. Chi phí: Chỉ số hiệu suất chi phí; tỷ lệ vượt Tổng mức đầu tư. Chất lượng:</w:t>
      </w:r>
      <w:r>
        <w:rPr>
          <w:rFonts w:ascii="Times New Roman" w:eastAsia="Times New Roman" w:hAnsi="Times New Roman" w:cs="Times New Roman"/>
          <w:sz w:val="26"/>
          <w:szCs w:val="26"/>
        </w:rPr>
        <w:t xml:space="preserve"> số lỗi nghiệm thu; số sự cố. Hiệu quả đầu tư: Giá trị hiện tại ròng; Tỷ suất hoàn vốn nội bộ; thời gian hoàn vốn.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7. Xây dựng hệ thống quản trị rủi ro Đầu tư Xây dựng:</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Lập Sổ đăng ký rủi ro cho các nhóm: pháp lý; thiết kế; đấu thầu; thi công; môi trường; hợp đồng; thanh, quyết toán;</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Sản phẩm: Sổ tay quả</w:t>
      </w:r>
      <w:r>
        <w:rPr>
          <w:rFonts w:ascii="Times New Roman" w:eastAsia="Times New Roman" w:hAnsi="Times New Roman" w:cs="Times New Roman"/>
          <w:sz w:val="26"/>
          <w:szCs w:val="26"/>
        </w:rPr>
        <w:t>n lý rủi ro dự án; Ma trận rủi ro toàn công ty.</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8. Chuyển đổi số hoạt động Đầu tư Xây dựng:</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Định hướng Hệ thống Thông tin Quản lý Dự án (Hệ thống thông tin quản lý dự án); quản lý hồ sơ điện tử; nhật ký công trình điện tử; bảng theo dõi tổng quan cho lãnh đạo; Mô hình Thông tin Công trình đối với dự án lớn; tích hợp Hệ thống Hoạch định Nguồn lực Doanh nghiệp (nếu có);</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Việc triển khai số hóa chi tiết, đầu tư phần mềm thuộc phạm vi hợp đồng riêng, không thuộc phạm vi hợp đồng này.</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9. Xây dựng bộ quy chế nội bộ mới (08 quy chế):</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(1) Quy chế quản lý Đầu tư Xây dựng; (2) Quy chế quản lý chi phí đầu tư; (3) Quy chế đấu thầu; (4) Quy</w:t>
      </w:r>
      <w:r>
        <w:rPr>
          <w:rFonts w:ascii="Times New Roman" w:eastAsia="Times New Roman" w:hAnsi="Times New Roman" w:cs="Times New Roman"/>
          <w:sz w:val="26"/>
          <w:szCs w:val="26"/>
        </w:rPr>
        <w:t xml:space="preserve"> chế quản lý hợp đồng; (5) Quy chế nghiệm thu – bàn giao; (6) Quy chế quyết toán vốn đầu tư; (7) Quy định phân cấp, phân quyền Đầu tư Xây dựng; (8) Quy chế kiểm soát nội bộ dự án.</w:t>
      </w:r>
    </w:p>
    <w:p w:rsidR="00272987" w:rsidRDefault="00BE61A3">
      <w:pPr>
        <w:spacing w:before="120" w:after="60"/>
        <w:ind w:firstLine="414"/>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10. Đào tạo và chuyển giao:</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Đào tạo Hội đồng quản trị; Ban Tổng giám đốc; Ban Đầu tư Xây dựng; các nhà máy;</w:t>
      </w:r>
    </w:p>
    <w:p w:rsidR="00272987" w:rsidRDefault="00BE61A3" w:rsidP="00E048A9">
      <w:pPr>
        <w:spacing w:before="40" w:after="40"/>
        <w:ind w:left="284" w:firstLine="28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6"/>
          <w:szCs w:val="26"/>
        </w:rPr>
        <w:t xml:space="preserve"> Kèm: Sổ tay hướng dẫn; bộ tài liệu đào tạo; hỗ trợ áp dụng từ 06 đến 12 tháng.</w:t>
      </w:r>
    </w:p>
    <w:p w:rsidR="00272987" w:rsidRDefault="00BE61A3">
      <w:pPr>
        <w:spacing w:before="120" w:after="120"/>
        <w:ind w:firstLine="414"/>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Các công việc nêu trên được thực hiện trên cơ sở tuân thủ: Luật Xây dựng số 135/2025/QH15; Luật Đấu thầu số 22/2023/QH15 (đã được sửa đổi, bổ sung bởi Luật số 57/2024/QH15 và </w:t>
      </w:r>
      <w:r>
        <w:rPr>
          <w:rFonts w:ascii="Times New Roman" w:eastAsia="Times New Roman" w:hAnsi="Times New Roman" w:cs="Times New Roman"/>
          <w:sz w:val="26"/>
          <w:szCs w:val="26"/>
        </w:rPr>
        <w:t>Luật số 90/2025/QH15); Luật số 68/2025/QH15; các văn bản hướng dẫn, các quy định pháp luật và quy định quản trị của VICEM có liên quan.</w:t>
      </w:r>
    </w:p>
    <w:p w:rsidR="00C16B2B" w:rsidRDefault="00D96D9D" w:rsidP="002B6082">
      <w:pPr>
        <w:numPr>
          <w:ilvl w:val="0"/>
          <w:numId w:val="1"/>
        </w:numPr>
        <w:spacing w:before="20" w:after="20"/>
        <w:ind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Danh mục các hệ thống quy chế, quy trình quản lý dự án thuộc phạm vi của hợp đồng (Chưa bao gồm các quy trình dự kiến bổ sung mới):</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34/QT-QLDA — Quản lý dự án tổng thể</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35/QT-QLDA — Lựa chọn nhà thầu và ký kết hợp đồng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36/QT-QLDA — Quản lý chất lượng trong giai đoạn chuẩn bị đầu tư</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37/QT-QLDA — Quản lý thực hiện hợp đồng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16/QT-QLDA — Quản lý chất lượng trong hoạt động Đầu tư Xây dựng (khảo sát, thiết kế, thi công, nghiệm thu)</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17/QT-QLDA — Thanh, quyết toán hợp đồng Đầu tư Xây dựng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QT 18/QT-QLDA — Quyết toán dự án hoàn thành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QT 161/QT-QLDA — Số hóa và lưu trữ tài liệu</w:t>
      </w:r>
    </w:p>
    <w:p w:rsidR="00C16B2B" w:rsidRDefault="00D96D9D" w:rsidP="002B6082">
      <w:pPr>
        <w:numPr>
          <w:ilvl w:val="0"/>
          <w:numId w:val="1"/>
        </w:numPr>
        <w:spacing w:before="20" w:after="20"/>
        <w:ind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Danh mục các quy chế, quy trình dự kiến bổ sung, ban hành mới: </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Mô hình Thông tin Công trình và Môi trường Dữ liệu Chung</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giao, bảo hành và bảo trì công trình</w:t>
      </w:r>
    </w:p>
    <w:p w:rsidR="00C16B2B" w:rsidRDefault="00D96D9D" w:rsidP="002B6082">
      <w:pPr>
        <w:numPr>
          <w:ilvl w:val="0"/>
          <w:numId w:val="2"/>
        </w:numPr>
        <w:spacing w:before="20" w:after="2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sát, đánh giá và báo cáo dự án định kỳ</w:t>
      </w:r>
    </w:p>
    <w:p w:rsidR="00C16B2B" w:rsidRDefault="00D96D9D" w:rsidP="002B6082">
      <w:pPr>
        <w:numPr>
          <w:ilvl w:val="0"/>
          <w:numId w:val="2"/>
        </w:numPr>
        <w:spacing w:before="60" w:after="60"/>
        <w:ind w:left="1134" w:hanging="35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lý an toàn lao động và môi trường thi công</w:t>
      </w:r>
    </w:p>
    <w:p w:rsidR="00C16B2B" w:rsidRDefault="00D96D9D" w:rsidP="0075338D">
      <w:pPr>
        <w:spacing w:before="120" w:after="1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Mục </w:t>
      </w:r>
      <w:r w:rsidR="004F3E9C">
        <w:rPr>
          <w:rFonts w:ascii="Times New Roman" w:eastAsia="Times New Roman" w:hAnsi="Times New Roman" w:cs="Times New Roman"/>
          <w:b/>
          <w:bCs/>
          <w:color w:val="000000"/>
          <w:sz w:val="26"/>
          <w:szCs w:val="26"/>
        </w:rPr>
        <w:t>2</w:t>
      </w:r>
      <w:r>
        <w:rPr>
          <w:rFonts w:ascii="Times New Roman" w:eastAsia="Times New Roman" w:hAnsi="Times New Roman" w:cs="Times New Roman"/>
          <w:b/>
          <w:bCs/>
          <w:color w:val="000000"/>
          <w:sz w:val="26"/>
          <w:szCs w:val="26"/>
        </w:rPr>
        <w:t>. Yêu cầu về kỹ thuật</w:t>
      </w:r>
    </w:p>
    <w:p w:rsidR="00C16B2B" w:rsidRPr="00BB0ADA" w:rsidRDefault="008D15D2" w:rsidP="006270FC">
      <w:pPr>
        <w:spacing w:before="120" w:after="120"/>
        <w:ind w:firstLine="720"/>
        <w:jc w:val="both"/>
        <w:rPr>
          <w:rFonts w:ascii="Times New Roman" w:eastAsia="Times New Roman" w:hAnsi="Times New Roman" w:cs="Times New Roman"/>
          <w:color w:val="0000CC"/>
          <w:sz w:val="26"/>
          <w:szCs w:val="26"/>
        </w:rPr>
      </w:pPr>
      <w:r>
        <w:rPr>
          <w:rFonts w:ascii="Times New Roman" w:eastAsia="Times New Roman" w:hAnsi="Times New Roman" w:cs="Times New Roman"/>
          <w:color w:val="0000CC"/>
          <w:sz w:val="26"/>
          <w:szCs w:val="26"/>
        </w:rPr>
        <w:t>Thực hiện đầy đủ các nhóm công việc quy định tại Mục 1 Phụ lục này (rà soát, đánh giá hiện trạng; thiết kế mô hình quản trị Đầu tư Xây dựng mới; chuẩn hóa quy trình vận hành chuẩn; phân cấp, phân quyền; hệ thống biểu mẫu chuẩn; hệ thống chỉ số đánh giá hiệu suất chính; quản trị rủi ro; chuyển đổi số; bộ quy chế nội bộ mới; đào tạo, chuyển giao), bảo đảm tuân thủ và phù hợp với quy định pháp luật hiện hành và quy định quản trị của VICEM. Bao gồm nhưng không giới hạn các quy định pháp luật sau:</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Xây dựng 135/2025/QH15 ngày 10 tháng 12 năm 2025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Đấu thầu số 22/2023/QH15 (đã được sửa đổi, bổ sung bởi Luật số 57/2024/QH15 và Luật số 90/2025/QH15)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Luật số 68/2025/QH15 ngày 14 tháng 6 năm 2025 – Luật quản lý và đầu tư vốn nhà nước tại doanh nghiệp (nếu có) và các văn bản hướng dẫn Luật kèm theo;</w:t>
      </w:r>
    </w:p>
    <w:p w:rsidR="00C16B2B" w:rsidRDefault="00D96D9D" w:rsidP="002B6082">
      <w:pPr>
        <w:spacing w:before="20" w:after="20"/>
        <w:jc w:val="both"/>
        <w:rPr>
          <w:rFonts w:ascii="Times New Roman" w:eastAsia="Times New Roman" w:hAnsi="Times New Roman" w:cs="Times New Roman"/>
          <w:color w:val="000000"/>
          <w:sz w:val="26"/>
          <w:szCs w:val="26"/>
        </w:rPr>
        <w:sectPr w:rsidR="00C16B2B" w:rsidSect="008C7D39">
          <w:footerReference w:type="default" r:id="rId9"/>
          <w:pgSz w:w="11907" w:h="16840" w:code="9"/>
          <w:pgMar w:top="1077" w:right="1077" w:bottom="1077" w:left="1474" w:header="561" w:footer="244" w:gutter="0"/>
          <w:pgNumType w:start="1"/>
          <w:cols w:space="0"/>
          <w:titlePg/>
          <w:docGrid w:linePitch="326"/>
        </w:sectPr>
      </w:pPr>
      <w:r>
        <w:rPr>
          <w:rFonts w:ascii="Times New Roman" w:eastAsia="Times New Roman" w:hAnsi="Times New Roman" w:cs="Times New Roman"/>
          <w:color w:val="000000"/>
          <w:sz w:val="26"/>
          <w:szCs w:val="26"/>
        </w:rPr>
        <w:t>-  Các quy định pháp luật khác có liên quan.</w:t>
      </w:r>
    </w:p>
    <w:p w:rsidR="00C16B2B" w:rsidRDefault="00D96D9D">
      <w:pPr>
        <w:jc w:val="center"/>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PHỤ LỤC 2</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Đính kèm hợp đồng số: HĐ_013/CSS_CIC_2026</w:t>
      </w:r>
    </w:p>
    <w:p w:rsidR="00C16B2B" w:rsidRDefault="00D96D9D">
      <w:pPr>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 HOẠCH TRIỂN KHAI CÔNG VIỆC, THỰC HIỆN HỢP ĐỒNG</w:t>
      </w:r>
    </w:p>
    <w:p w:rsidR="00AD1473" w:rsidRDefault="00AD1473">
      <w:pPr>
        <w:rPr>
          <w:rFonts w:ascii="Times New Roman" w:eastAsia="Times New Roman" w:hAnsi="Times New Roman" w:cs="Times New Roman"/>
          <w:color w:val="000000"/>
          <w:sz w:val="26"/>
          <w:szCs w:val="26"/>
        </w:rPr>
      </w:pPr>
    </w:p>
    <w:p w:rsidR="00C16B2B" w:rsidRDefault="00D96D9D">
      <w:pP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Tổng thời gian thực hiện: </w:t>
      </w:r>
      <w:r w:rsidR="00BE61A3">
        <w:rPr>
          <w:rFonts w:ascii="Times New Roman" w:eastAsia="Times New Roman" w:hAnsi="Times New Roman" w:cs="Times New Roman"/>
          <w:color w:val="000000"/>
          <w:sz w:val="26"/>
          <w:szCs w:val="26"/>
        </w:rPr>
        <w:t>45</w:t>
      </w:r>
      <w:r>
        <w:rPr>
          <w:rFonts w:ascii="Times New Roman" w:eastAsia="Times New Roman" w:hAnsi="Times New Roman" w:cs="Times New Roman"/>
          <w:color w:val="000000"/>
          <w:sz w:val="26"/>
          <w:szCs w:val="26"/>
        </w:rPr>
        <w:t xml:space="preserve"> ngày.</w:t>
      </w:r>
    </w:p>
    <w:p w:rsidR="00AD1473" w:rsidRDefault="00AD1473">
      <w:pPr>
        <w:rPr>
          <w:rFonts w:ascii="Times New Roman" w:eastAsia="Times New Roman" w:hAnsi="Times New Roman" w:cs="Times New Roman"/>
          <w:color w:val="000000"/>
          <w:sz w:val="26"/>
          <w:szCs w:val="26"/>
        </w:rPr>
      </w:pPr>
    </w:p>
    <w:tbl>
      <w:tblPr>
        <w:tblStyle w:val="Style16"/>
        <w:tblW w:w="14953" w:type="dxa"/>
        <w:tblInd w:w="-1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55"/>
        <w:gridCol w:w="7004"/>
        <w:gridCol w:w="1583"/>
        <w:gridCol w:w="2286"/>
        <w:gridCol w:w="3025"/>
      </w:tblGrid>
      <w:tr w:rsidR="003432D4">
        <w:trPr>
          <w:tblHeader/>
        </w:trPr>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TT</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Giai đoạn triển khai</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Tiến độ</w:t>
            </w:r>
          </w:p>
        </w:tc>
        <w:tc>
          <w:tcPr>
            <w:tcW w:w="2286"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Phụ trách</w:t>
            </w:r>
          </w:p>
        </w:tc>
        <w:tc>
          <w:tcPr>
            <w:tcW w:w="302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Kết quả bàn giao</w:t>
            </w: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1: KHẢO SÁT, ĐÁNH GIÁ HIỆN TRẠNG VÀ THIẾT KẾ MÔ HÌNH QUẢN TRỊ Đầu tư Xây dựng</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1 – 20</w:t>
            </w:r>
          </w:p>
        </w:tc>
        <w:tc>
          <w:tcPr>
            <w:tcW w:w="2286"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Rà soát tài liệu; khảo sát, đánh giá hiện trạng: mô hình tổ chức Đầu tư Xây dựng (Ban Quản lý dự án, các phòng kỹ thuật, các đơn vị thành viên); năng lực nhân sự theo chức danh; một số dự án điển hình trong 05 năm; phân tích Điểm mạnh – Điểm yếu – Cơ hội – Thách thức; các bất cập (chậm tiến độ, tăng Tổng mức đầu tư, điều ch</w:t>
            </w:r>
            <w:r>
              <w:rPr>
                <w:rFonts w:ascii="Times New Roman" w:eastAsia="Times New Roman" w:hAnsi="Times New Roman" w:cs="Times New Roman"/>
                <w:color w:val="000000"/>
                <w:sz w:val="26"/>
                <w:szCs w:val="26"/>
              </w:rPr>
              <w:t>ỉnh thiết kế, vướng đấu thầu, vướng quyết toán, chồng chéo thẩm quyền).</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 – 10</w:t>
            </w:r>
          </w:p>
        </w:tc>
        <w:tc>
          <w:tcPr>
            <w:tcW w:w="2286"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bookmarkStart w:id="13" w:name="_Hlk232686436"/>
            <w:r>
              <w:rPr>
                <w:rFonts w:ascii="Times New Roman" w:eastAsia="Times New Roman" w:hAnsi="Times New Roman" w:cs="Times New Roman"/>
                <w:color w:val="000000"/>
                <w:sz w:val="26"/>
                <w:szCs w:val="26"/>
              </w:rPr>
              <w:t>+ Báo cáo khảo sát và đánh giá hiện trạng hệ thống Đầu tư Xây dựng (kèm phân tích Điểm mạnh – Điểm yếu – Cơ hội – Thách thức, đánh giá nhân sự theo chức danh, phân loại danh mục dự án</w:t>
            </w:r>
            <w:r>
              <w:rPr>
                <w:rFonts w:ascii="Times New Roman" w:eastAsia="Times New Roman" w:hAnsi="Times New Roman" w:cs="Times New Roman"/>
                <w:color w:val="000000"/>
                <w:sz w:val="26"/>
                <w:szCs w:val="26"/>
              </w:rPr>
              <w:t>);</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khoảng cách pháp lý;</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Báo cáo đề xuất mô hình tổ chức quản trị Đầu tư Xây dựng mới (kèm sơ đồ tổ chức, ma trận chức năng, ma trận phân công trách nhiệm (Thực hiện – Phê duyệt – Tư vấn – Thông báo)).</w:t>
            </w:r>
            <w:bookmarkEnd w:id="13"/>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Khảo sát thực địa.</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11</w:t>
            </w:r>
            <w:r>
              <w:rPr>
                <w:rFonts w:ascii="Times New Roman" w:eastAsia="Times New Roman" w:hAnsi="Times New Roman" w:cs="Times New Roman"/>
                <w:color w:val="000000"/>
                <w:sz w:val="26"/>
                <w:szCs w:val="26"/>
              </w:rPr>
              <w:t xml:space="preserve"> – 16</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1.3</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mô hình quản trị Đầu tư Xây dựng mới: phân tích tối thiểu 03 phương án tổ chức (khung tiêu chí, bảng so sánh, tham c</w:t>
            </w:r>
            <w:bookmarkStart w:id="14" w:name="_GoBack"/>
            <w:bookmarkEnd w:id="14"/>
            <w:r>
              <w:rPr>
                <w:rFonts w:ascii="Times New Roman" w:eastAsia="Times New Roman" w:hAnsi="Times New Roman" w:cs="Times New Roman"/>
                <w:color w:val="000000"/>
                <w:sz w:val="26"/>
                <w:szCs w:val="26"/>
              </w:rPr>
              <w:t>hiếu PVN/EVN/HUD/Hòa Phát), khuyến nghị phương án và lộ trình; tổng hợp, hoàn thiện Báo cáo Hạng mục 1.</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17</w:t>
            </w:r>
            <w:r>
              <w:rPr>
                <w:rFonts w:ascii="Times New Roman" w:eastAsia="Times New Roman" w:hAnsi="Times New Roman" w:cs="Times New Roman"/>
                <w:color w:val="000000"/>
                <w:sz w:val="26"/>
                <w:szCs w:val="26"/>
              </w:rPr>
              <w:t xml:space="preserve"> – 20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HẠNG MỤC 2: CHUẨN HÓA QUY</w:t>
            </w:r>
            <w:r>
              <w:rPr>
                <w:rFonts w:ascii="Times New Roman" w:eastAsia="Times New Roman" w:hAnsi="Times New Roman" w:cs="Times New Roman"/>
                <w:b/>
                <w:bCs/>
                <w:color w:val="000000"/>
                <w:sz w:val="26"/>
                <w:szCs w:val="26"/>
              </w:rPr>
              <w:t xml:space="preserve"> TRÌNH, QUY CHẾ, PHÂN CẤP, chỉ số đánh giá hiệu suất, QUẢN TRỊ RỦI RO, CHUYỂN ĐỔI SỐ VÀ ĐÀO TẠO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20</w:t>
            </w:r>
            <w:r>
              <w:rPr>
                <w:rFonts w:ascii="Times New Roman" w:eastAsia="Times New Roman" w:hAnsi="Times New Roman" w:cs="Times New Roman"/>
                <w:b/>
                <w:bCs/>
                <w:color w:val="000000"/>
                <w:sz w:val="26"/>
                <w:szCs w:val="26"/>
              </w:rPr>
              <w:t xml:space="preserve"> – 45</w:t>
            </w:r>
          </w:p>
        </w:tc>
        <w:tc>
          <w:tcPr>
            <w:tcW w:w="2286"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c>
          <w:tcPr>
            <w:tcW w:w="3025" w:type="dxa"/>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b/>
                <w:bCs/>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Chuẩn hóa toàn bộ quy trình quy trình vận hành chuẩn Đầu tư Xây dựng (giai đoạn chuẩn bị đầu tư, thực hiện, kết thúc) theo định hướng Tiêu chuẩn Quản lý Quốc tế (ISO), sơ đồ luồng công việc điện tử; xây dựng hệ thống biểu mẫu chuẩn.</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20-25</w:t>
            </w:r>
          </w:p>
        </w:tc>
        <w:tc>
          <w:tcPr>
            <w:tcW w:w="2286"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Nhà thầu phụ trách,</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VICEM Hà Tiên phối hợp</w:t>
            </w:r>
          </w:p>
        </w:tc>
        <w:tc>
          <w:tcPr>
            <w:tcW w:w="3025" w:type="dxa"/>
            <w:vMerge w:val="restart"/>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quy trình quy trình vận hành chuẩn Đầu tư Xây dựng (03 giai đoạn, định hướng ISO, sơ đồ luồng công việc điện tử) và hệ thống biểu mẫu chuẩn;</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phân cấp, phân quyền (ma trận thẩm quyền);</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08 quy chế nội bộ mới;</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chỉ số đánh giá hiệu suất quản lý dự án và hệ thống quản trị rủi ro (Sổ đăng ký rủi ro, Sổ tay rủi ro, Ma trận rủi ro);</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Lộ trình chuyển đổi số Đầu tư Xây dựng;</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Kế hoạch triển khai áp dụng 03 năm;</w:t>
            </w:r>
          </w:p>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Bộ tài liệu đào tạo, tập huấn.</w:t>
            </w: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2.2</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phân cấp, phân quyền: ma trận th</w:t>
            </w:r>
            <w:r>
              <w:rPr>
                <w:rFonts w:ascii="Times New Roman" w:eastAsia="Times New Roman" w:hAnsi="Times New Roman" w:cs="Times New Roman"/>
                <w:color w:val="000000"/>
                <w:sz w:val="26"/>
                <w:szCs w:val="26"/>
              </w:rPr>
              <w:t>ẩm quyền giữa các cấp; đồng bộ với Điều lệ và Quy chế Đầu tư Xây dựng của VICEM.</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25-30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2.3</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Soạn thảo 08 quy chế nội bộ mới (ưu tiên nhóm có rủi ro pháp lý cao).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31-35</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2.4</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hệ thống chỉ số đánh giá hiệu suất chính trong quản lý dự án và hệ thống quản trị rủi ro Đầu tư Xây dựng (Sổ đăng ký rủi ro, Sổ tay quản lý rủi ro, Ma trận rủi ro toàn công ty).</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36-38</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2.5</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Xây dựng lộ trình chuyển đổi số hoạt động Đầu tư Xây dựng.</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39-40</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2.6</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Lấy ý kiến VICEM Hà Tiên và hoàn thiện sản phẩm.</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41-42</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r w:rsidR="003432D4">
        <w:tc>
          <w:tcPr>
            <w:tcW w:w="1055"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2.7</w:t>
            </w:r>
          </w:p>
        </w:tc>
        <w:tc>
          <w:tcPr>
            <w:tcW w:w="7004" w:type="dxa"/>
            <w:shd w:val="clear" w:color="auto" w:fill="FFFFFF"/>
            <w:tcMar>
              <w:top w:w="80" w:type="dxa"/>
              <w:left w:w="120" w:type="dxa"/>
              <w:bottom w:w="80" w:type="dxa"/>
              <w:right w:w="120" w:type="dxa"/>
            </w:tcMar>
            <w:vAlign w:val="center"/>
          </w:tcPr>
          <w:p w:rsidR="003432D4" w:rsidRDefault="00BE61A3">
            <w:pPr>
              <w:spacing w:before="40" w:after="40"/>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Đào tạo, chuyển giao: 02 buổi đào tạo cho Hội đồng quản trị, Ban Tổng giám đốc, Ban Đầu tư Xây dựng và các nhà máy; bàn giao sổ tay hướng dẫn và bộ tài liệu đào tạo.</w:t>
            </w:r>
          </w:p>
        </w:tc>
        <w:tc>
          <w:tcPr>
            <w:tcW w:w="1583" w:type="dxa"/>
            <w:shd w:val="clear" w:color="auto" w:fill="FFFFFF"/>
            <w:tcMar>
              <w:top w:w="80" w:type="dxa"/>
              <w:left w:w="120" w:type="dxa"/>
              <w:bottom w:w="80" w:type="dxa"/>
              <w:right w:w="120" w:type="dxa"/>
            </w:tcMar>
            <w:vAlign w:val="center"/>
          </w:tcPr>
          <w:p w:rsidR="003432D4" w:rsidRDefault="00BE61A3">
            <w:pPr>
              <w:spacing w:before="40" w:after="40"/>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43-45</w:t>
            </w:r>
          </w:p>
        </w:tc>
        <w:tc>
          <w:tcPr>
            <w:tcW w:w="2286"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c>
          <w:tcPr>
            <w:tcW w:w="3025" w:type="dxa"/>
            <w:vMerge/>
            <w:shd w:val="clear" w:color="auto" w:fill="FFFFFF"/>
            <w:tcMar>
              <w:top w:w="80" w:type="dxa"/>
              <w:left w:w="120" w:type="dxa"/>
              <w:bottom w:w="80" w:type="dxa"/>
              <w:right w:w="120" w:type="dxa"/>
            </w:tcMar>
            <w:vAlign w:val="center"/>
          </w:tcPr>
          <w:p w:rsidR="003432D4" w:rsidRDefault="003432D4">
            <w:pPr>
              <w:spacing w:before="40" w:after="40"/>
              <w:jc w:val="both"/>
              <w:rPr>
                <w:rFonts w:ascii="Times New Roman" w:eastAsia="Times New Roman" w:hAnsi="Times New Roman" w:cs="Times New Roman"/>
                <w:color w:val="000000"/>
                <w:sz w:val="26"/>
                <w:szCs w:val="26"/>
              </w:rPr>
            </w:pPr>
          </w:p>
        </w:tc>
      </w:tr>
    </w:tbl>
    <w:p w:rsidR="00C16B2B" w:rsidRDefault="00C16B2B">
      <w:pPr>
        <w:jc w:val="both"/>
        <w:rPr>
          <w:rFonts w:ascii="Times New Roman" w:eastAsia="Times New Roman" w:hAnsi="Times New Roman" w:cs="Times New Roman"/>
          <w:color w:val="000000"/>
          <w:sz w:val="26"/>
          <w:szCs w:val="26"/>
        </w:rPr>
      </w:pPr>
    </w:p>
    <w:sectPr w:rsidR="00C16B2B">
      <w:pgSz w:w="16840" w:h="11907" w:orient="landscape"/>
      <w:pgMar w:top="850" w:right="850" w:bottom="850" w:left="1417" w:header="567" w:footer="2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43FB0" w:rsidRDefault="00D43FB0">
      <w:r>
        <w:separator/>
      </w:r>
    </w:p>
  </w:endnote>
  <w:endnote w:type="continuationSeparator" w:id="0">
    <w:p w:rsidR="00D43FB0" w:rsidRDefault="00D43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A6CFF7FB-0086-4C7B-99FA-32CCDC21C307}"/>
    <w:embedBold r:id="rId2" w:fontKey="{AF82B592-7AD8-4C2D-8FE6-36D3ED34DF1A}"/>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Segoe UI">
    <w:panose1 w:val="020B0502040204020203"/>
    <w:charset w:val="00"/>
    <w:family w:val="swiss"/>
    <w:pitch w:val="variable"/>
    <w:sig w:usb0="E4002EFF" w:usb1="C000E47F" w:usb2="00000009" w:usb3="00000000" w:csb0="000001FF" w:csb1="00000000"/>
    <w:embedRegular r:id="rId3" w:fontKey="{2267A30A-8B33-442E-8FFD-62CA5A9EB6BC}"/>
  </w:font>
  <w:font w:name="Georgia">
    <w:panose1 w:val="02040502050405020303"/>
    <w:charset w:val="00"/>
    <w:family w:val="roman"/>
    <w:pitch w:val="variable"/>
    <w:sig w:usb0="00000287" w:usb1="00000000" w:usb2="00000000" w:usb3="00000000" w:csb0="0000009F" w:csb1="00000000"/>
    <w:embedItalic r:id="rId4" w:fontKey="{19CA0AE6-C465-4560-A810-A90E2DDCAA72}"/>
  </w:font>
  <w:font w:name=".VnCopperplate Gothic">
    <w:altName w:val="Calibri"/>
    <w:charset w:val="00"/>
    <w:family w:val="auto"/>
    <w:pitch w:val="default"/>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869487"/>
    </w:sdtPr>
    <w:sdtEndPr>
      <w:rPr>
        <w:rFonts w:ascii="Times New Roman" w:hAnsi="Times New Roman" w:cs="Times New Roman"/>
        <w:sz w:val="26"/>
        <w:szCs w:val="26"/>
      </w:rPr>
    </w:sdtEndPr>
    <w:sdtContent>
      <w:p w:rsidR="00C16B2B" w:rsidRPr="00D96D9D" w:rsidRDefault="00D96D9D">
        <w:pPr>
          <w:pStyle w:val="Footer"/>
          <w:jc w:val="center"/>
          <w:rPr>
            <w:rFonts w:ascii="Times New Roman" w:hAnsi="Times New Roman" w:cs="Times New Roman"/>
            <w:sz w:val="26"/>
            <w:szCs w:val="26"/>
          </w:rPr>
        </w:pPr>
        <w:r w:rsidRPr="00D96D9D">
          <w:rPr>
            <w:rFonts w:ascii="Times New Roman" w:hAnsi="Times New Roman" w:cs="Times New Roman"/>
            <w:sz w:val="26"/>
            <w:szCs w:val="26"/>
          </w:rPr>
          <w:fldChar w:fldCharType="begin"/>
        </w:r>
        <w:r w:rsidRPr="00D96D9D">
          <w:rPr>
            <w:rFonts w:ascii="Times New Roman" w:hAnsi="Times New Roman" w:cs="Times New Roman"/>
            <w:sz w:val="26"/>
            <w:szCs w:val="26"/>
          </w:rPr>
          <w:instrText xml:space="preserve"> PAGE   \* MERGEFORMAT </w:instrText>
        </w:r>
        <w:r w:rsidRPr="00D96D9D">
          <w:rPr>
            <w:rFonts w:ascii="Times New Roman" w:hAnsi="Times New Roman" w:cs="Times New Roman"/>
            <w:sz w:val="26"/>
            <w:szCs w:val="26"/>
          </w:rPr>
          <w:fldChar w:fldCharType="separate"/>
        </w:r>
        <w:r w:rsidRPr="00D96D9D">
          <w:rPr>
            <w:rFonts w:ascii="Times New Roman" w:hAnsi="Times New Roman" w:cs="Times New Roman"/>
            <w:sz w:val="26"/>
            <w:szCs w:val="26"/>
          </w:rPr>
          <w:t>2</w:t>
        </w:r>
        <w:r w:rsidRPr="00D96D9D">
          <w:rPr>
            <w:rFonts w:ascii="Times New Roman" w:hAnsi="Times New Roman" w:cs="Times New Roman"/>
            <w:sz w:val="26"/>
            <w:szCs w:val="26"/>
          </w:rPr>
          <w:fldChar w:fldCharType="end"/>
        </w:r>
      </w:p>
    </w:sdtContent>
  </w:sdt>
  <w:p w:rsidR="00C16B2B" w:rsidRDefault="00C16B2B">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43FB0" w:rsidRDefault="00D43FB0">
      <w:r>
        <w:separator/>
      </w:r>
    </w:p>
  </w:footnote>
  <w:footnote w:type="continuationSeparator" w:id="0">
    <w:p w:rsidR="00D43FB0" w:rsidRDefault="00D43F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69E279F"/>
    <w:multiLevelType w:val="multilevel"/>
    <w:tmpl w:val="269E279F"/>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3ED64FC5"/>
    <w:multiLevelType w:val="hybridMultilevel"/>
    <w:tmpl w:val="FB48AEA2"/>
    <w:lvl w:ilvl="0" w:tplc="0409000D">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52EB0"/>
    <w:multiLevelType w:val="multilevel"/>
    <w:tmpl w:val="7BA52E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F5"/>
    <w:rsid w:val="000362AB"/>
    <w:rsid w:val="000541D3"/>
    <w:rsid w:val="000A2D52"/>
    <w:rsid w:val="0010490A"/>
    <w:rsid w:val="00105EDD"/>
    <w:rsid w:val="001E5F60"/>
    <w:rsid w:val="002016FB"/>
    <w:rsid w:val="00212E1B"/>
    <w:rsid w:val="00225700"/>
    <w:rsid w:val="00264BE7"/>
    <w:rsid w:val="00272987"/>
    <w:rsid w:val="002B6082"/>
    <w:rsid w:val="002D6F3B"/>
    <w:rsid w:val="00317BFC"/>
    <w:rsid w:val="003224F0"/>
    <w:rsid w:val="003432D4"/>
    <w:rsid w:val="003C7D80"/>
    <w:rsid w:val="003D7C50"/>
    <w:rsid w:val="003F312C"/>
    <w:rsid w:val="004529DB"/>
    <w:rsid w:val="004B197F"/>
    <w:rsid w:val="004F3E9C"/>
    <w:rsid w:val="00530A96"/>
    <w:rsid w:val="005407E5"/>
    <w:rsid w:val="005579D1"/>
    <w:rsid w:val="005E6E6B"/>
    <w:rsid w:val="006270FC"/>
    <w:rsid w:val="00637775"/>
    <w:rsid w:val="00642A31"/>
    <w:rsid w:val="006870EB"/>
    <w:rsid w:val="006F660A"/>
    <w:rsid w:val="00713335"/>
    <w:rsid w:val="0075338D"/>
    <w:rsid w:val="007761F4"/>
    <w:rsid w:val="0078064D"/>
    <w:rsid w:val="0078278B"/>
    <w:rsid w:val="007A39BF"/>
    <w:rsid w:val="007B2740"/>
    <w:rsid w:val="00806176"/>
    <w:rsid w:val="008462ED"/>
    <w:rsid w:val="00851F8A"/>
    <w:rsid w:val="008524B3"/>
    <w:rsid w:val="008C193C"/>
    <w:rsid w:val="008C7D39"/>
    <w:rsid w:val="008D15D2"/>
    <w:rsid w:val="00956ADA"/>
    <w:rsid w:val="00AC7326"/>
    <w:rsid w:val="00AD1473"/>
    <w:rsid w:val="00AD4AD1"/>
    <w:rsid w:val="00B25AF5"/>
    <w:rsid w:val="00B82359"/>
    <w:rsid w:val="00BB0ADA"/>
    <w:rsid w:val="00BE61A3"/>
    <w:rsid w:val="00C16B2B"/>
    <w:rsid w:val="00D12D2B"/>
    <w:rsid w:val="00D34C79"/>
    <w:rsid w:val="00D43FB0"/>
    <w:rsid w:val="00D96D9D"/>
    <w:rsid w:val="00DC307B"/>
    <w:rsid w:val="00E048A9"/>
    <w:rsid w:val="00E15857"/>
    <w:rsid w:val="00E27A73"/>
    <w:rsid w:val="00E5086B"/>
    <w:rsid w:val="00E511BA"/>
    <w:rsid w:val="00EA5809"/>
    <w:rsid w:val="00EE3EA7"/>
    <w:rsid w:val="00F41EB7"/>
    <w:rsid w:val="00F7352D"/>
    <w:rsid w:val="035A07C0"/>
    <w:rsid w:val="39870875"/>
    <w:rsid w:val="3EA955EB"/>
    <w:rsid w:val="580E2E04"/>
    <w:rsid w:val="630C6ECB"/>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D3CB275"/>
  <w15:docId w15:val="{CCEA43A2-D53A-486D-BA11-64DC545F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lang w:val="vi-VN" w:eastAsia="vi-V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sz w:val="24"/>
      <w:szCs w:val="24"/>
      <w:lang w:val="pt-BR"/>
    </w:rPr>
  </w:style>
  <w:style w:type="paragraph" w:styleId="Heading1">
    <w:name w:val="heading 1"/>
    <w:basedOn w:val="Normal"/>
    <w:next w:val="Normal"/>
    <w:uiPriority w:val="9"/>
    <w:qFormat/>
    <w:pPr>
      <w:keepNext/>
      <w:keepLines/>
      <w:spacing w:before="480"/>
      <w:outlineLvl w:val="0"/>
    </w:pPr>
    <w:rPr>
      <w:rFonts w:ascii="Courier New" w:eastAsia="Courier New" w:hAnsi="Courier New" w:cs="Courier New"/>
      <w:b/>
      <w:bCs/>
      <w:color w:val="365F91"/>
      <w:sz w:val="28"/>
      <w:szCs w:val="28"/>
    </w:rPr>
  </w:style>
  <w:style w:type="paragraph" w:styleId="Heading2">
    <w:name w:val="heading 2"/>
    <w:basedOn w:val="Normal"/>
    <w:next w:val="Normal"/>
    <w:uiPriority w:val="9"/>
    <w:semiHidden/>
    <w:unhideWhenUsed/>
    <w:qFormat/>
    <w:pPr>
      <w:keepNext/>
      <w:keepLines/>
      <w:spacing w:before="200"/>
      <w:outlineLvl w:val="1"/>
    </w:pPr>
    <w:rPr>
      <w:rFonts w:ascii="Courier New" w:eastAsia="Courier New" w:hAnsi="Courier New" w:cs="Courier New"/>
      <w:b/>
      <w:bCs/>
      <w:color w:val="4F81BD"/>
      <w:sz w:val="20"/>
      <w:szCs w:val="20"/>
    </w:rPr>
  </w:style>
  <w:style w:type="paragraph" w:styleId="Heading3">
    <w:name w:val="heading 3"/>
    <w:basedOn w:val="Normal"/>
    <w:next w:val="Normal"/>
    <w:uiPriority w:val="9"/>
    <w:semiHidden/>
    <w:unhideWhenUsed/>
    <w:qFormat/>
    <w:pPr>
      <w:keepNext/>
      <w:keepLines/>
      <w:spacing w:before="200"/>
      <w:outlineLvl w:val="2"/>
    </w:pPr>
    <w:rPr>
      <w:rFonts w:ascii="Courier New" w:eastAsia="Courier New" w:hAnsi="Courier New" w:cs="Courier New"/>
      <w:b/>
      <w:bCs/>
      <w:color w:val="4F81BD"/>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jc w:val="center"/>
      <w:outlineLvl w:val="4"/>
    </w:pPr>
    <w:rPr>
      <w:rFonts w:ascii="Noto Sans Symbols" w:eastAsia="Noto Sans Symbols" w:hAnsi="Noto Sans Symbols" w:cs="Noto Sans Symbols"/>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Segoe UI" w:hAnsi="Segoe UI" w:cs="Segoe UI"/>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uiPriority w:val="10"/>
    <w:qFormat/>
    <w:pPr>
      <w:jc w:val="center"/>
    </w:pPr>
    <w:rPr>
      <w:rFonts w:ascii=".VnCopperplate Gothic" w:eastAsia=".VnCopperplate Gothic" w:hAnsi=".VnCopperplate Gothic" w:cs=".VnCopperplate Gothic"/>
      <w:sz w:val="32"/>
      <w:szCs w:val="32"/>
    </w:rPr>
  </w:style>
  <w:style w:type="table" w:customStyle="1" w:styleId="TableNormal0">
    <w:name w:val="TableNormal"/>
    <w:qFormat/>
    <w:tblPr>
      <w:tblCellMar>
        <w:top w:w="100" w:type="dxa"/>
        <w:left w:w="100" w:type="dxa"/>
        <w:bottom w:w="100" w:type="dxa"/>
        <w:right w:w="100" w:type="dxa"/>
      </w:tblCellMar>
    </w:tblPr>
  </w:style>
  <w:style w:type="table" w:customStyle="1" w:styleId="Style12">
    <w:name w:val="_Style 12"/>
    <w:basedOn w:val="TableNormal0"/>
    <w:qFormat/>
    <w:tblPr>
      <w:tblCellMar>
        <w:top w:w="0" w:type="dxa"/>
        <w:left w:w="108" w:type="dxa"/>
        <w:bottom w:w="0" w:type="dxa"/>
        <w:right w:w="108" w:type="dxa"/>
      </w:tblCellMar>
    </w:tblPr>
  </w:style>
  <w:style w:type="table" w:customStyle="1" w:styleId="Style13">
    <w:name w:val="_Style 13"/>
    <w:basedOn w:val="TableNormal0"/>
    <w:qFormat/>
    <w:tblPr>
      <w:tblCellMar>
        <w:top w:w="0" w:type="dxa"/>
        <w:left w:w="108" w:type="dxa"/>
        <w:bottom w:w="0" w:type="dxa"/>
        <w:right w:w="108" w:type="dxa"/>
      </w:tblCellMar>
    </w:tblPr>
  </w:style>
  <w:style w:type="table" w:customStyle="1" w:styleId="Style14">
    <w:name w:val="_Style 14"/>
    <w:basedOn w:val="TableNormal0"/>
    <w:qFormat/>
    <w:tblPr>
      <w:tblCellMar>
        <w:top w:w="0" w:type="dxa"/>
        <w:left w:w="108" w:type="dxa"/>
        <w:bottom w:w="0" w:type="dxa"/>
        <w:right w:w="108" w:type="dxa"/>
      </w:tblCellMar>
    </w:tblPr>
  </w:style>
  <w:style w:type="table" w:customStyle="1" w:styleId="Style15">
    <w:name w:val="_Style 15"/>
    <w:basedOn w:val="TableNormal0"/>
    <w:qFormat/>
    <w:tblPr>
      <w:tblCellMar>
        <w:top w:w="0" w:type="dxa"/>
        <w:left w:w="108" w:type="dxa"/>
        <w:bottom w:w="0" w:type="dxa"/>
        <w:right w:w="108" w:type="dxa"/>
      </w:tblCellMar>
    </w:tblPr>
  </w:style>
  <w:style w:type="table" w:customStyle="1" w:styleId="Style16">
    <w:name w:val="_Style 16"/>
    <w:basedOn w:val="TableNormal0"/>
    <w:qFormat/>
    <w:tblPr>
      <w:tblCellMar>
        <w:top w:w="0" w:type="dxa"/>
        <w:left w:w="10" w:type="dxa"/>
        <w:bottom w:w="0" w:type="dxa"/>
        <w:right w:w="10" w:type="dxa"/>
      </w:tblCellMar>
    </w:tbl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99"/>
    <w:rsid w:val="00105E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B495B43-12E2-49E1-8CA2-AE48CE20AC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3155</Words>
  <Characters>17987</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Dương Đình Đăng</cp:lastModifiedBy>
  <cp:revision>4</cp:revision>
  <cp:lastPrinted>2026-06-18T07:49:00Z</cp:lastPrinted>
  <dcterms:created xsi:type="dcterms:W3CDTF">2026-06-18T07:45:00Z</dcterms:created>
  <dcterms:modified xsi:type="dcterms:W3CDTF">2026-06-18T08:04:00Z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eyJoZGlkIjoiNzQwNTlhZDA3Nzk2ZTBmMTE0NjY4OTI5ZTMwYmFhOTAifQ==</vt:lpwstr>
  </property>
  <property fmtid="{D5CDD505-2E9C-101B-9397-08002B2CF9AE}" pid="3" name="KSOProductBuildVer">
    <vt:lpwstr>1033-12.1.0.26880</vt:lpwstr>
  </property>
  <property fmtid="{D5CDD505-2E9C-101B-9397-08002B2CF9AE}" pid="4" name="ICV">
    <vt:lpwstr>1F3958CA65C14AF88C36C8E24DC09AA1_12</vt:lpwstr>
  </property>
</Properties>
</file>