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customXml/itemProps2.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eastAsia="Times New Roman" w:cs="Times New Roman"/>
          <w:b/>
          <w:bCs/>
        </w:rPr>
      </w:pPr>
      <w:r>
        <w:rPr>
          <w:rFonts w:ascii="Times New Roman" w:hAnsi="Times New Roman" w:eastAsia="Times New Roman" w:cs="Times New Roman"/>
          <w:b/>
          <w:bCs/>
        </w:rPr>
        <w:t xml:space="preserve">CỘNG HOÀ XÃ HỘI CHỦ NGHĨA VIỆT NAM</w:t>
      </w:r>
      <w:r>
        <w:rPr>
          <w:rFonts w:ascii="Times New Roman" w:hAnsi="Times New Roman" w:eastAsia="Times New Roman" w:cs="Times New Roman"/>
          <w:b/>
          <w:bCs/>
        </w:rPr>
      </w:r>
    </w:p>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Độc lập - Tự do - Hạnh phúc</w:t>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1995170</wp:posOffset>
                </wp:positionH>
                <wp:positionV relativeFrom="paragraph">
                  <wp:posOffset>7620</wp:posOffset>
                </wp:positionV>
                <wp:extent cx="1980000" cy="0"/>
                <wp:effectExtent l="0" t="0" r="0" b="0"/>
                <wp:wrapNone/>
                <wp:docPr id="1" name="Straight Connector 4"/>
                <wp:cNvGraphicFramePr/>
                <a:graphic xmlns:a="http://schemas.openxmlformats.org/drawingml/2006/main">
                  <a:graphicData uri="http://schemas.microsoft.com/office/word/2010/wordprocessingShape">
                    <wps:wsp>
                      <wps:cNvPr id="0" name=""/>
                      <wps:cNvSpPr/>
                      <wps:spPr bwMode="auto">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rot="0">
                        <a:prstTxWarp prst="textNoShape">
                          <a:avLst/>
                        </a:prstTxWarp>
                        <a:noAutofit/>
                      </wps:bodyPr>
                    </wps:wsp>
                  </a:graphicData>
                </a:graphic>
                <wp14:sizeRelH relativeFrom="margin">
                  <wp14:pctWidth>0</wp14:pctWidth>
                </wp14:sizeRelH>
              </wp:anchor>
            </w:drawing>
          </mc:Choice>
          <mc:Fallback>
            <w:pict>
              <v:line id="shape 0" o:spid="_x0000_s0" style="position:absolute;left:0;text-align:left;z-index:251659264;mso-wrap-distance-left:9.00pt;mso-wrap-distance-top:0.00pt;mso-wrap-distance-right:9.00pt;mso-wrap-distance-bottom:0.00pt;visibility:visible;" from="157.1pt,0.6pt" to="313.0pt,0.6pt" filled="f" strokecolor="#000000" strokeweight="0.75pt">
                <v:stroke dashstyle="solid"/>
              </v:line>
            </w:pict>
          </mc:Fallback>
        </mc:AlternateContent>
      </w:r>
      <w:r>
        <w:rPr>
          <w:rFonts w:ascii="Times New Roman" w:hAnsi="Times New Roman" w:eastAsia="Times New Roman" w:cs="Times New Roman"/>
          <w:b/>
          <w:bCs/>
          <w:sz w:val="28"/>
          <w:szCs w:val="28"/>
        </w:rPr>
      </w:r>
    </w:p>
    <w:p>
      <w:pPr>
        <w:pBdr/>
        <w:spacing/>
        <w:ind/>
        <w:jc w:val="center"/>
        <w:rPr>
          <w:rFonts w:ascii="Times New Roman" w:hAnsi="Times New Roman" w:eastAsia="Times New Roman" w:cs="Times New Roman"/>
          <w:b/>
          <w:bCs/>
          <w:sz w:val="28"/>
          <w:szCs w:val="28"/>
        </w:rPr>
      </w:pPr>
      <w:r/>
      <w:bookmarkStart w:id="0" w:name="_GoBack"/>
      <w:r/>
      <w:bookmarkEnd w:id="0"/>
      <w:r/>
      <w:r>
        <w:rPr>
          <w:rFonts w:ascii="Times New Roman" w:hAnsi="Times New Roman" w:eastAsia="Times New Roman" w:cs="Times New Roman"/>
          <w:b/>
          <w:bCs/>
          <w:sz w:val="28"/>
          <w:szCs w:val="28"/>
        </w:rPr>
      </w:r>
    </w:p>
    <w:p>
      <w:pPr>
        <w:pBdr/>
        <w:spacing/>
        <w:ind/>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HỢP ĐỒNG TƯ VẤN</w:t>
      </w:r>
      <w:r>
        <w:rPr>
          <w:rFonts w:ascii="Times New Roman" w:hAnsi="Times New Roman" w:eastAsia="Times New Roman" w:cs="Times New Roman"/>
          <w:sz w:val="28"/>
          <w:szCs w:val="28"/>
        </w:rPr>
      </w:r>
    </w:p>
    <w:p>
      <w:pPr>
        <w:pBdr/>
        <w:spacing w:before="120"/>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Số: HĐ_013/CSS_CIC_2026</w:t>
      </w:r>
      <w:r>
        <w:rPr>
          <w:rFonts w:ascii="Times New Roman" w:hAnsi="Times New Roman" w:eastAsia="Times New Roman" w:cs="Times New Roman"/>
          <w:sz w:val="26"/>
          <w:szCs w:val="26"/>
        </w:rPr>
      </w:r>
    </w:p>
    <w:p>
      <w:pPr>
        <w:pBdr/>
        <w:spacing w:before="120"/>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Rà soát, tái cấu trúc và chuẩn hóa hệ thống quản trị đầu tư xây dựng VICEM Hà Tiên theo quy định pháp luật hiện hành và quy định quản trị của VICEM</w:t>
      </w:r>
      <w:r>
        <w:rPr>
          <w:rFonts w:ascii="Times New Roman" w:hAnsi="Times New Roman" w:eastAsia="Times New Roman" w:cs="Times New Roman"/>
          <w:sz w:val="26"/>
          <w:szCs w:val="26"/>
        </w:rPr>
      </w:r>
    </w:p>
    <w:p>
      <w:pPr>
        <w:pBdr/>
        <w:spacing/>
        <w:ind/>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Căn cứ Bộ luật Dân sự số 91/2015/QH13 ngày 24 tháng 11 năm 2015 và các văn bản hướng dẫn thi hành; </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Căn cứ Luật Thương mại số 36/2005/QH11 ngày 14 tháng 6 năm 2005 và các văn bản hướng dẫn thi hành;</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Căn cứ Luật Doanh nghiệp số: 59/2020/QH14  ngày 17 tháng 6 năm 2020  có hiệu lực thi hành từ ngày 01/01/2021;</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Căn cứ Luật Xây dựng 135/2025/QH15 ngày 10 tháng 12 năm 2025 và các văn bản hướng dẫn Luật kèm theo;</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Căn cứ Quyết định số 2086/QĐ-HT1 ngày 05 thán</w:t>
      </w:r>
      <w:r>
        <w:rPr>
          <w:rFonts w:ascii="Times New Roman" w:hAnsi="Times New Roman" w:eastAsia="Times New Roman" w:cs="Times New Roman"/>
          <w:i/>
          <w:iCs/>
          <w:sz w:val="26"/>
          <w:szCs w:val="26"/>
        </w:rPr>
        <w:t xml:space="preserve">g 6 năm 2026 của Công ty Cổ phần Xi măng VICEM Hà Tiên về việc phê duyệt kết quả lựa chọn nhà cung cấp của gói mua sắm “Dịch vụ tư vấn rà soát, điều chỉnh quy chế đầu tư xây dựng của VICEM Hà Tiên”;</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i/>
          <w:iCs/>
          <w:sz w:val="26"/>
          <w:szCs w:val="26"/>
        </w:rPr>
        <w:t xml:space="preserve">Căn cứ vào nhu cầu và khả năng của mỗi bên.</w:t>
      </w:r>
      <w:r>
        <w:rPr>
          <w:rFonts w:ascii="Times New Roman" w:hAnsi="Times New Roman" w:eastAsia="Times New Roman" w:cs="Times New Roman"/>
          <w:sz w:val="26"/>
          <w:szCs w:val="26"/>
        </w:rPr>
      </w:r>
    </w:p>
    <w:p>
      <w:pPr>
        <w:pBdr/>
        <w:spacing w:after="240" w:before="24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Hôm nay, ngày</w:t>
      </w:r>
      <w:r>
        <w:rPr>
          <w:rFonts w:ascii="Times New Roman" w:hAnsi="Times New Roman" w:eastAsia="Times New Roman" w:cs="Times New Roman"/>
          <w:sz w:val="26"/>
          <w:szCs w:val="26"/>
        </w:rPr>
        <w:t xml:space="preserve">       tháng 6 năm 2026, chúng tôi gồm các Bên dưới đây:</w:t>
      </w:r>
      <w:r>
        <w:rPr>
          <w:rFonts w:ascii="Times New Roman" w:hAnsi="Times New Roman" w:eastAsia="Times New Roman" w:cs="Times New Roman"/>
          <w:sz w:val="26"/>
          <w:szCs w:val="26"/>
        </w:rPr>
      </w:r>
    </w:p>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BÊN A: CÔNG TY CỔ PHẦN XI MĂNG VICEM HÀ TIÊN</w:t>
      </w:r>
      <w:r>
        <w:rPr>
          <w:rFonts w:ascii="Times New Roman" w:hAnsi="Times New Roman" w:eastAsia="Times New Roman" w:cs="Times New Roman"/>
          <w:sz w:val="26"/>
          <w:szCs w:val="26"/>
        </w:rPr>
      </w:r>
    </w:p>
    <w:tbl>
      <w:tblPr>
        <w:tblStyle w:val="929"/>
        <w:tblInd w:w="-108" w:type="dxa"/>
        <w:tblW w:w="9180" w:type="dxa"/>
        <w:tblBorders/>
        <w:tblLayout w:type="fixed"/>
        <w:tblLook w:val="04A0" w:firstRow="1" w:lastRow="0" w:firstColumn="1" w:lastColumn="0" w:noHBand="0" w:noVBand="1"/>
      </w:tblPr>
      <w:tblGrid>
        <w:gridCol w:w="1668"/>
        <w:gridCol w:w="425"/>
        <w:gridCol w:w="3262"/>
        <w:gridCol w:w="3825"/>
      </w:tblGrid>
      <w:tr>
        <w:trPr/>
        <w:tc>
          <w:tcPr>
            <w:tcBorders/>
            <w:tcW w:w="1668"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Đại diện là</w:t>
            </w:r>
            <w:r>
              <w:rPr>
                <w:rFonts w:ascii="Times New Roman" w:hAnsi="Times New Roman" w:eastAsia="Times New Roman" w:cs="Times New Roman"/>
                <w:sz w:val="26"/>
                <w:szCs w:val="26"/>
              </w:rPr>
            </w:r>
          </w:p>
        </w:tc>
        <w:tc>
          <w:tcPr>
            <w:tcBorders/>
            <w:tcW w:w="425"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cW w:w="3262" w:type="dxa"/>
          </w:tcPr>
          <w:p>
            <w:pPr>
              <w:pBdr/>
              <w:spacing w:after="60" w:before="60"/>
              <w:ind w:left="-10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Ông Nguyễn Quốc Thắng</w:t>
            </w:r>
            <w:r>
              <w:rPr>
                <w:rFonts w:ascii="Times New Roman" w:hAnsi="Times New Roman" w:eastAsia="Times New Roman" w:cs="Times New Roman"/>
                <w:sz w:val="26"/>
                <w:szCs w:val="26"/>
              </w:rPr>
            </w:r>
          </w:p>
        </w:tc>
        <w:tc>
          <w:tcPr>
            <w:tcBorders/>
            <w:tcW w:w="3825"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vụ: Tổng Giám đốc</w:t>
            </w:r>
            <w:r>
              <w:rPr>
                <w:rFonts w:ascii="Times New Roman" w:hAnsi="Times New Roman" w:eastAsia="Times New Roman" w:cs="Times New Roman"/>
                <w:sz w:val="26"/>
                <w:szCs w:val="26"/>
              </w:rPr>
            </w:r>
          </w:p>
        </w:tc>
      </w:tr>
      <w:tr>
        <w:trPr/>
        <w:tc>
          <w:tcPr>
            <w:tcBorders/>
            <w:tcW w:w="1668"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Địa chỉ</w:t>
            </w:r>
            <w:r>
              <w:rPr>
                <w:rFonts w:ascii="Times New Roman" w:hAnsi="Times New Roman" w:eastAsia="Times New Roman" w:cs="Times New Roman"/>
                <w:sz w:val="26"/>
                <w:szCs w:val="26"/>
              </w:rPr>
            </w:r>
          </w:p>
        </w:tc>
        <w:tc>
          <w:tcPr>
            <w:tcBorders/>
            <w:tcW w:w="425"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gridSpan w:val="2"/>
            <w:tcBorders/>
            <w:tcW w:w="7087" w:type="dxa"/>
          </w:tcPr>
          <w:p>
            <w:pPr>
              <w:pBdr/>
              <w:spacing w:after="60" w:before="60"/>
              <w:ind w:left="-10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604 Võ Văn Kiệt, P</w:t>
            </w:r>
            <w:r>
              <w:rPr>
                <w:rFonts w:ascii="Times New Roman" w:hAnsi="Times New Roman" w:eastAsia="Times New Roman" w:cs="Times New Roman"/>
                <w:sz w:val="26"/>
                <w:szCs w:val="26"/>
              </w:rPr>
              <w:t xml:space="preserve">hường</w:t>
            </w:r>
            <w:r>
              <w:rPr>
                <w:rFonts w:ascii="Times New Roman" w:hAnsi="Times New Roman" w:eastAsia="Times New Roman" w:cs="Times New Roman"/>
                <w:sz w:val="26"/>
                <w:szCs w:val="26"/>
              </w:rPr>
              <w:t xml:space="preserve"> Cầu Ông Lãnh, </w:t>
            </w:r>
            <w:r>
              <w:rPr>
                <w:rFonts w:ascii="Times New Roman" w:hAnsi="Times New Roman" w:eastAsia="Times New Roman" w:cs="Times New Roman"/>
                <w:sz w:val="26"/>
                <w:szCs w:val="26"/>
              </w:rPr>
              <w:t xml:space="preserve">TP. </w:t>
            </w:r>
            <w:r>
              <w:rPr>
                <w:rFonts w:ascii="Times New Roman" w:hAnsi="Times New Roman" w:eastAsia="Times New Roman" w:cs="Times New Roman"/>
                <w:sz w:val="26"/>
                <w:szCs w:val="26"/>
              </w:rPr>
              <w:t xml:space="preserve">Hồ Chí Minh</w:t>
            </w:r>
            <w:r>
              <w:rPr>
                <w:rFonts w:ascii="Times New Roman" w:hAnsi="Times New Roman" w:eastAsia="Times New Roman" w:cs="Times New Roman"/>
                <w:sz w:val="26"/>
                <w:szCs w:val="26"/>
              </w:rPr>
            </w:r>
          </w:p>
        </w:tc>
      </w:tr>
      <w:tr>
        <w:trPr/>
        <w:tc>
          <w:tcPr>
            <w:tcBorders/>
            <w:tcW w:w="1668"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Điện thoại</w:t>
            </w:r>
            <w:r>
              <w:rPr>
                <w:rFonts w:ascii="Times New Roman" w:hAnsi="Times New Roman" w:eastAsia="Times New Roman" w:cs="Times New Roman"/>
                <w:sz w:val="26"/>
                <w:szCs w:val="26"/>
              </w:rPr>
            </w:r>
          </w:p>
        </w:tc>
        <w:tc>
          <w:tcPr>
            <w:tcBorders/>
            <w:tcW w:w="425"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gridSpan w:val="2"/>
            <w:tcBorders/>
            <w:tcW w:w="7087" w:type="dxa"/>
          </w:tcPr>
          <w:p>
            <w:pPr>
              <w:pBdr/>
              <w:spacing w:after="60" w:before="60"/>
              <w:ind w:left="-10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(028) 38 368 363</w:t>
            </w:r>
            <w:r>
              <w:rPr>
                <w:rFonts w:ascii="Times New Roman" w:hAnsi="Times New Roman" w:eastAsia="Times New Roman" w:cs="Times New Roman"/>
                <w:sz w:val="26"/>
                <w:szCs w:val="26"/>
              </w:rPr>
            </w:r>
          </w:p>
        </w:tc>
      </w:tr>
      <w:tr>
        <w:trPr/>
        <w:tc>
          <w:tcPr>
            <w:tcBorders/>
            <w:tcW w:w="1668"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số thuế</w:t>
            </w:r>
            <w:r>
              <w:rPr>
                <w:rFonts w:ascii="Times New Roman" w:hAnsi="Times New Roman" w:eastAsia="Times New Roman" w:cs="Times New Roman"/>
                <w:sz w:val="26"/>
                <w:szCs w:val="26"/>
              </w:rPr>
            </w:r>
          </w:p>
        </w:tc>
        <w:tc>
          <w:tcPr>
            <w:tcBorders/>
            <w:tcW w:w="425"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gridSpan w:val="2"/>
            <w:tcBorders/>
            <w:tcW w:w="7087" w:type="dxa"/>
          </w:tcPr>
          <w:p>
            <w:pPr>
              <w:pBdr/>
              <w:spacing w:after="60" w:before="60"/>
              <w:ind w:left="-105"/>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0301446422</w:t>
            </w:r>
            <w:r>
              <w:rPr>
                <w:rFonts w:ascii="Times New Roman" w:hAnsi="Times New Roman" w:eastAsia="Times New Roman" w:cs="Times New Roman"/>
                <w:sz w:val="26"/>
                <w:szCs w:val="26"/>
              </w:rPr>
            </w:r>
          </w:p>
        </w:tc>
      </w:tr>
    </w:tbl>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BÊN B: CÔNG TY CỔ PHẦN CÔNG NGHỆ VÀ TƯ VẤN CIC</w:t>
      </w:r>
      <w:r>
        <w:rPr>
          <w:rFonts w:ascii="Times New Roman" w:hAnsi="Times New Roman" w:eastAsia="Times New Roman" w:cs="Times New Roman"/>
          <w:sz w:val="26"/>
          <w:szCs w:val="26"/>
        </w:rPr>
      </w:r>
    </w:p>
    <w:tbl>
      <w:tblPr>
        <w:tblStyle w:val="930"/>
        <w:tblInd w:w="-108" w:type="dxa"/>
        <w:tblW w:w="9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668"/>
        <w:gridCol w:w="284"/>
        <w:gridCol w:w="3364"/>
        <w:gridCol w:w="3864"/>
      </w:tblGrid>
      <w:tr>
        <w:trPr/>
        <w:tc>
          <w:tcPr>
            <w:tcBorders>
              <w:top w:val="none" w:color="000000" w:sz="4" w:space="0"/>
              <w:left w:val="none" w:color="000000" w:sz="4" w:space="0"/>
              <w:bottom w:val="none" w:color="000000" w:sz="4" w:space="0"/>
              <w:right w:val="none" w:color="000000" w:sz="4" w:space="0"/>
            </w:tcBorders>
            <w:tcW w:w="1668" w:type="dxa"/>
            <w:vAlign w:val="center"/>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Đại diện là</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284" w:type="dxa"/>
            <w:vAlign w:val="center"/>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364"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Ông Nguyễn Hoàng Hà</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3864"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Chức vụ:  Tổng Giám đốc</w:t>
            </w:r>
            <w:r>
              <w:rPr>
                <w:rFonts w:ascii="Times New Roman" w:hAnsi="Times New Roman" w:eastAsia="Times New Roman" w:cs="Times New Roman"/>
                <w:sz w:val="26"/>
                <w:szCs w:val="26"/>
              </w:rPr>
            </w:r>
          </w:p>
        </w:tc>
      </w:tr>
      <w:tr>
        <w:trPr>
          <w:trHeight w:val="448"/>
        </w:trPr>
        <w:tc>
          <w:tcPr>
            <w:tcBorders>
              <w:top w:val="none" w:color="000000" w:sz="4" w:space="0"/>
              <w:left w:val="none" w:color="000000" w:sz="4" w:space="0"/>
              <w:bottom w:val="none" w:color="000000" w:sz="4" w:space="0"/>
              <w:right w:val="none" w:color="000000" w:sz="4" w:space="0"/>
            </w:tcBorders>
            <w:tcW w:w="1668" w:type="dxa"/>
            <w:vAlign w:val="center"/>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Địa chỉ</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284" w:type="dxa"/>
            <w:vAlign w:val="center"/>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gridSpan w:val="2"/>
            <w:tcBorders>
              <w:top w:val="none" w:color="000000" w:sz="4" w:space="0"/>
              <w:left w:val="none" w:color="000000" w:sz="4" w:space="0"/>
              <w:bottom w:val="none" w:color="000000" w:sz="4" w:space="0"/>
              <w:right w:val="none" w:color="000000" w:sz="4" w:space="0"/>
            </w:tcBorders>
            <w:tcW w:w="7228" w:type="dxa"/>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Tầng 4, Tòa nhà VG Building, số 235 Nguyễn Trãi, Phường Khương Đình, TP. Hà Nội</w:t>
            </w:r>
            <w:r>
              <w:rPr>
                <w:rFonts w:ascii="Times New Roman" w:hAnsi="Times New Roman" w:eastAsia="Times New Roman" w:cs="Times New Roman"/>
                <w:sz w:val="26"/>
                <w:szCs w:val="26"/>
              </w:rPr>
            </w:r>
          </w:p>
        </w:tc>
      </w:tr>
      <w:tr>
        <w:trPr>
          <w:trHeight w:val="100"/>
        </w:trPr>
        <w:tc>
          <w:tcPr>
            <w:tcBorders>
              <w:top w:val="none" w:color="000000" w:sz="4" w:space="0"/>
              <w:left w:val="none" w:color="000000" w:sz="4" w:space="0"/>
              <w:bottom w:val="none" w:color="000000" w:sz="4" w:space="0"/>
              <w:right w:val="none" w:color="000000" w:sz="4" w:space="0"/>
            </w:tcBorders>
            <w:tcW w:w="1668" w:type="dxa"/>
            <w:vAlign w:val="center"/>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Tài khoản số</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284" w:type="dxa"/>
            <w:vAlign w:val="center"/>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gridSpan w:val="2"/>
            <w:tcBorders>
              <w:top w:val="none" w:color="000000" w:sz="4" w:space="0"/>
              <w:left w:val="none" w:color="000000" w:sz="4" w:space="0"/>
              <w:bottom w:val="none" w:color="000000" w:sz="4" w:space="0"/>
              <w:right w:val="none" w:color="000000" w:sz="4" w:space="0"/>
            </w:tcBorders>
            <w:tcW w:w="7228" w:type="dxa"/>
            <w:vAlign w:val="center"/>
          </w:tcPr>
          <w:p>
            <w:pPr>
              <w:pBdr/>
              <w:tabs>
                <w:tab w:val="left" w:leader="none" w:pos="2160"/>
                <w:tab w:val="left" w:leader="none" w:pos="2520"/>
              </w:tabs>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1200014777 tại Ngân hàng TMCP đầu tư và phát triển Việt Nam (BIDV) - Chi nhánh Sở giao dịch 1</w:t>
            </w:r>
            <w:r>
              <w:rPr>
                <w:rFonts w:ascii="Times New Roman" w:hAnsi="Times New Roman" w:eastAsia="Times New Roman" w:cs="Times New Roman"/>
                <w:sz w:val="26"/>
                <w:szCs w:val="26"/>
              </w:rPr>
            </w:r>
          </w:p>
        </w:tc>
      </w:tr>
      <w:tr>
        <w:trPr>
          <w:trHeight w:val="100"/>
        </w:trPr>
        <w:tc>
          <w:tcPr>
            <w:tcBorders>
              <w:top w:val="none" w:color="000000" w:sz="4" w:space="0"/>
              <w:left w:val="none" w:color="000000" w:sz="4" w:space="0"/>
              <w:bottom w:val="none" w:color="000000" w:sz="4" w:space="0"/>
              <w:right w:val="none" w:color="000000" w:sz="4" w:space="0"/>
            </w:tcBorders>
            <w:tcW w:w="1668" w:type="dxa"/>
            <w:vAlign w:val="center"/>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Mã số thuế</w:t>
            </w:r>
            <w:r>
              <w:rPr>
                <w:rFonts w:ascii="Times New Roman" w:hAnsi="Times New Roman" w:eastAsia="Times New Roman" w:cs="Times New Roman"/>
                <w:sz w:val="26"/>
                <w:szCs w:val="26"/>
              </w:rPr>
            </w:r>
          </w:p>
        </w:tc>
        <w:tc>
          <w:tcPr>
            <w:tcBorders>
              <w:top w:val="none" w:color="000000" w:sz="4" w:space="0"/>
              <w:left w:val="none" w:color="000000" w:sz="4" w:space="0"/>
              <w:bottom w:val="none" w:color="000000" w:sz="4" w:space="0"/>
              <w:right w:val="none" w:color="000000" w:sz="4" w:space="0"/>
            </w:tcBorders>
            <w:tcW w:w="284" w:type="dxa"/>
            <w:vAlign w:val="center"/>
          </w:tcPr>
          <w:p>
            <w:pPr>
              <w:pBdr/>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p>
        </w:tc>
        <w:tc>
          <w:tcPr>
            <w:gridSpan w:val="2"/>
            <w:tcBorders>
              <w:top w:val="none" w:color="000000" w:sz="4" w:space="0"/>
              <w:left w:val="none" w:color="000000" w:sz="4" w:space="0"/>
              <w:bottom w:val="none" w:color="000000" w:sz="4" w:space="0"/>
              <w:right w:val="none" w:color="000000" w:sz="4" w:space="0"/>
            </w:tcBorders>
            <w:tcW w:w="7228" w:type="dxa"/>
            <w:vAlign w:val="center"/>
          </w:tcPr>
          <w:p>
            <w:pPr>
              <w:pBdr/>
              <w:tabs>
                <w:tab w:val="left" w:leader="none" w:pos="2160"/>
                <w:tab w:val="left" w:leader="none" w:pos="2520"/>
              </w:tabs>
              <w:spacing w:after="60" w:before="6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0100775353</w:t>
            </w:r>
            <w:r>
              <w:rPr>
                <w:rFonts w:ascii="Times New Roman" w:hAnsi="Times New Roman" w:eastAsia="Times New Roman" w:cs="Times New Roman"/>
                <w:sz w:val="26"/>
                <w:szCs w:val="26"/>
              </w:rPr>
            </w:r>
          </w:p>
        </w:tc>
      </w:tr>
    </w:tbl>
    <w:p>
      <w:pPr>
        <w:keepNext w:val="true"/>
        <w:pBdr/>
        <w:tabs>
          <w:tab w:val="left" w:leader="none" w:pos="709"/>
        </w:tabs>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Hai bên thỏa thuận ký kết hợp đồng với những điều khoản sau:</w:t>
      </w:r>
      <w:r>
        <w:rPr>
          <w:rFonts w:ascii="Times New Roman" w:hAnsi="Times New Roman" w:eastAsia="Times New Roman" w:cs="Times New Roman"/>
          <w:sz w:val="26"/>
          <w:szCs w:val="26"/>
        </w:rPr>
      </w:r>
    </w:p>
    <w:p>
      <w:pPr>
        <w:keepNext w:val="true"/>
        <w:pBdr/>
        <w:tabs>
          <w:tab w:val="left" w:leader="none" w:pos="709"/>
        </w:tabs>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1. Giải thích từ ngữ</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 </w:t>
      </w:r>
      <w:r>
        <w:rPr>
          <w:rFonts w:ascii="Times New Roman" w:hAnsi="Times New Roman" w:eastAsia="Times New Roman" w:cs="Times New Roman"/>
          <w:b/>
          <w:bCs/>
          <w:sz w:val="26"/>
          <w:szCs w:val="26"/>
        </w:rPr>
        <w:t xml:space="preserve">“Hợp đồng”</w:t>
      </w:r>
      <w:r>
        <w:rPr>
          <w:rFonts w:ascii="Times New Roman" w:hAnsi="Times New Roman" w:eastAsia="Times New Roman" w:cs="Times New Roman"/>
          <w:sz w:val="26"/>
          <w:szCs w:val="26"/>
        </w:rPr>
        <w:t xml:space="preserve"> là Hợp đồng này và các văn kiện, Hồ sơ Hợp đồng nêu tại Điều 2 của Hợp đồng;</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 </w:t>
      </w:r>
      <w:r>
        <w:rPr>
          <w:rFonts w:ascii="Times New Roman" w:hAnsi="Times New Roman" w:eastAsia="Times New Roman" w:cs="Times New Roman"/>
          <w:b/>
          <w:bCs/>
          <w:sz w:val="26"/>
          <w:szCs w:val="26"/>
        </w:rPr>
        <w:t xml:space="preserve">“Phụ lục Hợp đồng”</w:t>
      </w:r>
      <w:r>
        <w:rPr>
          <w:rFonts w:ascii="Times New Roman" w:hAnsi="Times New Roman" w:eastAsia="Times New Roman" w:cs="Times New Roman"/>
          <w:sz w:val="26"/>
          <w:szCs w:val="26"/>
        </w:rPr>
        <w:t xml:space="preserve">: Là văn bản sửa đổi hoặc bổ sung một hoặc nhiều nội dung của Hợp đồng và là bộ phận không tách rời của Hợp đồng;</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 </w:t>
      </w:r>
      <w:r>
        <w:rPr>
          <w:rFonts w:ascii="Times New Roman" w:hAnsi="Times New Roman" w:eastAsia="Times New Roman" w:cs="Times New Roman"/>
          <w:b/>
          <w:bCs/>
          <w:sz w:val="26"/>
          <w:szCs w:val="26"/>
        </w:rPr>
        <w:t xml:space="preserve">“Các bên” </w:t>
      </w:r>
      <w:r>
        <w:rPr>
          <w:rFonts w:ascii="Times New Roman" w:hAnsi="Times New Roman" w:eastAsia="Times New Roman" w:cs="Times New Roman"/>
          <w:sz w:val="26"/>
          <w:szCs w:val="26"/>
        </w:rPr>
        <w:t xml:space="preserve">hoặc</w:t>
      </w:r>
      <w:r>
        <w:rPr>
          <w:rFonts w:ascii="Times New Roman" w:hAnsi="Times New Roman" w:eastAsia="Times New Roman" w:cs="Times New Roman"/>
          <w:b/>
          <w:bCs/>
          <w:sz w:val="26"/>
          <w:szCs w:val="26"/>
        </w:rPr>
        <w:t xml:space="preserve"> “Bên A” </w:t>
      </w:r>
      <w:r>
        <w:rPr>
          <w:rFonts w:ascii="Times New Roman" w:hAnsi="Times New Roman" w:eastAsia="Times New Roman" w:cs="Times New Roman"/>
          <w:sz w:val="26"/>
          <w:szCs w:val="26"/>
        </w:rPr>
        <w:t xml:space="preserve">hoặc </w:t>
      </w:r>
      <w:r>
        <w:rPr>
          <w:rFonts w:ascii="Times New Roman" w:hAnsi="Times New Roman" w:eastAsia="Times New Roman" w:cs="Times New Roman"/>
          <w:b/>
          <w:bCs/>
          <w:sz w:val="26"/>
          <w:szCs w:val="26"/>
        </w:rPr>
        <w:t xml:space="preserve">“Bên B”:</w:t>
      </w:r>
      <w:r>
        <w:rPr>
          <w:rFonts w:ascii="Times New Roman" w:hAnsi="Times New Roman" w:eastAsia="Times New Roman" w:cs="Times New Roman"/>
          <w:b/>
          <w:bCs/>
          <w:sz w:val="26"/>
          <w:szCs w:val="26"/>
        </w:rPr>
        <w:t xml:space="preserve"> </w:t>
      </w:r>
      <w:r>
        <w:rPr>
          <w:rFonts w:ascii="Times New Roman" w:hAnsi="Times New Roman" w:eastAsia="Times New Roman" w:cs="Times New Roman"/>
          <w:sz w:val="26"/>
          <w:szCs w:val="26"/>
        </w:rPr>
        <w:t xml:space="preserve">Là các tổ chức, cá nhân có đầy đủ năng lực theo quy định của Pháp luật;</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1.4.</w:t>
      </w:r>
      <w:r>
        <w:rPr>
          <w:rFonts w:ascii="Times New Roman" w:hAnsi="Times New Roman" w:eastAsia="Times New Roman" w:cs="Times New Roman"/>
          <w:b/>
          <w:bCs/>
          <w:i/>
          <w:iCs/>
          <w:sz w:val="26"/>
          <w:szCs w:val="26"/>
        </w:rPr>
        <w:t xml:space="preserve"> </w:t>
      </w:r>
      <w:r>
        <w:rPr>
          <w:rFonts w:ascii="Times New Roman" w:hAnsi="Times New Roman" w:eastAsia="Times New Roman" w:cs="Times New Roman"/>
          <w:b/>
          <w:bCs/>
          <w:sz w:val="26"/>
          <w:szCs w:val="26"/>
        </w:rPr>
        <w:t xml:space="preserve">“Sự kiện bất khả kháng”</w:t>
      </w:r>
      <w:r>
        <w:rPr>
          <w:rFonts w:ascii="Times New Roman" w:hAnsi="Times New Roman" w:eastAsia="Times New Roman" w:cs="Times New Roman"/>
          <w:sz w:val="26"/>
          <w:szCs w:val="26"/>
        </w:rPr>
        <w:t xml:space="preserve"> là các sự kiện được phát sinh từ những nguyên nhân khách quan khác nhau vượt quá tầm kiểm soát và dự kiến của Các Bên, Các Bên không biết và không thể biế</w:t>
      </w:r>
      <w:r>
        <w:rPr>
          <w:rFonts w:ascii="Times New Roman" w:hAnsi="Times New Roman" w:eastAsia="Times New Roman" w:cs="Times New Roman"/>
          <w:sz w:val="26"/>
          <w:szCs w:val="26"/>
        </w:rPr>
        <w:t xml:space="preserve">t trước được sẽ xảy ra như: chiến tranh, bạo loạn, đình công, hỏa hoạn, thiên tai, lũ lụt, dịch bệnh, cách lý do kiểm dịch...;</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1.5.</w:t>
      </w:r>
      <w:r>
        <w:rPr>
          <w:rFonts w:ascii="Times New Roman" w:hAnsi="Times New Roman" w:eastAsia="Times New Roman" w:cs="Times New Roman"/>
          <w:b/>
          <w:bCs/>
          <w:i/>
          <w:iCs/>
          <w:sz w:val="26"/>
          <w:szCs w:val="26"/>
        </w:rPr>
        <w:t xml:space="preserve"> </w:t>
      </w:r>
      <w:r>
        <w:rPr>
          <w:rFonts w:ascii="Times New Roman" w:hAnsi="Times New Roman" w:eastAsia="Times New Roman" w:cs="Times New Roman"/>
          <w:b/>
          <w:bCs/>
          <w:sz w:val="26"/>
          <w:szCs w:val="26"/>
        </w:rPr>
        <w:t xml:space="preserve">“Ngày”</w:t>
      </w:r>
      <w:r>
        <w:rPr>
          <w:rFonts w:ascii="Times New Roman" w:hAnsi="Times New Roman" w:eastAsia="Times New Roman" w:cs="Times New Roman"/>
          <w:sz w:val="26"/>
          <w:szCs w:val="26"/>
        </w:rPr>
        <w:t xml:space="preserve"> bao gồm cả ngày nghỉ, lễ, Tết theo quy định của Pháp luật;</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1.6.</w:t>
      </w:r>
      <w:r>
        <w:rPr>
          <w:rFonts w:ascii="Times New Roman" w:hAnsi="Times New Roman" w:eastAsia="Times New Roman" w:cs="Times New Roman"/>
          <w:b/>
          <w:bCs/>
          <w:i/>
          <w:iCs/>
          <w:sz w:val="26"/>
          <w:szCs w:val="26"/>
        </w:rPr>
        <w:t xml:space="preserve"> </w:t>
      </w:r>
      <w:r>
        <w:rPr>
          <w:rFonts w:ascii="Times New Roman" w:hAnsi="Times New Roman" w:eastAsia="Times New Roman" w:cs="Times New Roman"/>
          <w:b/>
          <w:bCs/>
          <w:sz w:val="26"/>
          <w:szCs w:val="26"/>
        </w:rPr>
        <w:t xml:space="preserve">“Pháp luật”</w:t>
      </w:r>
      <w:r>
        <w:rPr>
          <w:rFonts w:ascii="Times New Roman" w:hAnsi="Times New Roman" w:eastAsia="Times New Roman" w:cs="Times New Roman"/>
          <w:b/>
          <w:bCs/>
          <w:i/>
          <w:iCs/>
          <w:sz w:val="26"/>
          <w:szCs w:val="26"/>
        </w:rPr>
        <w:t xml:space="preserve"> </w:t>
      </w:r>
      <w:r>
        <w:rPr>
          <w:rFonts w:ascii="Times New Roman" w:hAnsi="Times New Roman" w:eastAsia="Times New Roman" w:cs="Times New Roman"/>
          <w:sz w:val="26"/>
          <w:szCs w:val="26"/>
        </w:rPr>
        <w:t xml:space="preserve">là pháp luật nước Cộng hòa xã hội chủ nghĩa Việt Nam.</w:t>
      </w:r>
      <w:r>
        <w:rPr>
          <w:rFonts w:ascii="Times New Roman" w:hAnsi="Times New Roman" w:eastAsia="Times New Roman" w:cs="Times New Roman"/>
          <w:sz w:val="26"/>
          <w:szCs w:val="26"/>
        </w:rPr>
      </w:r>
      <w:r>
        <w:rPr>
          <w:rFonts w:ascii="Times New Roman" w:hAnsi="Times New Roman"/>
          <w:sz w:val="26"/>
        </w:rPr>
      </w:r>
      <w:r/>
      <w:r>
        <w:rPr>
          <w:rFonts w:ascii="Times New Roman" w:hAnsi="Times New Roman" w:eastAsia="Times New Roman" w:cs="Times New Roman"/>
          <w:sz w:val="26"/>
          <w:szCs w:val="26"/>
        </w:rPr>
      </w:r>
    </w:p>
    <w:p>
      <w:pPr>
        <w:keepNext w:val="true"/>
        <w:pBdr/>
        <w:tabs>
          <w:tab w:val="left" w:leader="none" w:pos="709"/>
        </w:tabs>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2. Hồ sơ Hợp đồng</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Các tài liệu sau đây là một phần không tách rời của Hợp đồng và được sắp xếp theo thứ tự ưu tiên về pháp lý như sau:</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2.1. Văn bản Hợp đồng này;</w:t>
      </w:r>
      <w:r>
        <w:rPr>
          <w:rFonts w:ascii="Times New Roman" w:hAnsi="Times New Roman" w:eastAsia="Times New Roman" w:cs="Times New Roman"/>
          <w:sz w:val="26"/>
          <w:szCs w:val="26"/>
        </w:rPr>
      </w:r>
    </w:p>
    <w:p>
      <w:pPr>
        <w:pBdr/>
        <w:tabs>
          <w:tab w:val="left" w:leader="none" w:pos="567"/>
          <w:tab w:val="left" w:leader="none" w:pos="709"/>
        </w:tabs>
        <w:spacing w:after="120" w:before="120"/>
        <w:ind w:firstLine="567"/>
        <w:jc w:val="both"/>
        <w:rPr>
          <w:rFonts w:ascii="Times New Roman" w:hAnsi="Times New Roman" w:eastAsia="Times New Roman" w:cs="Times New Roman"/>
          <w:sz w:val="26"/>
          <w:szCs w:val="26"/>
        </w:rPr>
      </w:pPr>
      <w:r/>
      <w:bookmarkStart w:id="1" w:name="_xtufelltglwa"/>
      <w:r/>
      <w:bookmarkEnd w:id="1"/>
      <w:r>
        <w:rPr>
          <w:rFonts w:ascii="Times New Roman" w:hAnsi="Times New Roman" w:eastAsia="Times New Roman" w:cs="Times New Roman"/>
          <w:sz w:val="26"/>
          <w:szCs w:val="26"/>
        </w:rPr>
        <w:t xml:space="preserve">2.2. Tất cả các Phụ lục của Hợp đồng này (nếu có) nhằm sửa đổi, bổ sung hoặc làm rõ các nội dung của hợp đồng này;</w:t>
      </w:r>
      <w:r>
        <w:rPr>
          <w:rFonts w:ascii="Times New Roman" w:hAnsi="Times New Roman" w:eastAsia="Times New Roman" w:cs="Times New Roman"/>
          <w:sz w:val="26"/>
          <w:szCs w:val="26"/>
        </w:rPr>
      </w:r>
    </w:p>
    <w:p>
      <w:pPr>
        <w:pBdr/>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3. Nội dung và sản phẩm hợp đồng</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3.1. Nội dung hợp đồng:</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Bên A đồng ý giao và Bên B đồng ý nhận thực hiện “</w:t>
      </w:r>
      <w:r>
        <w:rPr>
          <w:rFonts w:ascii="Times New Roman" w:hAnsi="Times New Roman" w:eastAsia="Times New Roman" w:cs="Times New Roman"/>
          <w:i/>
          <w:iCs/>
          <w:sz w:val="26"/>
          <w:szCs w:val="26"/>
        </w:rPr>
        <w:t xml:space="preserve">Rà soát, tái cấu trúc và chuẩn hóa hệ thống quản trị đầu tư xây dựng VICEM Hà Tiên theo quy định pháp luật hiện hành và quy định quản trị của VICEM”.</w:t>
      </w:r>
      <w:r>
        <w:rPr>
          <w:rFonts w:ascii="Times New Roman" w:hAnsi="Times New Roman" w:eastAsia="Times New Roman" w:cs="Times New Roman"/>
          <w:sz w:val="26"/>
          <w:szCs w:val="26"/>
        </w:rPr>
        <w:t xml:space="preserve"> Danh mục sản phẩm đính kèm tại Phụ lục 1 và Phụ lục 2 của hợp đồng này. </w:t>
      </w:r>
      <w:r>
        <w:rPr>
          <w:rFonts w:ascii="Times New Roman" w:hAnsi="Times New Roman" w:eastAsia="Times New Roman" w:cs="Times New Roman"/>
          <w:sz w:val="26"/>
          <w:szCs w:val="26"/>
        </w:rPr>
      </w:r>
    </w:p>
    <w:p>
      <w:pPr>
        <w:pBdr/>
        <w:spacing w:after="120" w:before="120"/>
        <w:ind w:firstLine="54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3.2. Sản phẩm Bên B phải bàn giao</w:t>
      </w:r>
      <w:r>
        <w:rPr>
          <w:rFonts w:ascii="Times New Roman" w:hAnsi="Times New Roman" w:eastAsia="Times New Roman" w:cs="Times New Roman"/>
          <w:sz w:val="26"/>
          <w:szCs w:val="26"/>
        </w:rPr>
        <w:t xml:space="preserve"> cho Bên A bao gồm: </w:t>
      </w:r>
      <w:r>
        <w:rPr>
          <w:rFonts w:ascii="Times New Roman" w:hAnsi="Times New Roman" w:eastAsia="Times New Roman" w:cs="Times New Roman"/>
          <w:sz w:val="26"/>
          <w:szCs w:val="26"/>
        </w:rPr>
      </w:r>
    </w:p>
    <w:p w14:paraId="53ED8675">
      <w:pPr>
        <w:pBdr/>
        <w:spacing/>
        <w:ind w:firstLine="567"/>
        <w:jc w:val="both"/>
        <w:rPr>
          <w:rFonts w:ascii="Times New Roman" w:hAnsi="Times New Roman" w:eastAsia="Times New Roman" w:cs="Times New Roman"/>
          <w:color w:val="0000cc"/>
          <w:sz w:val="26"/>
          <w:szCs w:val="26"/>
        </w:rPr>
      </w:pPr>
      <w:r/>
      <w:bookmarkStart w:id="1" w:name="_Hlk232666337"/>
      <w:r/>
      <w:bookmarkEnd w:id="1"/>
      <w:r>
        <w:rPr>
          <w:rFonts w:ascii="Times New Roman" w:hAnsi="Times New Roman"/>
          <w:sz w:val="26"/>
        </w:rPr>
        <w:t xml:space="preserve">+ </w:t>
      </w:r>
      <w:r>
        <w:rPr>
          <w:rFonts w:ascii="Times New Roman" w:hAnsi="Times New Roman"/>
          <w:b/>
          <w:sz w:val="26"/>
        </w:rPr>
        <w:t xml:space="preserve">Mô hình tổ chức quản trị ĐTXD mới và hệ thống phân cấp, phân quyền:</w:t>
      </w:r>
      <w:r>
        <w:rPr>
          <w:rFonts w:ascii="Times New Roman" w:hAnsi="Times New Roman"/>
          <w:sz w:val="26"/>
        </w:rPr>
        <w:t xml:space="preserve"> mô hình tổ chức quản trị đầu tư xây dựng mới của VICEM Hà Tiên, phù hợp với Luật Xây dựng số 135/2025/QH15 ngày 10/12/2025, Luật số 68/2025/QH15 </w:t>
      </w:r>
      <w:r>
        <w:rPr>
          <w:rFonts w:ascii="Times New Roman" w:hAnsi="Times New Roman"/>
          <w:sz w:val="26"/>
        </w:rPr>
        <w:t xml:space="preserve">ngày 14/6/2025 và các văn bản pháp luật khác có liên quan, đồng thời phù hợp với định hướng phát triển của VICEM Hà Tiên; kèm sơ đồ tổ chức, ma trận chức năng, ma trận </w:t>
      </w:r>
      <w:r>
        <w:rPr>
          <w:rFonts w:ascii="Times New Roman" w:hAnsi="Times New Roman"/>
          <w:sz w:val="26"/>
          <w:lang w:val="en-US"/>
        </w:rPr>
        <w:t xml:space="preserve">trách nhiệm</w:t>
      </w:r>
      <w:r>
        <w:rPr>
          <w:rFonts w:ascii="Times New Roman" w:hAnsi="Times New Roman"/>
          <w:sz w:val="26"/>
        </w:rPr>
        <w:t xml:space="preserve"> và ma trận thẩm quyền giữa các cấp (đồng bộ với Điều lệ và Quy chế ĐTXD của VICEM).</w:t>
      </w:r>
      <w:r>
        <w:rPr>
          <w:rFonts w:ascii="Times New Roman" w:hAnsi="Times New Roman" w:eastAsia="Times New Roman" w:cs="Times New Roman"/>
          <w:color w:val="0000cc"/>
          <w:sz w:val="26"/>
          <w:szCs w:val="26"/>
        </w:rPr>
      </w:r>
      <w:r>
        <w:rPr>
          <w:rFonts w:ascii="Times New Roman" w:hAnsi="Times New Roman" w:eastAsia="Times New Roman" w:cs="Times New Roman"/>
          <w:color w:val="0000cc"/>
          <w:sz w:val="26"/>
          <w:szCs w:val="26"/>
        </w:rPr>
      </w:r>
    </w:p>
    <w:p w14:paraId="321012F4">
      <w:pPr>
        <w:pBdr/>
        <w:spacing w:after="120" w:before="120"/>
        <w:ind w:firstLine="567"/>
        <w:jc w:val="both"/>
        <w:rPr>
          <w:rFonts w:ascii="Times New Roman" w:hAnsi="Times New Roman" w:eastAsia="Times New Roman" w:cs="Times New Roman"/>
          <w:color w:val="0000cc"/>
          <w:sz w:val="26"/>
          <w:szCs w:val="26"/>
        </w:rPr>
      </w:pPr>
      <w:r>
        <w:rPr>
          <w:rFonts w:ascii="Times New Roman" w:hAnsi="Times New Roman"/>
          <w:sz w:val="26"/>
        </w:rPr>
        <w:t xml:space="preserve">+ </w:t>
      </w:r>
      <w:r>
        <w:rPr>
          <w:rFonts w:ascii="Times New Roman" w:hAnsi="Times New Roman"/>
          <w:b/>
          <w:sz w:val="26"/>
        </w:rPr>
        <w:t xml:space="preserve">Hệ thống quy chế, quy trình và biểu mẫu ĐTXD:</w:t>
      </w:r>
      <w:r>
        <w:rPr>
          <w:rFonts w:ascii="Times New Roman" w:hAnsi="Times New Roman"/>
          <w:sz w:val="26"/>
        </w:rPr>
        <w:t xml:space="preserve"> bộ 08 quy chế nội bộ (quản lý ĐTXD; quản lý chi phí đầu tư; đấu thầu; quản lý hợp đồng; nghiệm thu – bàn giao; quyết toán </w:t>
      </w:r>
      <w:r>
        <w:rPr>
          <w:rFonts w:ascii="Times New Roman" w:hAnsi="Times New Roman"/>
          <w:sz w:val="26"/>
        </w:rPr>
        <w:t xml:space="preserve">vốn đầu tư; phân cấp, phân quyền ĐTXD; kiểm soát nội bộ dự án); bộ quy trình chuẩn hóa</w:t>
      </w:r>
      <w:r>
        <w:rPr>
          <w:rFonts w:ascii="Times New Roman" w:hAnsi="Times New Roman"/>
          <w:sz w:val="26"/>
          <w:lang w:val="en-US"/>
        </w:rPr>
        <w:t xml:space="preserve"> </w:t>
      </w:r>
      <w:r>
        <w:rPr>
          <w:rFonts w:ascii="Times New Roman" w:hAnsi="Times New Roman"/>
          <w:sz w:val="26"/>
        </w:rPr>
        <w:t xml:space="preserve">theo tiêu chuẩn ISO và sơ đồ luồng công việc</w:t>
      </w:r>
      <w:r>
        <w:rPr>
          <w:rFonts w:ascii="Times New Roman" w:hAnsi="Times New Roman"/>
          <w:sz w:val="26"/>
          <w:lang w:val="en-US"/>
        </w:rPr>
        <w:t xml:space="preserve"> </w:t>
      </w:r>
      <w:r>
        <w:rPr>
          <w:rFonts w:ascii="Times New Roman" w:hAnsi="Times New Roman"/>
          <w:sz w:val="26"/>
        </w:rPr>
        <w:t xml:space="preserve"> điện tử; kèm hệ thống biểu mẫu chuẩn hóa.</w:t>
      </w:r>
      <w:r>
        <w:rPr>
          <w:rFonts w:ascii="Times New Roman" w:hAnsi="Times New Roman" w:eastAsia="Times New Roman" w:cs="Times New Roman"/>
          <w:color w:val="0000cc"/>
          <w:sz w:val="26"/>
          <w:szCs w:val="26"/>
        </w:rPr>
      </w:r>
      <w:r>
        <w:rPr>
          <w:rFonts w:ascii="Times New Roman" w:hAnsi="Times New Roman" w:eastAsia="Times New Roman" w:cs="Times New Roman"/>
          <w:color w:val="0000cc"/>
          <w:sz w:val="26"/>
          <w:szCs w:val="26"/>
        </w:rPr>
      </w:r>
    </w:p>
    <w:p w14:paraId="3E1A99BF">
      <w:pPr>
        <w:pBdr/>
        <w:spacing w:after="120" w:before="120"/>
        <w:ind w:firstLine="567"/>
        <w:jc w:val="both"/>
        <w:rPr>
          <w:rFonts w:ascii="Times New Roman" w:hAnsi="Times New Roman" w:eastAsia="Times New Roman" w:cs="Times New Roman"/>
          <w:color w:val="0000cc"/>
          <w:sz w:val="26"/>
          <w:szCs w:val="26"/>
        </w:rPr>
      </w:pPr>
      <w:r>
        <w:rPr>
          <w:rFonts w:ascii="Times New Roman" w:hAnsi="Times New Roman"/>
          <w:sz w:val="26"/>
        </w:rPr>
        <w:t xml:space="preserve">+ </w:t>
      </w:r>
      <w:r>
        <w:rPr>
          <w:rFonts w:ascii="Times New Roman" w:hAnsi="Times New Roman"/>
          <w:b/>
          <w:sz w:val="26"/>
        </w:rPr>
        <w:t xml:space="preserve">Hệ thống công cụ quản trị và lộ trình chuyển đổi số:</w:t>
      </w:r>
      <w:r>
        <w:rPr>
          <w:rFonts w:ascii="Times New Roman" w:hAnsi="Times New Roman"/>
          <w:sz w:val="26"/>
        </w:rPr>
        <w:t xml:space="preserve"> bộ chỉ số </w:t>
      </w:r>
      <w:r>
        <w:rPr>
          <w:rFonts w:ascii="Times New Roman" w:hAnsi="Times New Roman"/>
          <w:sz w:val="26"/>
          <w:lang w:val="en-US"/>
        </w:rPr>
        <w:t xml:space="preserve">đánh giá hiệu suất chính trong </w:t>
      </w:r>
      <w:r>
        <w:rPr>
          <w:rFonts w:ascii="Times New Roman" w:hAnsi="Times New Roman"/>
          <w:sz w:val="26"/>
        </w:rPr>
        <w:t xml:space="preserve">quản lý dự án (tiến độ, chi phí, chất lượng, hiệu quả đầu tư); hệ thống quản trị rủi ro ĐTXD; lộ trình </w:t>
      </w:r>
      <w:r>
        <w:rPr>
          <w:rFonts w:ascii="Times New Roman" w:hAnsi="Times New Roman"/>
          <w:sz w:val="26"/>
        </w:rPr>
        <w:t xml:space="preserve">chuyển đổi số</w:t>
      </w:r>
      <w:r>
        <w:rPr>
          <w:rFonts w:ascii="Times New Roman" w:hAnsi="Times New Roman"/>
          <w:sz w:val="26"/>
          <w:lang w:val="en-US"/>
        </w:rPr>
        <w:t xml:space="preserve"> trong</w:t>
      </w:r>
      <w:r>
        <w:rPr>
          <w:rFonts w:ascii="Times New Roman" w:hAnsi="Times New Roman"/>
          <w:sz w:val="26"/>
        </w:rPr>
        <w:t xml:space="preserve"> hoạt động ĐTXD. Việc triển khai số hóa chi tiết, đầu tư phần mềm thuộc phạm vi hợp đồng riêng, không thuộc phạm vi hợp đồng này.</w:t>
      </w:r>
      <w:r>
        <w:rPr>
          <w:rFonts w:ascii="Times New Roman" w:hAnsi="Times New Roman" w:eastAsia="Times New Roman" w:cs="Times New Roman"/>
          <w:color w:val="0000cc"/>
          <w:sz w:val="26"/>
          <w:szCs w:val="26"/>
        </w:rPr>
      </w:r>
      <w:r>
        <w:rPr>
          <w:rFonts w:ascii="Times New Roman" w:hAnsi="Times New Roman" w:eastAsia="Times New Roman" w:cs="Times New Roman"/>
          <w:color w:val="0000cc"/>
          <w:sz w:val="26"/>
          <w:szCs w:val="26"/>
        </w:rPr>
      </w:r>
    </w:p>
    <w:p w14:paraId="59FF5CAB">
      <w:pPr>
        <w:pBdr/>
        <w:spacing w:after="120" w:before="120"/>
        <w:ind w:firstLine="567"/>
        <w:jc w:val="both"/>
        <w:rPr>
          <w:rFonts w:ascii="Times New Roman" w:hAnsi="Times New Roman" w:eastAsia="Times New Roman" w:cs="Times New Roman"/>
          <w:color w:val="0000cc"/>
          <w:sz w:val="26"/>
          <w:szCs w:val="26"/>
        </w:rPr>
      </w:pPr>
      <w:r>
        <w:rPr>
          <w:rFonts w:ascii="Times New Roman" w:hAnsi="Times New Roman"/>
          <w:sz w:val="26"/>
        </w:rPr>
        <w:t xml:space="preserve">+ </w:t>
      </w:r>
      <w:r>
        <w:rPr>
          <w:rFonts w:ascii="Times New Roman" w:hAnsi="Times New Roman"/>
          <w:b/>
          <w:sz w:val="26"/>
        </w:rPr>
        <w:t xml:space="preserve">Kế hoạch đào tạo, chuyển giao:</w:t>
      </w:r>
      <w:r>
        <w:rPr>
          <w:rFonts w:ascii="Times New Roman" w:hAnsi="Times New Roman"/>
          <w:sz w:val="26"/>
        </w:rPr>
        <w:t xml:space="preserve"> </w:t>
      </w:r>
      <w:r>
        <w:rPr>
          <w:rFonts w:ascii="Times New Roman" w:hAnsi="Times New Roman"/>
          <w:sz w:val="26"/>
          <w:lang w:val="en-US"/>
        </w:rPr>
        <w:t xml:space="preserve">B</w:t>
      </w:r>
      <w:r>
        <w:rPr>
          <w:rFonts w:ascii="Times New Roman" w:hAnsi="Times New Roman"/>
          <w:sz w:val="26"/>
        </w:rPr>
        <w:t xml:space="preserve">ộ tài liệu đào tạo, tập huấn và sổ tay hướng dẫn áp dụng.</w:t>
      </w:r>
      <w:r>
        <w:rPr>
          <w:rFonts w:ascii="Times New Roman" w:hAnsi="Times New Roman" w:eastAsia="Times New Roman" w:cs="Times New Roman"/>
          <w:color w:val="0000cc"/>
          <w:sz w:val="26"/>
          <w:szCs w:val="26"/>
        </w:rPr>
      </w:r>
      <w:r>
        <w:rPr>
          <w:rFonts w:ascii="Times New Roman" w:hAnsi="Times New Roman" w:eastAsia="Times New Roman" w:cs="Times New Roman"/>
          <w:color w:val="0000cc"/>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sz w:val="26"/>
        </w:rPr>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bookmarkStart w:id="3" w:name="5x8nokkn8euu"/>
      <w:r/>
      <w:bookmarkEnd w:id="3"/>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Sản phẩm bàn giao phải bao gồm toàn bộ hồ sơ gồm bản giấy, bản định dạng Word và P</w:t>
      </w:r>
      <w:r>
        <w:rPr>
          <w:rFonts w:ascii="Times New Roman" w:hAnsi="Times New Roman" w:eastAsia="Times New Roman" w:cs="Times New Roman"/>
          <w:sz w:val="26"/>
          <w:szCs w:val="26"/>
        </w:rPr>
        <w:t xml:space="preserve">DF có thể chỉnh sửa, kèm bảng đối chiếu các nội dung sửa đổi, bổ sung so với quy chế hiện hành và tài liệu thuyết minh cơ sở pháp lý của từng nội dung sửa đổi (nếu có).</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Chất lượng: Các hồ sơ, quy trình phù hợp với quy định của pháp luật hiện hành và được</w:t>
      </w:r>
      <w:r>
        <w:rPr>
          <w:rFonts w:ascii="Times New Roman" w:hAnsi="Times New Roman" w:eastAsia="Times New Roman" w:cs="Times New Roman"/>
          <w:sz w:val="26"/>
          <w:szCs w:val="26"/>
        </w:rPr>
        <w:t xml:space="preserve"> Bên A nghiệm thu sản phẩm. </w:t>
      </w:r>
      <w:r>
        <w:rPr>
          <w:rFonts w:ascii="Times New Roman" w:hAnsi="Times New Roman" w:eastAsia="Times New Roman" w:cs="Times New Roman"/>
          <w:sz w:val="26"/>
          <w:szCs w:val="26"/>
        </w:rPr>
        <w:t xml:space="preserve">Bên B có trách nhiệm giải trình, chỉnh sửa, hoàn thiện sản phẩm theo ý kiến góp ý của Bên A trong phạm vi công việc của Hợp đồng cho đến khi được Bên A nghiệm thu.</w:t>
      </w:r>
      <w:r>
        <w:rPr>
          <w:rFonts w:ascii="Times New Roman" w:hAnsi="Times New Roman" w:eastAsia="Times New Roman" w:cs="Times New Roman"/>
          <w:sz w:val="26"/>
          <w:szCs w:val="26"/>
        </w:rPr>
      </w:r>
    </w:p>
    <w:p>
      <w:pPr>
        <w:pBdr/>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4</w:t>
      </w:r>
      <w:r>
        <w:rPr>
          <w:rFonts w:ascii="Times New Roman" w:hAnsi="Times New Roman" w:eastAsia="Times New Roman" w:cs="Times New Roman"/>
          <w:sz w:val="26"/>
          <w:szCs w:val="26"/>
        </w:rPr>
        <w:t xml:space="preserve">. </w:t>
      </w:r>
      <w:r>
        <w:rPr>
          <w:rFonts w:ascii="Times New Roman" w:hAnsi="Times New Roman" w:eastAsia="Times New Roman" w:cs="Times New Roman"/>
          <w:b/>
          <w:bCs/>
          <w:sz w:val="26"/>
          <w:szCs w:val="26"/>
        </w:rPr>
        <w:t xml:space="preserve">Thời gian, tiến độ thực hiện hợp đồng</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4.1. Thời gian thự</w:t>
      </w:r>
      <w:r>
        <w:rPr>
          <w:rFonts w:ascii="Times New Roman" w:hAnsi="Times New Roman" w:eastAsia="Times New Roman" w:cs="Times New Roman"/>
          <w:sz w:val="26"/>
          <w:szCs w:val="26"/>
        </w:rPr>
        <w:t xml:space="preserve">c hiện: Bên B hoàn thành công việc và bàn giao sản phẩm hợp đồng trong vòng 45 ngày kể từ ngày hợp đồng có hiệu lực. </w:t>
      </w:r>
      <w:r>
        <w:rPr>
          <w:rFonts w:ascii="Times New Roman" w:hAnsi="Times New Roman" w:eastAsia="Times New Roman" w:cs="Times New Roman"/>
          <w:sz w:val="26"/>
          <w:szCs w:val="26"/>
        </w:rPr>
        <w:t xml:space="preserve">Thời gian Bên A xem xét, góp ý hồ sơ và thời gian Bên B chờ Bên A cung cấp tài liệu theo yêu cầu bằng văn bản sẽ không tính vào thời gian t</w:t>
      </w:r>
      <w:r>
        <w:rPr>
          <w:rFonts w:ascii="Times New Roman" w:hAnsi="Times New Roman" w:eastAsia="Times New Roman" w:cs="Times New Roman"/>
          <w:sz w:val="26"/>
          <w:szCs w:val="26"/>
        </w:rPr>
        <w:t xml:space="preserve">hực hiện hợp đồng. </w:t>
      </w:r>
      <w:r>
        <w:rPr>
          <w:rFonts w:ascii="Times New Roman" w:hAnsi="Times New Roman" w:eastAsia="Times New Roman" w:cs="Times New Roman"/>
          <w:sz w:val="26"/>
          <w:szCs w:val="26"/>
        </w:rPr>
        <w:t xml:space="preserve">Hợp đồng có hiệu lực kể từ ngày ký hợp đồng. </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Tiến độ thực hiện, giai đoạn, sản phẩm bàn giao chi tiết của hợp đồng quy định tại Phụ lục 02 hợp đồng này. </w:t>
      </w:r>
      <w:r>
        <w:rPr>
          <w:rFonts w:ascii="Times New Roman" w:hAnsi="Times New Roman" w:eastAsia="Times New Roman" w:cs="Times New Roman"/>
          <w:sz w:val="26"/>
          <w:szCs w:val="26"/>
        </w:rPr>
      </w:r>
    </w:p>
    <w:p>
      <w:pPr>
        <w:pBdr/>
        <w:spacing w:after="120" w:before="120"/>
        <w:ind w:firstLine="56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4.2. Kết thúc hợp đồng: </w:t>
      </w:r>
      <w:r>
        <w:rPr>
          <w:rFonts w:ascii="Times New Roman" w:hAnsi="Times New Roman" w:eastAsia="Times New Roman" w:cs="Times New Roman"/>
          <w:sz w:val="26"/>
          <w:szCs w:val="26"/>
        </w:rPr>
        <w:t xml:space="preserve">Hợp đồng chỉ được xem là hoàn thành khi Bên B đã bàn giao đầy đủ sản phẩm, được Bên A nghiệm thu bằng văn bản và hoàn thành các nghĩa vụ khác theo Hợp đồng.</w:t>
      </w:r>
      <w:r>
        <w:rPr>
          <w:rFonts w:ascii="Times New Roman" w:hAnsi="Times New Roman" w:eastAsia="Times New Roman" w:cs="Times New Roman"/>
          <w:sz w:val="26"/>
          <w:szCs w:val="26"/>
        </w:rPr>
      </w:r>
    </w:p>
    <w:p>
      <w:pPr>
        <w:pBdr/>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5. Giá trị hợp đồng, hình thức hợp đồng</w:t>
      </w:r>
      <w:r>
        <w:rPr>
          <w:rFonts w:ascii="Times New Roman" w:hAnsi="Times New Roman" w:eastAsia="Times New Roman" w:cs="Times New Roman"/>
          <w:sz w:val="26"/>
          <w:szCs w:val="26"/>
        </w:rPr>
      </w:r>
    </w:p>
    <w:p>
      <w:pPr>
        <w:widowControl w:val="false"/>
        <w:pBdr/>
        <w:shd w:val="clear" w:color="auto" w:fill="ffffff"/>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5.1. Giá hợp đồng</w:t>
      </w:r>
      <w:r>
        <w:rPr>
          <w:rFonts w:ascii="Times New Roman" w:hAnsi="Times New Roman" w:eastAsia="Times New Roman" w:cs="Times New Roman"/>
          <w:i/>
          <w:iCs/>
          <w:sz w:val="26"/>
          <w:szCs w:val="26"/>
        </w:rPr>
        <w:t xml:space="preserve">:</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Giá trị trước thuế:</w:t>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t xml:space="preserve">455.000.000 đồ</w:t>
      </w:r>
      <w:r>
        <w:rPr>
          <w:rFonts w:ascii="Times New Roman" w:hAnsi="Times New Roman" w:eastAsia="Times New Roman" w:cs="Times New Roman"/>
          <w:bCs/>
          <w:sz w:val="26"/>
          <w:szCs w:val="26"/>
        </w:rPr>
        <w:t xml:space="preserve">ng.</w:t>
      </w:r>
      <w:r>
        <w:rPr>
          <w:rFonts w:ascii="Times New Roman" w:hAnsi="Times New Roman" w:eastAsia="Times New Roman" w:cs="Times New Roman"/>
          <w:bCs/>
          <w:sz w:val="26"/>
          <w:szCs w:val="26"/>
        </w:rPr>
      </w:r>
    </w:p>
    <w:p>
      <w:pPr>
        <w:pBdr/>
        <w:spacing w:after="120" w:before="120"/>
        <w:ind w:firstLine="709"/>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Thuế GTGT:</w:t>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t xml:space="preserve">  </w:t>
      </w:r>
      <w:r>
        <w:rPr>
          <w:rFonts w:ascii="Times New Roman" w:hAnsi="Times New Roman" w:eastAsia="Times New Roman" w:cs="Times New Roman"/>
          <w:bCs/>
          <w:sz w:val="26"/>
          <w:szCs w:val="26"/>
        </w:rPr>
        <w:tab/>
        <w:t xml:space="preserve">  36.400.000 đồng.</w:t>
      </w:r>
      <w:r>
        <w:rPr>
          <w:rFonts w:ascii="Times New Roman" w:hAnsi="Times New Roman" w:eastAsia="Times New Roman" w:cs="Times New Roman"/>
          <w:bCs/>
          <w:sz w:val="26"/>
          <w:szCs w:val="26"/>
        </w:rPr>
      </w:r>
    </w:p>
    <w:p>
      <w:pPr>
        <w:pBdr/>
        <w:spacing w:after="120" w:before="120"/>
        <w:ind w:firstLine="709"/>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Giá trị sau thuế:</w:t>
      </w:r>
      <w:r>
        <w:rPr>
          <w:rFonts w:ascii="Times New Roman" w:hAnsi="Times New Roman" w:eastAsia="Times New Roman" w:cs="Times New Roman"/>
          <w:bCs/>
          <w:sz w:val="26"/>
          <w:szCs w:val="26"/>
        </w:rPr>
        <w:tab/>
      </w:r>
      <w:r>
        <w:rPr>
          <w:rFonts w:ascii="Times New Roman" w:hAnsi="Times New Roman" w:eastAsia="Times New Roman" w:cs="Times New Roman"/>
          <w:bCs/>
          <w:sz w:val="26"/>
          <w:szCs w:val="26"/>
        </w:rPr>
        <w:tab/>
        <w:t xml:space="preserve">491.400.000 đồng.</w:t>
      </w:r>
      <w:r>
        <w:rPr>
          <w:rFonts w:ascii="Times New Roman" w:hAnsi="Times New Roman" w:eastAsia="Times New Roman" w:cs="Times New Roman"/>
          <w:bCs/>
          <w:sz w:val="26"/>
          <w:szCs w:val="26"/>
        </w:rPr>
      </w:r>
    </w:p>
    <w:p>
      <w:pPr>
        <w:pBdr/>
        <w:spacing w:after="120" w:before="120"/>
        <w:ind w:firstLine="709"/>
        <w:jc w:val="both"/>
        <w:rPr>
          <w:rFonts w:ascii="Times New Roman" w:hAnsi="Times New Roman" w:eastAsia="Times New Roman" w:cs="Times New Roman"/>
          <w:b/>
          <w:bCs/>
          <w:sz w:val="26"/>
          <w:szCs w:val="26"/>
        </w:rPr>
      </w:pPr>
      <w:r>
        <w:rPr>
          <w:rFonts w:ascii="Times New Roman" w:hAnsi="Times New Roman" w:eastAsia="Times New Roman" w:cs="Times New Roman"/>
          <w:bCs/>
          <w:sz w:val="26"/>
          <w:szCs w:val="26"/>
        </w:rPr>
        <w:t xml:space="preserve">Bằng chữ: Bốn trăm chín mươi mốt triệu bốn trăm nghìn đồng.</w:t>
      </w:r>
      <w:r>
        <w:rPr>
          <w:rFonts w:ascii="Times New Roman" w:hAnsi="Times New Roman" w:eastAsia="Times New Roman" w:cs="Times New Roman"/>
          <w:b/>
          <w:bCs/>
          <w:sz w:val="26"/>
          <w:szCs w:val="26"/>
        </w:rPr>
        <w:t xml:space="preserve"> </w:t>
      </w:r>
      <w:r>
        <w:rPr>
          <w:rFonts w:ascii="Times New Roman" w:hAnsi="Times New Roman" w:eastAsia="Times New Roman" w:cs="Times New Roman"/>
          <w:b/>
          <w:bCs/>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 trị hợp đồng đã bao gồm thuế GTGT 8% và toàn bộ các chi phí để Bên B thực hiện hợp đồng. Thuế GTGT được xác định theo quy định hiện hành của Nhà nước, hai bên sẽ điều chỉnh thuế suất GTGT theo biểu thuế hiện hành và không phải ký Phụ lục hợp đồng.</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5.2.</w:t>
      </w:r>
      <w:r>
        <w:rPr>
          <w:rFonts w:ascii="Times New Roman" w:hAnsi="Times New Roman" w:eastAsia="Times New Roman" w:cs="Times New Roman"/>
          <w:sz w:val="26"/>
          <w:szCs w:val="26"/>
        </w:rPr>
        <w:t xml:space="preserve"> Hình thức hợp đồng:  Hợp đồng trọn gói.</w:t>
      </w:r>
      <w:r>
        <w:rPr>
          <w:rFonts w:ascii="Times New Roman" w:hAnsi="Times New Roman" w:eastAsia="Times New Roman" w:cs="Times New Roman"/>
          <w:sz w:val="26"/>
          <w:szCs w:val="26"/>
        </w:rPr>
      </w:r>
    </w:p>
    <w:p>
      <w:pPr>
        <w:widowControl w:val="false"/>
        <w:pBdr/>
        <w:shd w:val="clear" w:color="auto" w:fill="ffffff"/>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6. Phương thức thanh toán</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6.1. Đồng tiền thanh toán: Tiền Việt Nam.</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6.2. Hình thức thanh toán: Chuyển khoản.</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6.3. Phương thức thanh toán: Các đợt thanh toán chi tiết như sau: </w:t>
      </w:r>
      <w:r>
        <w:rPr>
          <w:rFonts w:ascii="Times New Roman" w:hAnsi="Times New Roman" w:eastAsia="Times New Roman" w:cs="Times New Roman"/>
          <w:sz w:val="26"/>
          <w:szCs w:val="26"/>
        </w:rPr>
      </w:r>
    </w:p>
    <w:p>
      <w:pPr>
        <w:pBdr/>
        <w:spacing w:after="120" w:before="120"/>
        <w:ind/>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Đợt 1: Sau khi Bên B hoàn thành công việc </w:t>
      </w:r>
      <w:r>
        <w:rPr>
          <w:rFonts w:ascii="Times New Roman" w:hAnsi="Times New Roman" w:eastAsia="Times New Roman" w:cs="Times New Roman"/>
          <w:sz w:val="26"/>
          <w:szCs w:val="26"/>
        </w:rPr>
        <w:t xml:space="preserve">quy định tại Hạng mục 1 – Phụ lục 2 đính kèm Hợp đồng</w:t>
      </w:r>
      <w:r>
        <w:rPr>
          <w:rFonts w:ascii="Times New Roman" w:hAnsi="Times New Roman" w:eastAsia="Times New Roman" w:cs="Times New Roman"/>
          <w:sz w:val="26"/>
          <w:szCs w:val="26"/>
          <w:highlight w:val="white"/>
        </w:rPr>
        <w:t xml:space="preserve">, Bên A thanh toán cho Bên B 30</w:t>
      </w:r>
      <w:r>
        <w:rPr>
          <w:rFonts w:ascii="Times New Roman" w:hAnsi="Times New Roman" w:eastAsia="Times New Roman" w:cs="Times New Roman"/>
          <w:sz w:val="26"/>
          <w:szCs w:val="26"/>
          <w:highlight w:val="white"/>
          <w:lang w:val="en-US"/>
        </w:rPr>
        <w:t xml:space="preserve"> </w:t>
      </w:r>
      <w:r>
        <w:rPr>
          <w:rFonts w:ascii="Times New Roman" w:hAnsi="Times New Roman" w:eastAsia="Times New Roman" w:cs="Times New Roman"/>
          <w:sz w:val="26"/>
          <w:szCs w:val="26"/>
          <w:highlight w:val="white"/>
        </w:rPr>
        <w:t xml:space="preserve">% giá trị hợp đồng trong vòng 15 ngày làm việc kể từ ngày nhận được đầy đủ hồ sơ thanh toán hợp</w:t>
      </w:r>
      <w:r>
        <w:rPr>
          <w:rFonts w:ascii="Times New Roman" w:hAnsi="Times New Roman" w:eastAsia="Times New Roman" w:cs="Times New Roman"/>
          <w:sz w:val="26"/>
          <w:szCs w:val="26"/>
          <w:highlight w:val="white"/>
        </w:rPr>
        <w:t xml:space="preserve"> lệ, bao gồm: </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Hóa đơn giá trị gia tăng hợp lệ; </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Giấy đề nghị thanh toán của Bên B (bản chính);</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highlight w:val="white"/>
        </w:rPr>
        <w:t xml:space="preserve">Biên bản giao nhận các sản phẩm hợp đồng quy định tại Hạng mục </w:t>
      </w:r>
      <w:r>
        <w:rPr>
          <w:rFonts w:ascii="Times New Roman" w:hAnsi="Times New Roman" w:eastAsia="Times New Roman" w:cs="Times New Roman"/>
          <w:sz w:val="26"/>
          <w:szCs w:val="26"/>
          <w:highlight w:val="white"/>
        </w:rPr>
        <w:t xml:space="preserve">1</w:t>
      </w:r>
      <w:r>
        <w:rPr>
          <w:rFonts w:ascii="Times New Roman" w:hAnsi="Times New Roman" w:eastAsia="Times New Roman" w:cs="Times New Roman"/>
          <w:sz w:val="26"/>
          <w:szCs w:val="26"/>
          <w:highlight w:val="white"/>
        </w:rPr>
        <w:t xml:space="preserve"> – Phụ lục 2 đính kèm Hợp đồng (bản chính);</w:t>
      </w:r>
      <w:r>
        <w:rPr>
          <w:rFonts w:ascii="Times New Roman" w:hAnsi="Times New Roman" w:eastAsia="Times New Roman" w:cs="Times New Roman"/>
          <w:sz w:val="26"/>
          <w:szCs w:val="26"/>
          <w:highlight w:val="white"/>
        </w:rPr>
      </w:r>
    </w:p>
    <w:p>
      <w:pPr>
        <w:pBdr/>
        <w:spacing w:after="120" w:before="120"/>
        <w:ind/>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w:t>
      </w:r>
      <w:r>
        <w:rPr>
          <w:rFonts w:ascii="Times New Roman" w:hAnsi="Times New Roman" w:eastAsia="Times New Roman" w:cs="Times New Roman"/>
          <w:sz w:val="26"/>
          <w:szCs w:val="26"/>
          <w:highlight w:val="white"/>
        </w:rPr>
        <w:t xml:space="preserve"> Đợt 2: Sau khi Bên B hoàn thiện các sản phẩm của Hợp đồng và được bên A đồng ý nghiệm thu, Bên A thanh toán cho bên B giá trị còn lại củ</w:t>
      </w:r>
      <w:r>
        <w:rPr>
          <w:rFonts w:ascii="Times New Roman" w:hAnsi="Times New Roman" w:eastAsia="Times New Roman" w:cs="Times New Roman"/>
          <w:sz w:val="26"/>
          <w:szCs w:val="26"/>
          <w:highlight w:val="white"/>
        </w:rPr>
        <w:t xml:space="preserve">a hợp đồng trong vòng 15 ngày kể từ ngày nhận đủ hồ sơ thanh toán hợp lệ, bao gồm: </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Hóa đơn giá trị gia tăng hợp lệ;</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Giấy đề nghị thanh toán của Bên B (bản chính);</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Biên bản nghiệm thu chất lượng và tiến độ công việc (bản chính); </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Biên bản giao nhận</w:t>
      </w:r>
      <w:r>
        <w:rPr>
          <w:rFonts w:ascii="Times New Roman" w:hAnsi="Times New Roman" w:eastAsia="Times New Roman" w:cs="Times New Roman"/>
          <w:sz w:val="26"/>
          <w:szCs w:val="26"/>
          <w:highlight w:val="white"/>
        </w:rPr>
        <w:t xml:space="preserve"> các sản phẩm hợp đồng </w:t>
      </w:r>
      <w:bookmarkStart w:id="4" w:name="_Hlk232155992"/>
      <w:r>
        <w:rPr>
          <w:rFonts w:ascii="Times New Roman" w:hAnsi="Times New Roman" w:eastAsia="Times New Roman" w:cs="Times New Roman"/>
          <w:sz w:val="26"/>
          <w:szCs w:val="26"/>
          <w:highlight w:val="white"/>
        </w:rPr>
        <w:t xml:space="preserve">quy định tại Hạng mục 2 – Phụ lục 2 đính kèm Hợp đồng </w:t>
      </w:r>
      <w:bookmarkEnd w:id="4"/>
      <w:r>
        <w:rPr>
          <w:rFonts w:ascii="Times New Roman" w:hAnsi="Times New Roman" w:eastAsia="Times New Roman" w:cs="Times New Roman"/>
          <w:sz w:val="26"/>
          <w:szCs w:val="26"/>
          <w:highlight w:val="white"/>
        </w:rPr>
        <w:t xml:space="preserve">(bản chính);</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Biên bản quyết toán giá trị thực hiện (bản chính);</w:t>
      </w:r>
      <w:r>
        <w:rPr>
          <w:rFonts w:ascii="Times New Roman" w:hAnsi="Times New Roman" w:eastAsia="Times New Roman" w:cs="Times New Roman"/>
          <w:sz w:val="26"/>
          <w:szCs w:val="26"/>
          <w:highlight w:val="white"/>
        </w:rPr>
      </w:r>
    </w:p>
    <w:p>
      <w:pPr>
        <w:pBdr/>
        <w:spacing w:after="120" w:before="120"/>
        <w:ind w:firstLine="720"/>
        <w:jc w:val="both"/>
        <w:rPr>
          <w:rFonts w:ascii="Times New Roman" w:hAnsi="Times New Roman" w:eastAsia="Times New Roman" w:cs="Times New Roman"/>
          <w:sz w:val="26"/>
          <w:szCs w:val="26"/>
          <w:highlight w:val="white"/>
        </w:rPr>
      </w:pPr>
      <w:r>
        <w:rPr>
          <w:rFonts w:ascii="Times New Roman" w:hAnsi="Times New Roman" w:eastAsia="Times New Roman" w:cs="Times New Roman"/>
          <w:sz w:val="26"/>
          <w:szCs w:val="26"/>
          <w:highlight w:val="white"/>
        </w:rPr>
        <w:t xml:space="preserve">- Biên bản phạt vi phạm hợp đồng (bản chính), (nếu có).</w:t>
      </w:r>
      <w:r>
        <w:rPr>
          <w:rFonts w:ascii="Times New Roman" w:hAnsi="Times New Roman" w:eastAsia="Times New Roman" w:cs="Times New Roman"/>
          <w:sz w:val="26"/>
          <w:szCs w:val="26"/>
          <w:highlight w:val="white"/>
        </w:rPr>
      </w:r>
    </w:p>
    <w:p>
      <w:pPr>
        <w:pBdr/>
        <w:spacing w:after="120" w:before="120"/>
        <w:ind w:hanging="90"/>
        <w:jc w:val="both"/>
        <w:rPr>
          <w:rFonts w:ascii="Times New Roman" w:hAnsi="Times New Roman" w:eastAsia="Times New Roman" w:cs="Times New Roman"/>
          <w:sz w:val="26"/>
          <w:szCs w:val="26"/>
          <w:highlight w:val="white"/>
        </w:rPr>
      </w:pPr>
      <w:r>
        <w:rPr>
          <w:rFonts w:ascii="Times New Roman" w:hAnsi="Times New Roman" w:eastAsia="Times New Roman" w:cs="Times New Roman"/>
          <w:b/>
          <w:bCs/>
          <w:sz w:val="26"/>
          <w:szCs w:val="26"/>
          <w:highlight w:val="white"/>
        </w:rPr>
        <w:t xml:space="preserve">Điều 7. Bảo lãnh hợp đồng (Không áp dụng)</w:t>
      </w:r>
      <w:r>
        <w:rPr>
          <w:rFonts w:ascii="Times New Roman" w:hAnsi="Times New Roman" w:eastAsia="Times New Roman" w:cs="Times New Roman"/>
          <w:sz w:val="26"/>
          <w:szCs w:val="26"/>
          <w:highlight w:val="white"/>
        </w:rPr>
      </w:r>
    </w:p>
    <w:p>
      <w:pPr>
        <w:pBdr/>
        <w:spacing w:after="120" w:before="120"/>
        <w:ind w:hanging="90"/>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highlight w:val="white"/>
        </w:rPr>
        <w:t xml:space="preserve">Điều</w:t>
      </w:r>
      <w:r>
        <w:rPr>
          <w:rFonts w:ascii="Times New Roman" w:hAnsi="Times New Roman" w:eastAsia="Times New Roman" w:cs="Times New Roman"/>
          <w:b/>
          <w:bCs/>
          <w:sz w:val="26"/>
          <w:szCs w:val="26"/>
        </w:rPr>
        <w:t xml:space="preserve"> 8. Quyền và nghĩa vụ của Bên A</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8.1 Quyền của Bên A:</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Nhận sản phẩm do Bên B giao đúng số lượng và chất lượng yêu cầu.</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Mọi sản phẩm, tài liệu, dữ liệu, báo cáo, quy trình, quy chế được hình thành từ việc thực hiện Hợp đồng thuộc quyền sở hữu duy nhất củ</w:t>
      </w:r>
      <w:r>
        <w:rPr>
          <w:rFonts w:ascii="Times New Roman" w:hAnsi="Times New Roman" w:eastAsia="Times New Roman" w:cs="Times New Roman"/>
          <w:sz w:val="26"/>
          <w:szCs w:val="26"/>
        </w:rPr>
        <w:t xml:space="preserve">a Bên A kể từ thời điểm Bên A thanh toán đầy đủ cho Bên B. Bên B không được chuyển giao hoặc cung cấp cho bên thứ ba nếu không có chấp thuận bằng văn bản của Bên A.</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Giám sát, kiểm tra, đôn đốc và có quyền yêu cầu Bên B sửa chữa những sai sót hoặc bổ sung</w:t>
      </w:r>
      <w:r>
        <w:rPr>
          <w:rFonts w:ascii="Times New Roman" w:hAnsi="Times New Roman" w:eastAsia="Times New Roman" w:cs="Times New Roman"/>
          <w:sz w:val="26"/>
          <w:szCs w:val="26"/>
        </w:rPr>
        <w:t xml:space="preserve">, thay đổi những vấn đề không phù hợp với yêu cầu.</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8.2 Nghĩa vụ của Bên A:</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Cung cấp hồ sơ, tài liệu đầy đủ, kịp thời và chính xác theo yêu cầu của Bên B, tạo mọi điều kiện thuận lợi để Bên B thực hiện hoàn thành công việc.</w:t>
      </w:r>
      <w:bookmarkStart w:id="5" w:name="2862c780obwf"/>
      <w:r/>
      <w:bookmarkEnd w:id="5"/>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A đảm bảo các điều kiện v</w:t>
      </w:r>
      <w:r>
        <w:rPr>
          <w:rFonts w:ascii="Times New Roman" w:hAnsi="Times New Roman" w:eastAsia="Times New Roman" w:cs="Times New Roman"/>
          <w:sz w:val="26"/>
          <w:szCs w:val="26"/>
        </w:rPr>
        <w:t xml:space="preserve">à cử cán bộ kỹ thuật phụ trách thường xuyên giám sát và phối hợp với Bên B trong quá trình thực hiện Hợp đồng.</w:t>
      </w:r>
      <w:bookmarkStart w:id="6" w:name="ny0d35fp35pl"/>
      <w:r/>
      <w:bookmarkEnd w:id="6"/>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Cùng bên B nghiệm thu và thanh lý hợp đồng.</w:t>
      </w:r>
      <w:r>
        <w:rPr>
          <w:rFonts w:ascii="Times New Roman" w:hAnsi="Times New Roman" w:eastAsia="Times New Roman" w:cs="Times New Roman"/>
          <w:sz w:val="26"/>
          <w:szCs w:val="26"/>
        </w:rPr>
      </w:r>
    </w:p>
    <w:p>
      <w:pPr>
        <w:pBdr/>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9. Quyền và nghĩa vụ của Bên B</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9.1 Quyền của Bên B:</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Được Bên A thanh toán theo quy định tại </w:t>
      </w:r>
      <w:r>
        <w:rPr>
          <w:rFonts w:ascii="Times New Roman" w:hAnsi="Times New Roman" w:eastAsia="Times New Roman" w:cs="Times New Roman"/>
          <w:sz w:val="26"/>
          <w:szCs w:val="26"/>
        </w:rPr>
        <w:t xml:space="preserve">Điều 6 của Hợp đồng.</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Yêu cầu Bên A cung cấp những tài liệu, dữ liệu hoạt động cần thiết liên quan đến Hợp đồng trong phạm vi cho phép.</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9.2 Nghĩa vụ của Bên B:</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Khảo sát, thu thập thông tin, đánh giá và thực hiện công việc được quy định tại hợp đồng. </w:t>
      </w:r>
      <w:bookmarkStart w:id="7" w:name="x4xh2ec23e1"/>
      <w:r/>
      <w:bookmarkEnd w:id="7"/>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Trình duyệt, giải trình, chỉnh sửa, bổ sung và hoàn thiện nội dung báo cáo theo yêu cầu của Bên A hoặc đơn vị thẩm định độc lập thứ 3 thực hiện quá trình thẩm định. </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đảm bảo rằng tất cả các công việc của Bên B thực hiện theo Hợp đồng này phải phù h</w:t>
      </w:r>
      <w:r>
        <w:rPr>
          <w:rFonts w:ascii="Times New Roman" w:hAnsi="Times New Roman" w:eastAsia="Times New Roman" w:cs="Times New Roman"/>
          <w:sz w:val="26"/>
          <w:szCs w:val="26"/>
        </w:rPr>
        <w:t xml:space="preserve">ợp với yêu cầu của Bên A và các quy định về tiêu chuẩn chất lượng cũng như các văn bản pháp luật hiện hành của Nhà nước.</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B chịu trách nhiệm về tính hợp pháp, tính phù hợp của các quy chế, quy trình do mình soạn thảo theo quy định pháp luật hiện hành </w:t>
      </w:r>
      <w:r>
        <w:rPr>
          <w:rFonts w:ascii="Times New Roman" w:hAnsi="Times New Roman" w:eastAsia="Times New Roman" w:cs="Times New Roman"/>
          <w:sz w:val="26"/>
          <w:szCs w:val="26"/>
        </w:rPr>
        <w:t xml:space="preserve">tại thời điểm bàn giao.</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Tuân thủ mọi nội quy, quy định hiện hành của bên A tại Trụ sở của Bên A.</w:t>
      </w:r>
      <w:bookmarkStart w:id="8" w:name="daen7q8o9erx"/>
      <w:r/>
      <w:bookmarkEnd w:id="8"/>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Bảo mật các thông tin hồ sơ, tài liệu liên quan đến Hợp đồng. Không được phép cung cấp kết quả, báo cáo, sản phẩm của hợp đồng cho bất kỳ cá nhân, tổ chức </w:t>
      </w:r>
      <w:r>
        <w:rPr>
          <w:rFonts w:ascii="Times New Roman" w:hAnsi="Times New Roman" w:eastAsia="Times New Roman" w:cs="Times New Roman"/>
          <w:sz w:val="26"/>
          <w:szCs w:val="26"/>
        </w:rPr>
        <w:t xml:space="preserve">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9" w:name="cvv8b92po93g"/>
      <w:r/>
      <w:bookmarkEnd w:id="9"/>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Trong thời hạn từ 06 (sáu) đến 12 </w:t>
      </w:r>
      <w:r>
        <w:rPr>
          <w:rFonts w:ascii="Times New Roman" w:hAnsi="Times New Roman" w:eastAsia="Times New Roman" w:cs="Times New Roman"/>
          <w:sz w:val="26"/>
          <w:szCs w:val="26"/>
        </w:rPr>
        <w:t xml:space="preserve">(mười hai) tháng kể từ ngày nghiệm thu, Bên B có trách nhiệm hỗ trợ áp dụng, giải thích, làm rõ và hướng dẫn triển khai các nội dung chuyên môn của sản phẩm đã bàn giao theo yêu cầu hợp lý của Bên A mà không phát sinh chi phí.</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Xuất hoá đơn tài chính theo</w:t>
      </w:r>
      <w:r>
        <w:rPr>
          <w:rFonts w:ascii="Times New Roman" w:hAnsi="Times New Roman" w:eastAsia="Times New Roman" w:cs="Times New Roman"/>
          <w:sz w:val="26"/>
          <w:szCs w:val="26"/>
        </w:rPr>
        <w:t xml:space="preserve"> quy định cho Bên A.</w:t>
      </w:r>
      <w:r>
        <w:rPr>
          <w:rFonts w:ascii="Times New Roman" w:hAnsi="Times New Roman" w:eastAsia="Times New Roman" w:cs="Times New Roman"/>
          <w:sz w:val="26"/>
          <w:szCs w:val="26"/>
        </w:rPr>
      </w:r>
    </w:p>
    <w:p>
      <w:pPr>
        <w:pBdr/>
        <w:spacing w:after="120" w:before="120"/>
        <w:ind/>
        <w:jc w:val="both"/>
        <w:rPr>
          <w:rFonts w:ascii="Times New Roman" w:hAnsi="Times New Roman" w:eastAsia="Times New Roman" w:cs="Times New Roman"/>
          <w:b/>
          <w:bCs/>
          <w:sz w:val="26"/>
          <w:szCs w:val="26"/>
        </w:rPr>
      </w:pPr>
      <w:r/>
      <w:bookmarkStart w:id="10" w:name="k7znusbveq71"/>
      <w:r/>
      <w:bookmarkEnd w:id="10"/>
      <w:r>
        <w:rPr>
          <w:rFonts w:ascii="Times New Roman" w:hAnsi="Times New Roman" w:eastAsia="Times New Roman" w:cs="Times New Roman"/>
          <w:b/>
          <w:bCs/>
          <w:sz w:val="26"/>
          <w:szCs w:val="26"/>
        </w:rPr>
        <w:t xml:space="preserve">Điều 10. Phạt vi phạm hợp đồng</w:t>
      </w:r>
      <w:r>
        <w:rPr>
          <w:rFonts w:ascii="Times New Roman" w:hAnsi="Times New Roman" w:eastAsia="Times New Roman" w:cs="Times New Roman"/>
          <w:b/>
          <w:bCs/>
          <w:sz w:val="26"/>
          <w:szCs w:val="26"/>
        </w:rPr>
      </w:r>
    </w:p>
    <w:p>
      <w:pPr>
        <w:pBdr/>
        <w:spacing w:after="120" w:before="120"/>
        <w:ind/>
        <w:jc w:val="both"/>
        <w:rPr>
          <w:rFonts w:ascii="Times New Roman" w:hAnsi="Times New Roman" w:eastAsia="Times New Roman" w:cs="Times New Roman"/>
          <w:bCs/>
          <w:sz w:val="26"/>
          <w:szCs w:val="26"/>
        </w:rPr>
      </w:pPr>
      <w:r>
        <w:rPr>
          <w:rFonts w:ascii="Times New Roman" w:hAnsi="Times New Roman" w:eastAsia="Times New Roman" w:cs="Times New Roman"/>
          <w:b/>
          <w:bCs/>
          <w:sz w:val="26"/>
          <w:szCs w:val="26"/>
        </w:rPr>
        <w:tab/>
      </w:r>
      <w:r>
        <w:rPr>
          <w:rFonts w:ascii="Times New Roman" w:hAnsi="Times New Roman" w:eastAsia="Times New Roman" w:cs="Times New Roman"/>
          <w:bCs/>
          <w:sz w:val="26"/>
          <w:szCs w:val="26"/>
        </w:rPr>
        <w:t xml:space="preserve">10.1. Đối với Bên A</w:t>
      </w:r>
      <w:r>
        <w:rPr>
          <w:rFonts w:ascii="Times New Roman" w:hAnsi="Times New Roman" w:eastAsia="Times New Roman" w:cs="Times New Roman"/>
          <w:bCs/>
          <w:sz w:val="26"/>
          <w:szCs w:val="26"/>
        </w:rPr>
      </w:r>
    </w:p>
    <w:p>
      <w:pPr>
        <w:pBdr/>
        <w:spacing w:after="120" w:before="120"/>
        <w:ind w:firstLine="720"/>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Trường hợp trong thời hạn thực hiện Hợp Đồng hoặc thời gian được gia hạn (nếu có), Bên A đơn phương chấm dứt Hợp Đồng khôn</w:t>
      </w:r>
      <w:r>
        <w:rPr>
          <w:rFonts w:ascii="Times New Roman" w:hAnsi="Times New Roman" w:eastAsia="Times New Roman" w:cs="Times New Roman"/>
          <w:bCs/>
          <w:sz w:val="26"/>
          <w:szCs w:val="26"/>
        </w:rPr>
        <w:t xml:space="preserve">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r>
        <w:rPr>
          <w:rFonts w:ascii="Times New Roman" w:hAnsi="Times New Roman" w:eastAsia="Times New Roman" w:cs="Times New Roman"/>
          <w:bCs/>
          <w:sz w:val="26"/>
          <w:szCs w:val="26"/>
        </w:rPr>
      </w:r>
    </w:p>
    <w:p>
      <w:pPr>
        <w:pBdr/>
        <w:spacing w:after="120" w:before="120"/>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ab/>
        <w:t xml:space="preserve">10.2. Đối với Bên B</w:t>
      </w:r>
      <w:r>
        <w:rPr>
          <w:rFonts w:ascii="Times New Roman" w:hAnsi="Times New Roman" w:eastAsia="Times New Roman" w:cs="Times New Roman"/>
          <w:bCs/>
          <w:sz w:val="26"/>
          <w:szCs w:val="26"/>
        </w:rPr>
      </w:r>
    </w:p>
    <w:p>
      <w:pPr>
        <w:pBdr/>
        <w:spacing w:after="120" w:before="120"/>
        <w:ind w:firstLine="720"/>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w:t>
      </w:r>
      <w:r>
        <w:rPr>
          <w:rFonts w:ascii="Times New Roman" w:hAnsi="Times New Roman" w:eastAsia="Times New Roman" w:cs="Times New Roman"/>
          <w:bCs/>
          <w:sz w:val="26"/>
          <w:szCs w:val="26"/>
        </w:rPr>
        <w:t xml:space="preserve">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r>
        <w:rPr>
          <w:rFonts w:ascii="Times New Roman" w:hAnsi="Times New Roman" w:eastAsia="Times New Roman" w:cs="Times New Roman"/>
          <w:bCs/>
          <w:sz w:val="26"/>
          <w:szCs w:val="26"/>
        </w:rPr>
      </w:r>
    </w:p>
    <w:p>
      <w:pPr>
        <w:pBdr/>
        <w:spacing w:after="120" w:before="120"/>
        <w:ind/>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Bên A </w:t>
      </w:r>
      <w:r>
        <w:rPr>
          <w:rFonts w:ascii="Times New Roman" w:hAnsi="Times New Roman" w:eastAsia="Times New Roman" w:cs="Times New Roman"/>
          <w:bCs/>
          <w:sz w:val="26"/>
          <w:szCs w:val="26"/>
        </w:rPr>
        <w:t xml:space="preserve">có quyền khấu trừ toàn bộ hoặc một phần khoản tiền phạt vi phạm, tiền bồi thường thiệt hại và các khoản phải thu khác của Bên B từ bất kỳ khoản thanh toán nào mà Bên A phải thanh toán cho Bên B theo Hợp Đồng.</w:t>
      </w:r>
      <w:r>
        <w:rPr>
          <w:rFonts w:ascii="Times New Roman" w:hAnsi="Times New Roman" w:eastAsia="Times New Roman" w:cs="Times New Roman"/>
          <w:bCs/>
          <w:sz w:val="26"/>
          <w:szCs w:val="26"/>
        </w:rPr>
      </w:r>
    </w:p>
    <w:p>
      <w:pPr>
        <w:pBdr/>
        <w:spacing w:after="120" w:before="120"/>
        <w:ind w:firstLine="720"/>
        <w:jc w:val="both"/>
        <w:rPr>
          <w:rFonts w:ascii="Times New Roman" w:hAnsi="Times New Roman" w:eastAsia="Times New Roman" w:cs="Times New Roman"/>
          <w:bCs/>
          <w:sz w:val="26"/>
          <w:szCs w:val="26"/>
        </w:rPr>
      </w:pPr>
      <w:r>
        <w:rPr>
          <w:rFonts w:ascii="Times New Roman" w:hAnsi="Times New Roman" w:eastAsia="Times New Roman" w:cs="Times New Roman"/>
          <w:bCs/>
          <w:sz w:val="26"/>
          <w:szCs w:val="26"/>
        </w:rPr>
        <w:t xml:space="preserve">b) Bên B chậm tiến độ thực hiện công việc sẽ bị</w:t>
      </w:r>
      <w:r>
        <w:rPr>
          <w:rFonts w:ascii="Times New Roman" w:hAnsi="Times New Roman" w:eastAsia="Times New Roman" w:cs="Times New Roman"/>
          <w:bCs/>
          <w:sz w:val="26"/>
          <w:szCs w:val="26"/>
        </w:rPr>
        <w:t xml:space="preserve"> phạt 0,1% giá trị hợp đồng cho mỗi ngày chậm nhưng tổng mức phạt không vượt quá 8% giá trị phần nghĩa vụ bị vi phạm theo quy định pháp luật.</w:t>
      </w:r>
      <w:r>
        <w:rPr>
          <w:rFonts w:ascii="Times New Roman" w:hAnsi="Times New Roman" w:eastAsia="Times New Roman" w:cs="Times New Roman"/>
          <w:bCs/>
          <w:sz w:val="26"/>
          <w:szCs w:val="26"/>
        </w:rPr>
      </w:r>
    </w:p>
    <w:p>
      <w:pPr>
        <w:pBdr/>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11. Điều khoản Bất khả kháng</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Không Bên nào phải chịu trách nhiệm bồi thường cho Bên kia khi không thể hoàn </w:t>
      </w:r>
      <w:r>
        <w:rPr>
          <w:rFonts w:ascii="Times New Roman" w:hAnsi="Times New Roman" w:eastAsia="Times New Roman" w:cs="Times New Roman"/>
          <w:sz w:val="26"/>
          <w:szCs w:val="26"/>
        </w:rPr>
        <w:t xml:space="preserve">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w:t>
      </w:r>
      <w:r>
        <w:rPr>
          <w:rFonts w:ascii="Times New Roman" w:hAnsi="Times New Roman" w:eastAsia="Times New Roman" w:cs="Times New Roman"/>
          <w:sz w:val="26"/>
          <w:szCs w:val="26"/>
        </w:rPr>
        <w:t xml:space="preserve">tiên liệu được và ngoài tầm kiểm soát của mình.</w:t>
      </w:r>
      <w:bookmarkStart w:id="11" w:name="8qrjpg3m5wir"/>
      <w:r/>
      <w:bookmarkEnd w:id="11"/>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Khi tình trạng bất khả kháng xảy ra, Bên gặp bất khả kháng sẽ phải thông báo cho Bên kia bằng văn bản (Fax) trong vòng 48 giờ kể từ khi xảy ra tình trạng bất khả kháng.</w:t>
      </w:r>
      <w:bookmarkStart w:id="12" w:name="ap13jcg0mdpj"/>
      <w:r/>
      <w:bookmarkEnd w:id="12"/>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Bên gặp bất khả kháng sẽ phải tiếp </w:t>
      </w:r>
      <w:r>
        <w:rPr>
          <w:rFonts w:ascii="Times New Roman" w:hAnsi="Times New Roman" w:eastAsia="Times New Roman" w:cs="Times New Roman"/>
          <w:sz w:val="26"/>
          <w:szCs w:val="26"/>
        </w:rPr>
        <w:t xml:space="preserve">tục thực hiện trách nhiệm của mình khi bất khả kháng kết thúc.</w:t>
      </w:r>
      <w:bookmarkStart w:id="13" w:name="4bmgko7x8lai"/>
      <w:r/>
      <w:bookmarkEnd w:id="13"/>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 Nếu tình trạng bất khả kháng tiếp diễn quá 05 ngày, mỗi Bên tuỳ theo sự lựa chọn của mình, có thể quyết định tiếp tục hoặc ngừng thực hiện Hợp đồng. Trong trường hợp này, Bên kia sẽ không có </w:t>
      </w:r>
      <w:r>
        <w:rPr>
          <w:rFonts w:ascii="Times New Roman" w:hAnsi="Times New Roman" w:eastAsia="Times New Roman" w:cs="Times New Roman"/>
          <w:sz w:val="26"/>
          <w:szCs w:val="26"/>
        </w:rPr>
        <w:t xml:space="preserve">quyền khiếu nại đòi bồi thường.</w:t>
      </w:r>
      <w:r>
        <w:rPr>
          <w:rFonts w:ascii="Times New Roman" w:hAnsi="Times New Roman" w:eastAsia="Times New Roman" w:cs="Times New Roman"/>
          <w:sz w:val="26"/>
          <w:szCs w:val="26"/>
        </w:rPr>
      </w:r>
    </w:p>
    <w:p>
      <w:pPr>
        <w:pBdr/>
        <w:spacing w:after="120" w:before="120"/>
        <w:ind/>
        <w:jc w:val="both"/>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Điều 12. Điều khoản chung</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12.1. Hai bên cam kết thực hiện đầy đủ các điều khoản đã thoả thuận trong Hợp đồng và tạo mọi điều kiện để Hợp đồng hoàn thành đúng tiến độ và đảm bảo chất lượng. Bên nào tự huỷ bỏ hoặc vi phạm hợp </w:t>
      </w:r>
      <w:r>
        <w:rPr>
          <w:rFonts w:ascii="Times New Roman" w:hAnsi="Times New Roman" w:eastAsia="Times New Roman" w:cs="Times New Roman"/>
          <w:sz w:val="26"/>
          <w:szCs w:val="26"/>
        </w:rPr>
        <w:t xml:space="preserve">đồng sẽ phải đền bù mọi phí tổn và thiệt hại cho Bên kia.</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12.2. Trong trường hợp xảy ra tranh chấp hợp đồng thì hai Bên cùng thương lượng giải quyết trên tinh thần tôn trọng quyền lợi của mỗi Bên. Trường hợp không đạt được thỏa thuận giữa các Bên, việc giả</w:t>
      </w:r>
      <w:r>
        <w:rPr>
          <w:rFonts w:ascii="Times New Roman" w:hAnsi="Times New Roman" w:eastAsia="Times New Roman" w:cs="Times New Roman"/>
          <w:sz w:val="26"/>
          <w:szCs w:val="26"/>
        </w:rPr>
        <w:t xml:space="preserve">i quyết tranh chấp thông qua hòa giải không thành, thì hai Bên </w:t>
      </w:r>
      <w:r>
        <w:rPr>
          <w:rFonts w:ascii="Times New Roman" w:hAnsi="Times New Roman" w:eastAsia="Times New Roman" w:cs="Times New Roman"/>
          <w:sz w:val="26"/>
          <w:szCs w:val="26"/>
        </w:rPr>
        <w:t xml:space="preserve">sẽ giải quyết tại Toà án có thẩm quyền</w:t>
      </w:r>
      <w:r>
        <w:t xml:space="preserve"> </w:t>
      </w:r>
      <w:r>
        <w:rPr>
          <w:rFonts w:ascii="Times New Roman" w:hAnsi="Times New Roman" w:eastAsia="Times New Roman" w:cs="Times New Roman"/>
          <w:sz w:val="26"/>
          <w:szCs w:val="26"/>
        </w:rPr>
        <w:t xml:space="preserve">tại Thành phố Hồ Chí Minh</w:t>
      </w:r>
      <w:r>
        <w:rPr>
          <w:rFonts w:ascii="Times New Roman" w:hAnsi="Times New Roman" w:eastAsia="Times New Roman" w:cs="Times New Roman"/>
          <w:sz w:val="26"/>
          <w:szCs w:val="26"/>
        </w:rPr>
        <w:t xml:space="preserve">. Chi phí cho việc giải quyết tranh chấp do Toà án phán quyết, các Bên có nghĩa vụ phải tuân thủ.</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12.3. Bên B cam kết bảo mật tuy</w:t>
      </w:r>
      <w:r>
        <w:rPr>
          <w:rFonts w:ascii="Times New Roman" w:hAnsi="Times New Roman" w:eastAsia="Times New Roman" w:cs="Times New Roman"/>
          <w:sz w:val="26"/>
          <w:szCs w:val="26"/>
        </w:rPr>
        <w:t xml:space="preserve">ệt đối mọi thông tin, dữ liệu, hồ sơ, quy trình nội bộ của Bên A trong thời hạn thực hiện Hợp đồng và sau khi Hợp đồng chấm dứt.</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12.4. Hợp đồng làm thành 04 bản (bằng tiếng Việt) có giá trị pháp lý như nhau, Bên A giữ 02 bản, Bên B giữ 02 bản;</w:t>
      </w:r>
      <w:r>
        <w:rPr>
          <w:rFonts w:ascii="Times New Roman" w:hAnsi="Times New Roman" w:eastAsia="Times New Roman" w:cs="Times New Roman"/>
          <w:sz w:val="26"/>
          <w:szCs w:val="26"/>
        </w:rPr>
      </w:r>
    </w:p>
    <w:p>
      <w:pPr>
        <w:pBdr/>
        <w:spacing w:after="120" w:before="120"/>
        <w:ind w:firstLine="709"/>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12.5. Hợp đồng này có hiệu lực kể từ ngày ký./.</w:t>
      </w:r>
      <w:r>
        <w:rPr>
          <w:rFonts w:ascii="Times New Roman" w:hAnsi="Times New Roman" w:eastAsia="Times New Roman" w:cs="Times New Roman"/>
          <w:sz w:val="26"/>
          <w:szCs w:val="26"/>
        </w:rPr>
      </w:r>
    </w:p>
    <w:tbl>
      <w:tblPr>
        <w:tblStyle w:val="931"/>
        <w:tblInd w:w="-108" w:type="dxa"/>
        <w:tblW w:w="9606" w:type="dxa"/>
        <w:tblBorders/>
        <w:tblLayout w:type="fixed"/>
        <w:tblLook w:val="04A0" w:firstRow="1" w:lastRow="0" w:firstColumn="1" w:lastColumn="0" w:noHBand="0" w:noVBand="1"/>
      </w:tblPr>
      <w:tblGrid>
        <w:gridCol w:w="4928"/>
        <w:gridCol w:w="4678"/>
      </w:tblGrid>
      <w:tr>
        <w:trPr>
          <w:trHeight w:val="2258"/>
        </w:trPr>
        <w:tc>
          <w:tcPr>
            <w:tcBorders/>
            <w:tcW w:w="4928" w:type="dxa"/>
          </w:tcPr>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ĐẠI DIỆN BÊN B</w:t>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TỔNG GIÁM ĐỐC</w:t>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Nguyễn Hoàng Hà</w:t>
            </w:r>
            <w:r>
              <w:rPr>
                <w:rFonts w:ascii="Times New Roman" w:hAnsi="Times New Roman" w:eastAsia="Times New Roman" w:cs="Times New Roman"/>
                <w:b/>
                <w:sz w:val="26"/>
                <w:szCs w:val="26"/>
              </w:rPr>
            </w:r>
          </w:p>
        </w:tc>
        <w:tc>
          <w:tcPr>
            <w:tcBorders/>
            <w:tcW w:w="4678" w:type="dxa"/>
          </w:tcPr>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ĐẠI DIỆN BÊN A</w:t>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TỔNG GIÁM ĐỐC</w:t>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r>
            <w:r>
              <w:rPr>
                <w:rFonts w:ascii="Times New Roman" w:hAnsi="Times New Roman" w:eastAsia="Times New Roman" w:cs="Times New Roman"/>
                <w:b/>
                <w:sz w:val="26"/>
                <w:szCs w:val="26"/>
              </w:rPr>
            </w:r>
          </w:p>
          <w:p>
            <w:pPr>
              <w:pBdr/>
              <w:spacing/>
              <w:ind/>
              <w:jc w:val="center"/>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Nguyễn Quốc Thắng</w:t>
            </w:r>
            <w:r>
              <w:rPr>
                <w:rFonts w:ascii="Times New Roman" w:hAnsi="Times New Roman" w:eastAsia="Times New Roman" w:cs="Times New Roman"/>
                <w:b/>
                <w:sz w:val="26"/>
                <w:szCs w:val="26"/>
              </w:rPr>
            </w:r>
          </w:p>
        </w:tc>
      </w:tr>
    </w:tbl>
    <w:p>
      <w:pPr>
        <w:pBdr/>
        <w:spacing/>
        <w:ind/>
        <w:jc w:val="center"/>
        <w:rPr>
          <w:rFonts w:ascii="Times New Roman" w:hAnsi="Times New Roman" w:eastAsia="Times New Roman" w:cs="Times New Roman"/>
          <w:b/>
          <w:bCs/>
          <w:sz w:val="26"/>
          <w:szCs w:val="26"/>
        </w:rPr>
      </w:pPr>
      <w:r>
        <w:br w:type="page" w:clear="all"/>
      </w:r>
      <w:r>
        <w:rPr>
          <w:rFonts w:ascii="Times New Roman" w:hAnsi="Times New Roman" w:eastAsia="Times New Roman" w:cs="Times New Roman"/>
          <w:b/>
          <w:bCs/>
          <w:sz w:val="26"/>
          <w:szCs w:val="26"/>
        </w:rPr>
        <w:t xml:space="preserve">PHỤ LỤC 1</w:t>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Đính kèm hợp đồng số: HĐ_013/CSS_CIC_2026</w:t>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PHẠM VI CÔNG VIỆC, YÊU CẦU KỸ THUẬT CỦA HỢP ĐỒNG</w:t>
      </w:r>
      <w:r>
        <w:rPr>
          <w:rFonts w:ascii="Times New Roman" w:hAnsi="Times New Roman" w:eastAsia="Times New Roman" w:cs="Times New Roman"/>
          <w:b/>
          <w:bCs/>
          <w:sz w:val="26"/>
          <w:szCs w:val="26"/>
        </w:rPr>
      </w:r>
    </w:p>
    <w:p>
      <w:pPr>
        <w:pBdr/>
        <w:spacing w:after="120" w:before="120"/>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Mục 1. Phạm vi công việc</w:t>
      </w:r>
      <w:r>
        <w:rPr>
          <w:rFonts w:ascii="Times New Roman" w:hAnsi="Times New Roman" w:eastAsia="Times New Roman" w:cs="Times New Roman"/>
          <w:b/>
          <w:bCs/>
          <w:sz w:val="26"/>
          <w:szCs w:val="26"/>
        </w:rPr>
      </w:r>
    </w:p>
    <w:p>
      <w:pPr>
        <w:pBdr/>
        <w:spacing w:after="120" w:before="120"/>
        <w:ind w:firstLine="41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Nhà thầu thực hiện các nhóm công việc sau:</w:t>
      </w:r>
      <w:r>
        <w:rPr>
          <w:rFonts w:ascii="Times New Roman" w:hAnsi="Times New Roman" w:eastAsia="Times New Roman" w:cs="Times New Roman"/>
          <w:sz w:val="26"/>
          <w:szCs w:val="26"/>
        </w:rPr>
      </w:r>
    </w:p>
    <w:p w14:paraId="5614C563">
      <w:pPr>
        <w:pBdr/>
        <w:spacing/>
        <w:ind w:firstLine="414"/>
        <w:jc w:val="both"/>
        <w:rPr/>
      </w:pPr>
      <w:r>
        <w:rPr>
          <w:rFonts w:ascii="Times New Roman" w:hAnsi="Times New Roman"/>
          <w:b/>
          <w:sz w:val="26"/>
        </w:rPr>
        <w:t xml:space="preserve">1. Rà soát, đánh giá hiện trạng toàn bộ hệ thống đầu tư xây dựng:</w:t>
      </w:r>
      <w:r>
        <w:rPr>
          <w:rFonts w:ascii="Times New Roman" w:hAnsi="Times New Roman"/>
          <w:sz w:val="26"/>
        </w:rPr>
        <w:t xml:space="preserve"> đánh giá tổng thể một số dự án điển hình trong 05 năm gần nhất; mô hình tổ chức ĐTXD hiện nay (Ban QLDA, các phòn</w:t>
      </w:r>
      <w:r>
        <w:rPr>
          <w:rFonts w:ascii="Times New Roman" w:hAnsi="Times New Roman"/>
          <w:sz w:val="26"/>
        </w:rPr>
        <w:t xml:space="preserve">g kỹ thuật, các đơn vị thành viên); năng lực nhân sự theo chức danh (số lượng, chất lượng, chứng chỉ hành nghề/năng lực) và phân tích </w:t>
      </w:r>
      <w:r>
        <w:rPr>
          <w:rFonts w:ascii="Times New Roman" w:hAnsi="Times New Roman"/>
          <w:sz w:val="26"/>
        </w:rPr>
        <w:t xml:space="preserve">phân tích điểm mạnh, điểm yếu, cơ hội và thách thức</w:t>
      </w:r>
      <w:r>
        <w:rPr>
          <w:rFonts w:ascii="Times New Roman" w:hAnsi="Times New Roman"/>
          <w:sz w:val="26"/>
        </w:rPr>
        <w:t xml:space="preserve">; các bất cập (chậm tiến độ; tăng TMĐT; điều chỉnh thiết kế; vướng đấu thầu; vướng quyết toán; chồng chéo thẩm quyền).</w:t>
      </w:r>
      <w:r/>
      <w:r/>
    </w:p>
    <w:p w14:paraId="6D4E6EC5">
      <w:pPr>
        <w:pBdr/>
        <w:spacing/>
        <w:ind w:firstLine="414"/>
        <w:jc w:val="both"/>
        <w:rPr/>
      </w:pPr>
      <w:r>
        <w:rPr>
          <w:rFonts w:ascii="Times New Roman" w:hAnsi="Times New Roman"/>
          <w:b/>
          <w:sz w:val="26"/>
        </w:rPr>
        <w:t xml:space="preserve">2. Thiết kế mô hình tổ chức quản trị ĐTXD mới và hệ thống phân cấp, phân quyền:</w:t>
      </w:r>
      <w:r>
        <w:rPr>
          <w:rFonts w:ascii="Times New Roman" w:hAnsi="Times New Roman"/>
          <w:sz w:val="26"/>
        </w:rPr>
        <w:t xml:space="preserve"> phân tích, đề xuất tối thiểu 03 phương án tổ chức (ưu, nhược điểm, khung tiêu chí, bảng so sánh; ưu tiên tận dụng nhân</w:t>
      </w:r>
      <w:r>
        <w:rPr>
          <w:rFonts w:ascii="Times New Roman" w:hAnsi="Times New Roman"/>
          <w:sz w:val="26"/>
        </w:rPr>
        <w:t xml:space="preserve"> lực hiện hữu) và khuyến nghị phương án; xây dựng ma trận thẩm quyền (chủ trương đầu tư; phê duyệt dự án; điều chỉnh TMĐT; chỉ định thầu; quyết toán...) phân định rõ giữa các cấp (Tổng giám đốc, HĐQT, VICEM), đồng bộ với Điều lệ và Quy chế ĐTXD của VICEM. </w:t>
      </w:r>
      <w:r>
        <w:rPr>
          <w:rFonts w:ascii="Times New Roman" w:hAnsi="Times New Roman"/>
          <w:i/>
          <w:sz w:val="26"/>
        </w:rPr>
        <w:t xml:space="preserve">Sản phẩm: Sơ đồ tổ chức; Ma trận chức năng; </w:t>
      </w:r>
      <w:r>
        <w:rPr>
          <w:rFonts w:ascii="Times New Roman" w:hAnsi="Times New Roman"/>
          <w:i/>
          <w:sz w:val="26"/>
        </w:rPr>
        <w:t xml:space="preserve">Ma trận phân công trách nhiệm</w:t>
      </w:r>
      <w:r>
        <w:rPr>
          <w:rFonts w:ascii="Times New Roman" w:hAnsi="Times New Roman"/>
          <w:i/>
          <w:sz w:val="26"/>
        </w:rPr>
        <w:t xml:space="preserve">; Ma trận thẩm quyền.</w:t>
      </w:r>
      <w:r/>
      <w:r/>
    </w:p>
    <w:p w14:paraId="704BF496">
      <w:pPr>
        <w:pBdr/>
        <w:spacing/>
        <w:ind w:firstLine="414"/>
        <w:jc w:val="both"/>
        <w:rPr/>
      </w:pPr>
      <w:r>
        <w:rPr>
          <w:rFonts w:ascii="Times New Roman" w:hAnsi="Times New Roman"/>
          <w:b/>
          <w:sz w:val="26"/>
        </w:rPr>
        <w:t xml:space="preserve">3. Chuẩn hóa quy trình, quy chế và hệ thống biểu mẫu ĐTXD:</w:t>
      </w:r>
      <w:r>
        <w:rPr>
          <w:rFonts w:ascii="Times New Roman" w:hAnsi="Times New Roman"/>
          <w:sz w:val="26"/>
        </w:rPr>
        <w:t xml:space="preserve"> </w:t>
      </w:r>
      <w:r>
        <w:rPr>
          <w:rFonts w:ascii="Times New Roman" w:hAnsi="Times New Roman"/>
          <w:sz w:val="26"/>
        </w:rPr>
        <w:t xml:space="preserve">c</w:t>
      </w:r>
      <w:r>
        <w:rPr>
          <w:rFonts w:ascii="Times New Roman" w:hAnsi="Times New Roman"/>
          <w:sz w:val="26"/>
        </w:rPr>
        <w:t xml:space="preserve">huẩn hóa toàn bộ quy trình Đầu tư Xây dựng theo 03 giai đoạn (chuẩn bị đầu tư, thực hiện, kết thúc) theo định hướng Tiêu chuẩn Quản lý Quốc tế (ISO) và sơ đồ luồng công việc điện tử; xây dựng bộ 08 quy chế nội bộ mới — (1) Quản lý Đầu tư Xây dựng; (2) Quản</w:t>
      </w:r>
      <w:r>
        <w:rPr>
          <w:rFonts w:ascii="Times New Roman" w:hAnsi="Times New Roman"/>
          <w:sz w:val="26"/>
        </w:rPr>
        <w:t xml:space="preserve"> lý chi phí đầu tư; (3) Đấu thầu; (4) Quản lý hợp đồng; (5) Nghiệm thu – bàn giao; (6) Quyết toán vốn đầu tư; (7) Phân cấp, phân quyền Đầu tư Xây dựng; (8) Kiểm soát nội bộ dự án; kèm hệ thống biểu mẫu chuẩn</w:t>
      </w:r>
      <w:r>
        <w:rPr>
          <w:rFonts w:ascii="Times New Roman" w:hAnsi="Times New Roman"/>
          <w:sz w:val="26"/>
        </w:rPr>
        <w:t xml:space="preserve">. </w:t>
      </w:r>
      <w:r>
        <w:rPr>
          <w:rFonts w:ascii="Times New Roman" w:hAnsi="Times New Roman"/>
          <w:i/>
          <w:sz w:val="26"/>
        </w:rPr>
        <w:t xml:space="preserve">Bộ quy trình vận hành chuẩn Đầu tư Xây dựng; 08 quy chế nội bộ; hệ thống biểu mẫu chuẩn.</w:t>
      </w:r>
      <w:r/>
      <w:r/>
    </w:p>
    <w:p w14:paraId="31476358">
      <w:pPr>
        <w:pBdr/>
        <w:spacing/>
        <w:ind w:firstLine="414"/>
        <w:jc w:val="both"/>
        <w:rPr/>
      </w:pPr>
      <w:r>
        <w:rPr>
          <w:rFonts w:ascii="Times New Roman" w:hAnsi="Times New Roman"/>
          <w:b/>
          <w:sz w:val="26"/>
        </w:rPr>
        <w:t xml:space="preserve">4. Xây dựng hệ thống công cụ quản trị và lộ trình chuyển đổi số:</w:t>
      </w:r>
      <w:r>
        <w:rPr>
          <w:rFonts w:ascii="Times New Roman" w:hAnsi="Times New Roman"/>
          <w:sz w:val="26"/>
        </w:rPr>
        <w:t xml:space="preserve"> </w:t>
      </w:r>
      <w:r>
        <w:rPr>
          <w:rFonts w:ascii="Times New Roman" w:hAnsi="Times New Roman"/>
          <w:sz w:val="26"/>
        </w:rPr>
        <w:t xml:space="preserve">x</w:t>
      </w:r>
      <w:r>
        <w:rPr>
          <w:rFonts w:ascii="Times New Roman" w:hAnsi="Times New Roman"/>
          <w:sz w:val="26"/>
        </w:rPr>
        <w:t xml:space="preserve">ây dựng bộ chỉ số đánh giá hiệu suất quản lý dự án (tiến độ, chi phí, chất lượng, hiệu quả đầu tư); hệ thống quản trị rủi ro Đầu tư Xây dựng; lộ trình chuyển đổi số hoạt động đầu tư xây dựng. Việc triển khai số hóa chi tiết và đầu tư phần mềm thuộc phạm vi</w:t>
      </w:r>
      <w:r>
        <w:rPr>
          <w:rFonts w:ascii="Times New Roman" w:hAnsi="Times New Roman"/>
          <w:sz w:val="26"/>
        </w:rPr>
        <w:t xml:space="preserve"> hợp đồng riêng.</w:t>
      </w:r>
      <w:r/>
      <w:r/>
    </w:p>
    <w:p w14:paraId="5AA9B737">
      <w:pPr>
        <w:pBdr/>
        <w:spacing/>
        <w:ind w:firstLine="414"/>
        <w:jc w:val="both"/>
        <w:rPr/>
      </w:pPr>
      <w:r>
        <w:rPr>
          <w:rFonts w:ascii="Times New Roman" w:hAnsi="Times New Roman"/>
          <w:b/>
          <w:sz w:val="26"/>
        </w:rPr>
        <w:t xml:space="preserve">5. Đào tạo và chuyển giao:</w:t>
      </w:r>
      <w:r>
        <w:rPr>
          <w:rFonts w:ascii="Times New Roman" w:hAnsi="Times New Roman"/>
          <w:sz w:val="26"/>
        </w:rPr>
        <w:t xml:space="preserve"> đào tạo HĐQT, Ban Tổng giám đốc, Ban ĐTXD và các nhà máy; kèm sổ tay hướng dẫn, bộ tài liệu đào tạo; hỗ trợ áp dụng từ 06 đến 12 tháng.</w:t>
      </w:r>
      <w:r/>
      <w:r/>
    </w:p>
    <w:p w14:paraId="7E538B2B">
      <w:pPr>
        <w:numPr>
          <w:ilvl w:val="0"/>
          <w:numId w:val="4"/>
        </w:numPr>
        <w:pBdr/>
        <w:spacing w:after="20" w:before="20"/>
        <w:ind w:hanging="35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Danh mục các hệ thống quy chế, quy trình quản lý dự án thuộc phạm vi của hợp đồng (Chưa bao gồm các quy trình dự kiến bổ sung mới):</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04332241">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QT 34/QT-QLDA — Quản lý dự án tổng thể</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F5C806A">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QT 35/QT-QLDA — Lựa chọn nhà thầu và ký kết hợp đồng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684647B">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QT 36/QT-QLDA — Quản lý chất lượng trong giai đoạn chuẩn bị đầu tư</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2F1F3B6">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QT 37/QT-QLDA — Quản lý thực hiện hợp đồng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706F8E6">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QT 16/QT-QLDA — Quản lý chất lượng trong hoạt động ĐTXD (khảo sát, thiết kế, thi công, nghiệm thu)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75E5445">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QT 17/QT-QLDA — Thanh, quyết toán hợp đồng ĐTXD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78E0D771">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QT 18/QT-QLDA — Quyết toán dự án hoàn thành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6FECCD60">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QT 161/QT-QLDA — Số hóa và lưu trữ tài liệu</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22BB116B">
      <w:pPr>
        <w:numPr>
          <w:ilvl w:val="0"/>
          <w:numId w:val="4"/>
        </w:numPr>
        <w:pBdr/>
        <w:spacing w:after="20" w:before="20"/>
        <w:ind w:hanging="357"/>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Danh mục các quy chế, quy trình dự kiến bổ sung, ban hành mới: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1C51BF9">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Quản lý BIM và Môi trường Dữ liệu Chung</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5479C98E">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Bàn giao, bảo hành và bảo trì công trình</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4B55D42">
      <w:pPr>
        <w:numPr>
          <w:ilvl w:val="0"/>
          <w:numId w:val="5"/>
        </w:numPr>
        <w:pBdr/>
        <w:spacing w:after="20" w:before="2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Giám sát, đánh giá và báo cáo dự án định kỳ</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4A0D26B5">
      <w:pPr>
        <w:numPr>
          <w:ilvl w:val="0"/>
          <w:numId w:val="5"/>
        </w:numPr>
        <w:pBdr/>
        <w:spacing w:after="60" w:before="60"/>
        <w:ind w:hanging="357" w:left="1134"/>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Quản lý an toàn lao động và môi trường thi công</w:t>
      </w:r>
      <w:r>
        <w:rPr>
          <w:rFonts w:ascii="Times New Roman" w:hAnsi="Times New Roman" w:eastAsia="Times New Roman" w:cs="Times New Roman"/>
          <w:sz w:val="26"/>
          <w:szCs w:val="26"/>
          <w:lang w:val="en-US"/>
        </w:rPr>
        <w:t xml:space="preserve">.</w:t>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after="120" w:before="120"/>
        <w:ind/>
        <w:jc w:val="both"/>
        <w:rPr>
          <w:rFonts w:ascii="Times New Roman" w:hAnsi="Times New Roman" w:eastAsia="Times New Roman" w:cs="Times New Roman"/>
          <w:b/>
          <w:bCs/>
          <w:sz w:val="26"/>
          <w:szCs w:val="26"/>
        </w:rPr>
      </w:pPr>
      <w:r>
        <w:rPr>
          <w:rFonts w:ascii="Times New Roman" w:hAnsi="Times New Roman"/>
          <w:b/>
          <w:sz w:val="26"/>
        </w:rPr>
        <w:t xml:space="preserve">M</w:t>
      </w:r>
      <w:r>
        <w:rPr>
          <w:rFonts w:ascii="Times New Roman" w:hAnsi="Times New Roman"/>
          <w:b/>
          <w:sz w:val="26"/>
        </w:rPr>
        <w:t xml:space="preserve">ụ</w:t>
      </w:r>
      <w:r>
        <w:rPr>
          <w:rFonts w:ascii="Times New Roman" w:hAnsi="Times New Roman"/>
          <w:b/>
          <w:sz w:val="26"/>
        </w:rPr>
        <w:t xml:space="preserve">c 2. Căn c</w:t>
      </w:r>
      <w:r>
        <w:rPr>
          <w:rFonts w:ascii="Times New Roman" w:hAnsi="Times New Roman"/>
          <w:b/>
          <w:sz w:val="26"/>
        </w:rPr>
        <w:t xml:space="preserve">ứ</w:t>
      </w:r>
      <w:r>
        <w:rPr>
          <w:rFonts w:ascii="Times New Roman" w:hAnsi="Times New Roman"/>
          <w:b/>
          <w:sz w:val="26"/>
        </w:rPr>
        <w:t xml:space="preserve"> pháp lu</w:t>
      </w:r>
      <w:r>
        <w:rPr>
          <w:rFonts w:ascii="Times New Roman" w:hAnsi="Times New Roman"/>
          <w:b/>
          <w:sz w:val="26"/>
        </w:rPr>
        <w:t xml:space="preserve">ậ</w:t>
      </w:r>
      <w:r>
        <w:rPr>
          <w:rFonts w:ascii="Times New Roman" w:hAnsi="Times New Roman"/>
          <w:b/>
          <w:sz w:val="26"/>
        </w:rPr>
        <w:t xml:space="preserve">t</w:t>
      </w:r>
      <w:r>
        <w:rPr>
          <w:rFonts w:ascii="Times New Roman" w:hAnsi="Times New Roman" w:eastAsia="Times New Roman" w:cs="Times New Roman"/>
          <w:b/>
          <w:bCs/>
          <w:sz w:val="26"/>
          <w:szCs w:val="26"/>
        </w:rPr>
      </w:r>
    </w:p>
    <w:p>
      <w:pPr>
        <w:pBdr/>
        <w:spacing w:after="120" w:before="120"/>
        <w:ind w:firstLine="720"/>
        <w:jc w:val="both"/>
        <w:rPr>
          <w:rFonts w:ascii="Times New Roman" w:hAnsi="Times New Roman" w:eastAsia="Times New Roman" w:cs="Times New Roman"/>
          <w:sz w:val="26"/>
          <w:szCs w:val="26"/>
        </w:rPr>
      </w:pPr>
      <w:r>
        <w:rPr>
          <w:rFonts w:ascii="Times New Roman" w:hAnsi="Times New Roman"/>
          <w:sz w:val="26"/>
        </w:rPr>
        <w:t xml:space="preserve">Toàn b</w:t>
      </w:r>
      <w:r>
        <w:rPr>
          <w:rFonts w:ascii="Times New Roman" w:hAnsi="Times New Roman"/>
          <w:sz w:val="26"/>
        </w:rPr>
        <w:t xml:space="preserve">ộ</w:t>
      </w:r>
      <w:r>
        <w:rPr>
          <w:rFonts w:ascii="Times New Roman" w:hAnsi="Times New Roman"/>
          <w:sz w:val="26"/>
        </w:rPr>
        <w:t xml:space="preserve"> công vi</w:t>
      </w:r>
      <w:r>
        <w:rPr>
          <w:rFonts w:ascii="Times New Roman" w:hAnsi="Times New Roman"/>
          <w:sz w:val="26"/>
        </w:rPr>
        <w:t xml:space="preserve">ệ</w:t>
      </w:r>
      <w:r>
        <w:rPr>
          <w:rFonts w:ascii="Times New Roman" w:hAnsi="Times New Roman"/>
          <w:sz w:val="26"/>
        </w:rPr>
        <w:t xml:space="preserve">c t</w:t>
      </w:r>
      <w:r>
        <w:rPr>
          <w:rFonts w:ascii="Times New Roman" w:hAnsi="Times New Roman"/>
          <w:sz w:val="26"/>
        </w:rPr>
        <w:t xml:space="preserve">ạ</w:t>
      </w:r>
      <w:r>
        <w:rPr>
          <w:rFonts w:ascii="Times New Roman" w:hAnsi="Times New Roman"/>
          <w:sz w:val="26"/>
        </w:rPr>
        <w:t xml:space="preserve">i M</w:t>
      </w:r>
      <w:r>
        <w:rPr>
          <w:rFonts w:ascii="Times New Roman" w:hAnsi="Times New Roman"/>
          <w:sz w:val="26"/>
        </w:rPr>
        <w:t xml:space="preserve">ụ</w:t>
      </w:r>
      <w:r>
        <w:rPr>
          <w:rFonts w:ascii="Times New Roman" w:hAnsi="Times New Roman"/>
          <w:sz w:val="26"/>
        </w:rPr>
        <w:t xml:space="preserve">c 1 đư</w:t>
      </w:r>
      <w:r>
        <w:rPr>
          <w:rFonts w:ascii="Times New Roman" w:hAnsi="Times New Roman"/>
          <w:sz w:val="26"/>
        </w:rPr>
        <w:t xml:space="preserve">ợ</w:t>
      </w:r>
      <w:r>
        <w:rPr>
          <w:rFonts w:ascii="Times New Roman" w:hAnsi="Times New Roman"/>
          <w:sz w:val="26"/>
        </w:rPr>
        <w:t xml:space="preserve">c th</w:t>
      </w:r>
      <w:r>
        <w:rPr>
          <w:rFonts w:ascii="Times New Roman" w:hAnsi="Times New Roman"/>
          <w:sz w:val="26"/>
        </w:rPr>
        <w:t xml:space="preserve">ự</w:t>
      </w:r>
      <w:r>
        <w:rPr>
          <w:rFonts w:ascii="Times New Roman" w:hAnsi="Times New Roman"/>
          <w:sz w:val="26"/>
        </w:rPr>
        <w:t xml:space="preserve">c hi</w:t>
      </w:r>
      <w:r>
        <w:rPr>
          <w:rFonts w:ascii="Times New Roman" w:hAnsi="Times New Roman"/>
          <w:sz w:val="26"/>
        </w:rPr>
        <w:t xml:space="preserve">ệ</w:t>
      </w:r>
      <w:r>
        <w:rPr>
          <w:rFonts w:ascii="Times New Roman" w:hAnsi="Times New Roman"/>
          <w:sz w:val="26"/>
        </w:rPr>
        <w:t xml:space="preserve">n b</w:t>
      </w:r>
      <w:r>
        <w:rPr>
          <w:rFonts w:ascii="Times New Roman" w:hAnsi="Times New Roman"/>
          <w:sz w:val="26"/>
        </w:rPr>
        <w:t xml:space="preserve">ả</w:t>
      </w:r>
      <w:r>
        <w:rPr>
          <w:rFonts w:ascii="Times New Roman" w:hAnsi="Times New Roman"/>
          <w:sz w:val="26"/>
        </w:rPr>
        <w:t xml:space="preserve">o đ</w:t>
      </w:r>
      <w:r>
        <w:rPr>
          <w:rFonts w:ascii="Times New Roman" w:hAnsi="Times New Roman"/>
          <w:sz w:val="26"/>
        </w:rPr>
        <w:t xml:space="preserve">ả</w:t>
      </w:r>
      <w:r>
        <w:rPr>
          <w:rFonts w:ascii="Times New Roman" w:hAnsi="Times New Roman"/>
          <w:sz w:val="26"/>
        </w:rPr>
        <w:t xml:space="preserve">m tuân th</w:t>
      </w:r>
      <w:r>
        <w:rPr>
          <w:rFonts w:ascii="Times New Roman" w:hAnsi="Times New Roman"/>
          <w:sz w:val="26"/>
        </w:rPr>
        <w:t xml:space="preserve">ủ</w:t>
      </w:r>
      <w:r>
        <w:rPr>
          <w:rFonts w:ascii="Times New Roman" w:hAnsi="Times New Roman"/>
          <w:sz w:val="26"/>
        </w:rPr>
        <w:t xml:space="preserve"> và phù h</w:t>
      </w:r>
      <w:r>
        <w:rPr>
          <w:rFonts w:ascii="Times New Roman" w:hAnsi="Times New Roman"/>
          <w:sz w:val="26"/>
        </w:rPr>
        <w:t xml:space="preserve">ợ</w:t>
      </w:r>
      <w:r>
        <w:rPr>
          <w:rFonts w:ascii="Times New Roman" w:hAnsi="Times New Roman"/>
          <w:sz w:val="26"/>
        </w:rPr>
        <w:t xml:space="preserve">p v</w:t>
      </w:r>
      <w:r>
        <w:rPr>
          <w:rFonts w:ascii="Times New Roman" w:hAnsi="Times New Roman"/>
          <w:sz w:val="26"/>
        </w:rPr>
        <w:t xml:space="preserve">ớ</w:t>
      </w:r>
      <w:r>
        <w:rPr>
          <w:rFonts w:ascii="Times New Roman" w:hAnsi="Times New Roman"/>
          <w:sz w:val="26"/>
        </w:rPr>
        <w:t xml:space="preserve">i quy đ</w:t>
      </w:r>
      <w:r>
        <w:rPr>
          <w:rFonts w:ascii="Times New Roman" w:hAnsi="Times New Roman"/>
          <w:sz w:val="26"/>
        </w:rPr>
        <w:t xml:space="preserve">ị</w:t>
      </w:r>
      <w:r>
        <w:rPr>
          <w:rFonts w:ascii="Times New Roman" w:hAnsi="Times New Roman"/>
          <w:sz w:val="26"/>
        </w:rPr>
        <w:t xml:space="preserve">nh pháp lu</w:t>
      </w:r>
      <w:r>
        <w:rPr>
          <w:rFonts w:ascii="Times New Roman" w:hAnsi="Times New Roman"/>
          <w:sz w:val="26"/>
        </w:rPr>
        <w:t xml:space="preserve">ậ</w:t>
      </w:r>
      <w:r>
        <w:rPr>
          <w:rFonts w:ascii="Times New Roman" w:hAnsi="Times New Roman"/>
          <w:sz w:val="26"/>
        </w:rPr>
        <w:t xml:space="preserve">t hi</w:t>
      </w:r>
      <w:r>
        <w:rPr>
          <w:rFonts w:ascii="Times New Roman" w:hAnsi="Times New Roman"/>
          <w:sz w:val="26"/>
        </w:rPr>
        <w:t xml:space="preserve">ệ</w:t>
      </w:r>
      <w:r>
        <w:rPr>
          <w:rFonts w:ascii="Times New Roman" w:hAnsi="Times New Roman"/>
          <w:sz w:val="26"/>
        </w:rPr>
        <w:t xml:space="preserve">n hành và quy đ</w:t>
      </w:r>
      <w:r>
        <w:rPr>
          <w:rFonts w:ascii="Times New Roman" w:hAnsi="Times New Roman"/>
          <w:sz w:val="26"/>
        </w:rPr>
        <w:t xml:space="preserve">ị</w:t>
      </w:r>
      <w:r>
        <w:rPr>
          <w:rFonts w:ascii="Times New Roman" w:hAnsi="Times New Roman"/>
          <w:sz w:val="26"/>
        </w:rPr>
        <w:t xml:space="preserve">nh qu</w:t>
      </w:r>
      <w:r>
        <w:rPr>
          <w:rFonts w:ascii="Times New Roman" w:hAnsi="Times New Roman"/>
          <w:sz w:val="26"/>
        </w:rPr>
        <w:t xml:space="preserve">ả</w:t>
      </w:r>
      <w:r>
        <w:rPr>
          <w:rFonts w:ascii="Times New Roman" w:hAnsi="Times New Roman"/>
          <w:sz w:val="26"/>
        </w:rPr>
        <w:t xml:space="preserve">n tr</w:t>
      </w:r>
      <w:r>
        <w:rPr>
          <w:rFonts w:ascii="Times New Roman" w:hAnsi="Times New Roman"/>
          <w:sz w:val="26"/>
        </w:rPr>
        <w:t xml:space="preserve">ị</w:t>
      </w:r>
      <w:r>
        <w:rPr>
          <w:rFonts w:ascii="Times New Roman" w:hAnsi="Times New Roman"/>
          <w:sz w:val="26"/>
        </w:rPr>
        <w:t xml:space="preserve"> c</w:t>
      </w:r>
      <w:r>
        <w:rPr>
          <w:rFonts w:ascii="Times New Roman" w:hAnsi="Times New Roman"/>
          <w:sz w:val="26"/>
        </w:rPr>
        <w:t xml:space="preserve">ủ</w:t>
      </w:r>
      <w:r>
        <w:rPr>
          <w:rFonts w:ascii="Times New Roman" w:hAnsi="Times New Roman"/>
          <w:sz w:val="26"/>
        </w:rPr>
        <w:t xml:space="preserve">a VICEM, bao g</w:t>
      </w:r>
      <w:r>
        <w:rPr>
          <w:rFonts w:ascii="Times New Roman" w:hAnsi="Times New Roman"/>
          <w:sz w:val="26"/>
        </w:rPr>
        <w:t xml:space="preserve">ồ</w:t>
      </w:r>
      <w:r>
        <w:rPr>
          <w:rFonts w:ascii="Times New Roman" w:hAnsi="Times New Roman"/>
          <w:sz w:val="26"/>
        </w:rPr>
        <w:t xml:space="preserve">m nhưng không gi</w:t>
      </w:r>
      <w:r>
        <w:rPr>
          <w:rFonts w:ascii="Times New Roman" w:hAnsi="Times New Roman"/>
          <w:sz w:val="26"/>
        </w:rPr>
        <w:t xml:space="preserve">ớ</w:t>
      </w:r>
      <w:r>
        <w:rPr>
          <w:rFonts w:ascii="Times New Roman" w:hAnsi="Times New Roman"/>
          <w:sz w:val="26"/>
        </w:rPr>
        <w:t xml:space="preserve">i h</w:t>
      </w:r>
      <w:r>
        <w:rPr>
          <w:rFonts w:ascii="Times New Roman" w:hAnsi="Times New Roman"/>
          <w:sz w:val="26"/>
        </w:rPr>
        <w:t xml:space="preserve">ạ</w:t>
      </w:r>
      <w:r>
        <w:rPr>
          <w:rFonts w:ascii="Times New Roman" w:hAnsi="Times New Roman"/>
          <w:sz w:val="26"/>
        </w:rPr>
        <w:t xml:space="preserve">n:</w:t>
      </w:r>
      <w:r>
        <w:rPr>
          <w:rFonts w:ascii="Times New Roman" w:hAnsi="Times New Roman" w:eastAsia="Times New Roman" w:cs="Times New Roman"/>
          <w:sz w:val="26"/>
          <w:szCs w:val="26"/>
        </w:rPr>
      </w:r>
    </w:p>
    <w:p>
      <w:pPr>
        <w:pBdr/>
        <w:spacing w:after="20" w:before="20"/>
        <w:ind/>
        <w:jc w:val="both"/>
        <w:rPr>
          <w:rFonts w:ascii="Times New Roman" w:hAnsi="Times New Roman" w:eastAsia="Times New Roman" w:cs="Times New Roman"/>
          <w:sz w:val="26"/>
          <w:szCs w:val="26"/>
        </w:rPr>
      </w:pPr>
      <w:r>
        <w:rPr>
          <w:rFonts w:ascii="Times New Roman" w:hAnsi="Times New Roman"/>
          <w:sz w:val="26"/>
        </w:rPr>
        <w:t xml:space="preserve">-  Lu</w:t>
      </w:r>
      <w:r>
        <w:rPr>
          <w:rFonts w:ascii="Times New Roman" w:hAnsi="Times New Roman"/>
          <w:sz w:val="26"/>
        </w:rPr>
        <w:t xml:space="preserve">ậ</w:t>
      </w:r>
      <w:r>
        <w:rPr>
          <w:rFonts w:ascii="Times New Roman" w:hAnsi="Times New Roman"/>
          <w:sz w:val="26"/>
        </w:rPr>
        <w:t xml:space="preserve">t Xây d</w:t>
      </w:r>
      <w:r>
        <w:rPr>
          <w:rFonts w:ascii="Times New Roman" w:hAnsi="Times New Roman"/>
          <w:sz w:val="26"/>
        </w:rPr>
        <w:t xml:space="preserve">ự</w:t>
      </w:r>
      <w:r>
        <w:rPr>
          <w:rFonts w:ascii="Times New Roman" w:hAnsi="Times New Roman"/>
          <w:sz w:val="26"/>
        </w:rPr>
        <w:t xml:space="preserve">ng s</w:t>
      </w:r>
      <w:r>
        <w:rPr>
          <w:rFonts w:ascii="Times New Roman" w:hAnsi="Times New Roman"/>
          <w:sz w:val="26"/>
        </w:rPr>
        <w:t xml:space="preserve">ố</w:t>
      </w:r>
      <w:r>
        <w:rPr>
          <w:rFonts w:ascii="Times New Roman" w:hAnsi="Times New Roman"/>
          <w:sz w:val="26"/>
        </w:rPr>
        <w:t xml:space="preserve"> 135/20</w:t>
      </w:r>
      <w:r>
        <w:rPr>
          <w:rFonts w:ascii="Times New Roman" w:hAnsi="Times New Roman"/>
          <w:sz w:val="26"/>
        </w:rPr>
        <w:t xml:space="preserve">25/QH15 ngày 10/12/2025 và các văn b</w:t>
      </w:r>
      <w:r>
        <w:rPr>
          <w:rFonts w:ascii="Times New Roman" w:hAnsi="Times New Roman"/>
          <w:sz w:val="26"/>
        </w:rPr>
        <w:t xml:space="preserve">ả</w:t>
      </w:r>
      <w:r>
        <w:rPr>
          <w:rFonts w:ascii="Times New Roman" w:hAnsi="Times New Roman"/>
          <w:sz w:val="26"/>
        </w:rPr>
        <w:t xml:space="preserve">n hư</w:t>
      </w:r>
      <w:r>
        <w:rPr>
          <w:rFonts w:ascii="Times New Roman" w:hAnsi="Times New Roman"/>
          <w:sz w:val="26"/>
        </w:rPr>
        <w:t xml:space="preserve">ớ</w:t>
      </w:r>
      <w:r>
        <w:rPr>
          <w:rFonts w:ascii="Times New Roman" w:hAnsi="Times New Roman"/>
          <w:sz w:val="26"/>
        </w:rPr>
        <w:t xml:space="preserve">ng d</w:t>
      </w:r>
      <w:r>
        <w:rPr>
          <w:rFonts w:ascii="Times New Roman" w:hAnsi="Times New Roman"/>
          <w:sz w:val="26"/>
        </w:rPr>
        <w:t xml:space="preserve">ẫ</w:t>
      </w:r>
      <w:r>
        <w:rPr>
          <w:rFonts w:ascii="Times New Roman" w:hAnsi="Times New Roman"/>
          <w:sz w:val="26"/>
        </w:rPr>
        <w:t xml:space="preserve">n kèm theo;</w:t>
      </w:r>
      <w:r>
        <w:rPr>
          <w:rFonts w:ascii="Times New Roman" w:hAnsi="Times New Roman" w:eastAsia="Times New Roman" w:cs="Times New Roman"/>
          <w:sz w:val="26"/>
          <w:szCs w:val="26"/>
        </w:rPr>
      </w:r>
    </w:p>
    <w:p>
      <w:pPr>
        <w:pBdr/>
        <w:spacing w:after="20" w:before="20"/>
        <w:ind/>
        <w:jc w:val="both"/>
        <w:rPr>
          <w:rFonts w:ascii="Times New Roman" w:hAnsi="Times New Roman" w:eastAsia="Times New Roman" w:cs="Times New Roman"/>
          <w:sz w:val="26"/>
          <w:szCs w:val="26"/>
        </w:rPr>
      </w:pPr>
      <w:r>
        <w:rPr>
          <w:rFonts w:ascii="Times New Roman" w:hAnsi="Times New Roman"/>
          <w:sz w:val="26"/>
        </w:rPr>
        <w:t xml:space="preserve">-  Lu</w:t>
      </w:r>
      <w:r>
        <w:rPr>
          <w:rFonts w:ascii="Times New Roman" w:hAnsi="Times New Roman"/>
          <w:sz w:val="26"/>
        </w:rPr>
        <w:t xml:space="preserve">ậ</w:t>
      </w:r>
      <w:r>
        <w:rPr>
          <w:rFonts w:ascii="Times New Roman" w:hAnsi="Times New Roman"/>
          <w:sz w:val="26"/>
        </w:rPr>
        <w:t xml:space="preserve">t Đ</w:t>
      </w:r>
      <w:r>
        <w:rPr>
          <w:rFonts w:ascii="Times New Roman" w:hAnsi="Times New Roman"/>
          <w:sz w:val="26"/>
        </w:rPr>
        <w:t xml:space="preserve">ấ</w:t>
      </w:r>
      <w:r>
        <w:rPr>
          <w:rFonts w:ascii="Times New Roman" w:hAnsi="Times New Roman"/>
          <w:sz w:val="26"/>
        </w:rPr>
        <w:t xml:space="preserve">u th</w:t>
      </w:r>
      <w:r>
        <w:rPr>
          <w:rFonts w:ascii="Times New Roman" w:hAnsi="Times New Roman"/>
          <w:sz w:val="26"/>
        </w:rPr>
        <w:t xml:space="preserve">ầ</w:t>
      </w:r>
      <w:r>
        <w:rPr>
          <w:rFonts w:ascii="Times New Roman" w:hAnsi="Times New Roman"/>
          <w:sz w:val="26"/>
        </w:rPr>
        <w:t xml:space="preserve">u s</w:t>
      </w:r>
      <w:r>
        <w:rPr>
          <w:rFonts w:ascii="Times New Roman" w:hAnsi="Times New Roman"/>
          <w:sz w:val="26"/>
        </w:rPr>
        <w:t xml:space="preserve">ố</w:t>
      </w:r>
      <w:r>
        <w:rPr>
          <w:rFonts w:ascii="Times New Roman" w:hAnsi="Times New Roman"/>
          <w:sz w:val="26"/>
        </w:rPr>
        <w:t xml:space="preserve"> 22/2023/QH15 (đã đư</w:t>
      </w:r>
      <w:r>
        <w:rPr>
          <w:rFonts w:ascii="Times New Roman" w:hAnsi="Times New Roman"/>
          <w:sz w:val="26"/>
        </w:rPr>
        <w:t xml:space="preserve">ợ</w:t>
      </w:r>
      <w:r>
        <w:rPr>
          <w:rFonts w:ascii="Times New Roman" w:hAnsi="Times New Roman"/>
          <w:sz w:val="26"/>
        </w:rPr>
        <w:t xml:space="preserve">c s</w:t>
      </w:r>
      <w:r>
        <w:rPr>
          <w:rFonts w:ascii="Times New Roman" w:hAnsi="Times New Roman"/>
          <w:sz w:val="26"/>
        </w:rPr>
        <w:t xml:space="preserve">ử</w:t>
      </w:r>
      <w:r>
        <w:rPr>
          <w:rFonts w:ascii="Times New Roman" w:hAnsi="Times New Roman"/>
          <w:sz w:val="26"/>
        </w:rPr>
        <w:t xml:space="preserve">a đ</w:t>
      </w:r>
      <w:r>
        <w:rPr>
          <w:rFonts w:ascii="Times New Roman" w:hAnsi="Times New Roman"/>
          <w:sz w:val="26"/>
        </w:rPr>
        <w:t xml:space="preserve">ổ</w:t>
      </w:r>
      <w:r>
        <w:rPr>
          <w:rFonts w:ascii="Times New Roman" w:hAnsi="Times New Roman"/>
          <w:sz w:val="26"/>
        </w:rPr>
        <w:t xml:space="preserve">i, b</w:t>
      </w:r>
      <w:r>
        <w:rPr>
          <w:rFonts w:ascii="Times New Roman" w:hAnsi="Times New Roman"/>
          <w:sz w:val="26"/>
        </w:rPr>
        <w:t xml:space="preserve">ổ</w:t>
      </w:r>
      <w:r>
        <w:rPr>
          <w:rFonts w:ascii="Times New Roman" w:hAnsi="Times New Roman"/>
          <w:sz w:val="26"/>
        </w:rPr>
        <w:t xml:space="preserve"> sung b</w:t>
      </w:r>
      <w:r>
        <w:rPr>
          <w:rFonts w:ascii="Times New Roman" w:hAnsi="Times New Roman"/>
          <w:sz w:val="26"/>
        </w:rPr>
        <w:t xml:space="preserve">ở</w:t>
      </w:r>
      <w:r>
        <w:rPr>
          <w:rFonts w:ascii="Times New Roman" w:hAnsi="Times New Roman"/>
          <w:sz w:val="26"/>
        </w:rPr>
        <w:t xml:space="preserve">i Lu</w:t>
      </w:r>
      <w:r>
        <w:rPr>
          <w:rFonts w:ascii="Times New Roman" w:hAnsi="Times New Roman"/>
          <w:sz w:val="26"/>
        </w:rPr>
        <w:t xml:space="preserve">ậ</w:t>
      </w:r>
      <w:r>
        <w:rPr>
          <w:rFonts w:ascii="Times New Roman" w:hAnsi="Times New Roman"/>
          <w:sz w:val="26"/>
        </w:rPr>
        <w:t xml:space="preserve">t s</w:t>
      </w:r>
      <w:r>
        <w:rPr>
          <w:rFonts w:ascii="Times New Roman" w:hAnsi="Times New Roman"/>
          <w:sz w:val="26"/>
        </w:rPr>
        <w:t xml:space="preserve">ố</w:t>
      </w:r>
      <w:r>
        <w:rPr>
          <w:rFonts w:ascii="Times New Roman" w:hAnsi="Times New Roman"/>
          <w:sz w:val="26"/>
        </w:rPr>
        <w:t xml:space="preserve"> 57/2024/QH15 và Lu</w:t>
      </w:r>
      <w:r>
        <w:rPr>
          <w:rFonts w:ascii="Times New Roman" w:hAnsi="Times New Roman"/>
          <w:sz w:val="26"/>
        </w:rPr>
        <w:t xml:space="preserve">ậ</w:t>
      </w:r>
      <w:r>
        <w:rPr>
          <w:rFonts w:ascii="Times New Roman" w:hAnsi="Times New Roman"/>
          <w:sz w:val="26"/>
        </w:rPr>
        <w:t xml:space="preserve">t s</w:t>
      </w:r>
      <w:r>
        <w:rPr>
          <w:rFonts w:ascii="Times New Roman" w:hAnsi="Times New Roman"/>
          <w:sz w:val="26"/>
        </w:rPr>
        <w:t xml:space="preserve">ố</w:t>
      </w:r>
      <w:r>
        <w:rPr>
          <w:rFonts w:ascii="Times New Roman" w:hAnsi="Times New Roman"/>
          <w:sz w:val="26"/>
        </w:rPr>
        <w:t xml:space="preserve"> 90/2025/QH15) và các văn b</w:t>
      </w:r>
      <w:r>
        <w:rPr>
          <w:rFonts w:ascii="Times New Roman" w:hAnsi="Times New Roman"/>
          <w:sz w:val="26"/>
        </w:rPr>
        <w:t xml:space="preserve">ả</w:t>
      </w:r>
      <w:r>
        <w:rPr>
          <w:rFonts w:ascii="Times New Roman" w:hAnsi="Times New Roman"/>
          <w:sz w:val="26"/>
        </w:rPr>
        <w:t xml:space="preserve">n hư</w:t>
      </w:r>
      <w:r>
        <w:rPr>
          <w:rFonts w:ascii="Times New Roman" w:hAnsi="Times New Roman"/>
          <w:sz w:val="26"/>
        </w:rPr>
        <w:t xml:space="preserve">ớ</w:t>
      </w:r>
      <w:r>
        <w:rPr>
          <w:rFonts w:ascii="Times New Roman" w:hAnsi="Times New Roman"/>
          <w:sz w:val="26"/>
        </w:rPr>
        <w:t xml:space="preserve">ng d</w:t>
      </w:r>
      <w:r>
        <w:rPr>
          <w:rFonts w:ascii="Times New Roman" w:hAnsi="Times New Roman"/>
          <w:sz w:val="26"/>
        </w:rPr>
        <w:t xml:space="preserve">ẫ</w:t>
      </w:r>
      <w:r>
        <w:rPr>
          <w:rFonts w:ascii="Times New Roman" w:hAnsi="Times New Roman"/>
          <w:sz w:val="26"/>
        </w:rPr>
        <w:t xml:space="preserve">n kèm theo;</w:t>
      </w:r>
      <w:r>
        <w:rPr>
          <w:rFonts w:ascii="Times New Roman" w:hAnsi="Times New Roman" w:eastAsia="Times New Roman" w:cs="Times New Roman"/>
          <w:sz w:val="26"/>
          <w:szCs w:val="26"/>
        </w:rPr>
      </w:r>
    </w:p>
    <w:p>
      <w:pPr>
        <w:pBdr/>
        <w:spacing w:after="20" w:before="20"/>
        <w:ind/>
        <w:jc w:val="both"/>
        <w:rPr>
          <w:rFonts w:ascii="Times New Roman" w:hAnsi="Times New Roman" w:eastAsia="Times New Roman" w:cs="Times New Roman"/>
          <w:sz w:val="26"/>
          <w:szCs w:val="26"/>
        </w:rPr>
      </w:pPr>
      <w:r>
        <w:rPr>
          <w:rFonts w:ascii="Times New Roman" w:hAnsi="Times New Roman"/>
          <w:sz w:val="26"/>
        </w:rPr>
        <w:t xml:space="preserve">-  Lu</w:t>
      </w:r>
      <w:r>
        <w:rPr>
          <w:rFonts w:ascii="Times New Roman" w:hAnsi="Times New Roman"/>
          <w:sz w:val="26"/>
        </w:rPr>
        <w:t xml:space="preserve">ậ</w:t>
      </w:r>
      <w:r>
        <w:rPr>
          <w:rFonts w:ascii="Times New Roman" w:hAnsi="Times New Roman"/>
          <w:sz w:val="26"/>
        </w:rPr>
        <w:t xml:space="preserve">t s</w:t>
      </w:r>
      <w:r>
        <w:rPr>
          <w:rFonts w:ascii="Times New Roman" w:hAnsi="Times New Roman"/>
          <w:sz w:val="26"/>
        </w:rPr>
        <w:t xml:space="preserve">ố</w:t>
      </w:r>
      <w:r>
        <w:rPr>
          <w:rFonts w:ascii="Times New Roman" w:hAnsi="Times New Roman"/>
          <w:sz w:val="26"/>
        </w:rPr>
        <w:t xml:space="preserve"> 68/2025/QH15 ngày 14/6/2025 – Lu</w:t>
      </w:r>
      <w:r>
        <w:rPr>
          <w:rFonts w:ascii="Times New Roman" w:hAnsi="Times New Roman"/>
          <w:sz w:val="26"/>
        </w:rPr>
        <w:t xml:space="preserve">ậ</w:t>
      </w:r>
      <w:r>
        <w:rPr>
          <w:rFonts w:ascii="Times New Roman" w:hAnsi="Times New Roman"/>
          <w:sz w:val="26"/>
        </w:rPr>
        <w:t xml:space="preserve">t Qu</w:t>
      </w:r>
      <w:r>
        <w:rPr>
          <w:rFonts w:ascii="Times New Roman" w:hAnsi="Times New Roman"/>
          <w:sz w:val="26"/>
        </w:rPr>
        <w:t xml:space="preserve">ả</w:t>
      </w:r>
      <w:r>
        <w:rPr>
          <w:rFonts w:ascii="Times New Roman" w:hAnsi="Times New Roman"/>
          <w:sz w:val="26"/>
        </w:rPr>
        <w:t xml:space="preserve">n lý</w:t>
      </w:r>
      <w:r>
        <w:rPr>
          <w:rFonts w:ascii="Times New Roman" w:hAnsi="Times New Roman"/>
          <w:sz w:val="26"/>
        </w:rPr>
        <w:t xml:space="preserve"> và đ</w:t>
      </w:r>
      <w:r>
        <w:rPr>
          <w:rFonts w:ascii="Times New Roman" w:hAnsi="Times New Roman"/>
          <w:sz w:val="26"/>
        </w:rPr>
        <w:t xml:space="preserve">ầ</w:t>
      </w:r>
      <w:r>
        <w:rPr>
          <w:rFonts w:ascii="Times New Roman" w:hAnsi="Times New Roman"/>
          <w:sz w:val="26"/>
        </w:rPr>
        <w:t xml:space="preserve">u tư v</w:t>
      </w:r>
      <w:r>
        <w:rPr>
          <w:rFonts w:ascii="Times New Roman" w:hAnsi="Times New Roman"/>
          <w:sz w:val="26"/>
        </w:rPr>
        <w:t xml:space="preserve">ố</w:t>
      </w:r>
      <w:r>
        <w:rPr>
          <w:rFonts w:ascii="Times New Roman" w:hAnsi="Times New Roman"/>
          <w:sz w:val="26"/>
        </w:rPr>
        <w:t xml:space="preserve">n nhà nư</w:t>
      </w:r>
      <w:r>
        <w:rPr>
          <w:rFonts w:ascii="Times New Roman" w:hAnsi="Times New Roman"/>
          <w:sz w:val="26"/>
        </w:rPr>
        <w:t xml:space="preserve">ớ</w:t>
      </w:r>
      <w:r>
        <w:rPr>
          <w:rFonts w:ascii="Times New Roman" w:hAnsi="Times New Roman"/>
          <w:sz w:val="26"/>
        </w:rPr>
        <w:t xml:space="preserve">c t</w:t>
      </w:r>
      <w:r>
        <w:rPr>
          <w:rFonts w:ascii="Times New Roman" w:hAnsi="Times New Roman"/>
          <w:sz w:val="26"/>
        </w:rPr>
        <w:t xml:space="preserve">ạ</w:t>
      </w:r>
      <w:r>
        <w:rPr>
          <w:rFonts w:ascii="Times New Roman" w:hAnsi="Times New Roman"/>
          <w:sz w:val="26"/>
        </w:rPr>
        <w:t xml:space="preserve">i doanh nghi</w:t>
      </w:r>
      <w:r>
        <w:rPr>
          <w:rFonts w:ascii="Times New Roman" w:hAnsi="Times New Roman"/>
          <w:sz w:val="26"/>
        </w:rPr>
        <w:t xml:space="preserve">ệ</w:t>
      </w:r>
      <w:r>
        <w:rPr>
          <w:rFonts w:ascii="Times New Roman" w:hAnsi="Times New Roman"/>
          <w:sz w:val="26"/>
        </w:rPr>
        <w:t xml:space="preserve">p (n</w:t>
      </w:r>
      <w:r>
        <w:rPr>
          <w:rFonts w:ascii="Times New Roman" w:hAnsi="Times New Roman"/>
          <w:sz w:val="26"/>
        </w:rPr>
        <w:t xml:space="preserve">ế</w:t>
      </w:r>
      <w:r>
        <w:rPr>
          <w:rFonts w:ascii="Times New Roman" w:hAnsi="Times New Roman"/>
          <w:sz w:val="26"/>
        </w:rPr>
        <w:t xml:space="preserve">u có) và các văn b</w:t>
      </w:r>
      <w:r>
        <w:rPr>
          <w:rFonts w:ascii="Times New Roman" w:hAnsi="Times New Roman"/>
          <w:sz w:val="26"/>
        </w:rPr>
        <w:t xml:space="preserve">ả</w:t>
      </w:r>
      <w:r>
        <w:rPr>
          <w:rFonts w:ascii="Times New Roman" w:hAnsi="Times New Roman"/>
          <w:sz w:val="26"/>
        </w:rPr>
        <w:t xml:space="preserve">n hư</w:t>
      </w:r>
      <w:r>
        <w:rPr>
          <w:rFonts w:ascii="Times New Roman" w:hAnsi="Times New Roman"/>
          <w:sz w:val="26"/>
        </w:rPr>
        <w:t xml:space="preserve">ớ</w:t>
      </w:r>
      <w:r>
        <w:rPr>
          <w:rFonts w:ascii="Times New Roman" w:hAnsi="Times New Roman"/>
          <w:sz w:val="26"/>
        </w:rPr>
        <w:t xml:space="preserve">ng d</w:t>
      </w:r>
      <w:r>
        <w:rPr>
          <w:rFonts w:ascii="Times New Roman" w:hAnsi="Times New Roman"/>
          <w:sz w:val="26"/>
        </w:rPr>
        <w:t xml:space="preserve">ẫ</w:t>
      </w:r>
      <w:r>
        <w:rPr>
          <w:rFonts w:ascii="Times New Roman" w:hAnsi="Times New Roman"/>
          <w:sz w:val="26"/>
        </w:rPr>
        <w:t xml:space="preserve">n kèm theo;</w:t>
      </w:r>
      <w:r>
        <w:rPr>
          <w:rFonts w:ascii="Times New Roman" w:hAnsi="Times New Roman" w:eastAsia="Times New Roman" w:cs="Times New Roman"/>
          <w:sz w:val="26"/>
          <w:szCs w:val="26"/>
        </w:rPr>
      </w:r>
    </w:p>
    <w:p>
      <w:pPr>
        <w:pBdr/>
        <w:spacing w:after="20" w:before="20"/>
        <w:ind/>
        <w:jc w:val="both"/>
        <w:rPr>
          <w:rFonts w:ascii="Times New Roman" w:hAnsi="Times New Roman" w:eastAsia="Times New Roman" w:cs="Times New Roman"/>
          <w:sz w:val="26"/>
          <w:szCs w:val="26"/>
        </w:rPr>
        <w:sectPr>
          <w:headerReference w:type="default" r:id="rId9"/>
          <w:footnotePr/>
          <w:endnotePr/>
          <w:type w:val="nextPage"/>
          <w:pgSz w:h="16840" w:orient="portrait" w:w="11907"/>
          <w:pgMar w:top="1077" w:right="1077" w:bottom="1077" w:left="1474" w:header="848" w:footer="244" w:gutter="0"/>
          <w:pgNumType w:start="1"/>
          <w:cols w:num="1" w:sep="0" w:space="0" w:equalWidth="1"/>
          <w:titlePg/>
        </w:sectPr>
      </w:pPr>
      <w:r>
        <w:rPr>
          <w:rFonts w:ascii="Times New Roman" w:hAnsi="Times New Roman" w:eastAsia="Times New Roman" w:cs="Times New Roman"/>
          <w:sz w:val="26"/>
          <w:szCs w:val="26"/>
        </w:rPr>
        <w:t xml:space="preserve">-  Các quy định pháp luật khác có liên quan.</w:t>
      </w:r>
      <w:r>
        <w:rPr>
          <w:rFonts w:ascii="Times New Roman" w:hAnsi="Times New Roman" w:eastAsia="Times New Roman" w:cs="Times New Roman"/>
          <w:sz w:val="26"/>
          <w:szCs w:val="26"/>
        </w:rPr>
      </w:r>
    </w:p>
    <w:p>
      <w:pPr>
        <w:pBdr/>
        <w:spacing/>
        <w:ind/>
        <w:jc w:val="center"/>
        <w:rPr>
          <w:rFonts w:ascii="Times New Roman" w:hAnsi="Times New Roman" w:eastAsia="Times New Roman" w:cs="Times New Roman"/>
          <w:sz w:val="26"/>
          <w:szCs w:val="26"/>
        </w:rPr>
      </w:pPr>
      <w:r>
        <w:rPr>
          <w:rFonts w:ascii="Times New Roman" w:hAnsi="Times New Roman" w:eastAsia="Times New Roman" w:cs="Times New Roman"/>
          <w:b/>
          <w:bCs/>
          <w:sz w:val="26"/>
          <w:szCs w:val="26"/>
        </w:rPr>
        <w:t xml:space="preserve">PHỤ LỤC 2</w:t>
      </w:r>
      <w:r>
        <w:rPr>
          <w:rFonts w:ascii="Times New Roman" w:hAnsi="Times New Roman" w:eastAsia="Times New Roman" w:cs="Times New Roman"/>
          <w:sz w:val="26"/>
          <w:szCs w:val="26"/>
        </w:rPr>
      </w:r>
    </w:p>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Đính kèm hợp đồng số: HĐ_013/CSS_CIC_2026</w:t>
      </w:r>
      <w:r>
        <w:rPr>
          <w:rFonts w:ascii="Times New Roman" w:hAnsi="Times New Roman" w:eastAsia="Times New Roman" w:cs="Times New Roman"/>
          <w:b/>
          <w:bCs/>
          <w:sz w:val="26"/>
          <w:szCs w:val="26"/>
        </w:rPr>
      </w:r>
    </w:p>
    <w:p>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KẾ HOẠCH TRIỂN KHAI CÔNG VIỆC, THỰC HIỆN HỢP ĐỒNG</w:t>
      </w:r>
      <w:r>
        <w:rPr>
          <w:rFonts w:ascii="Times New Roman" w:hAnsi="Times New Roman" w:eastAsia="Times New Roman" w:cs="Times New Roman"/>
          <w:b/>
          <w:bCs/>
          <w:sz w:val="26"/>
          <w:szCs w:val="26"/>
        </w:rPr>
      </w:r>
    </w:p>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Tổng thời gian thực hiện: 45 ngày.</w:t>
      </w:r>
      <w:r>
        <w:rPr>
          <w:rFonts w:ascii="Times New Roman" w:hAnsi="Times New Roman" w:eastAsia="Times New Roman" w:cs="Times New Roman"/>
          <w:sz w:val="26"/>
          <w:szCs w:val="26"/>
        </w:rPr>
      </w:r>
    </w:p>
    <w:p>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Style w:val="932"/>
        <w:tblInd w:w="-120" w:type="dxa"/>
        <w:tblW w:w="1495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055"/>
        <w:gridCol w:w="7004"/>
        <w:gridCol w:w="1583"/>
        <w:gridCol w:w="2286"/>
        <w:gridCol w:w="3025"/>
      </w:tblGrid>
      <w:tr>
        <w:trPr>
          <w:tblHeade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TT</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7004"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Giai đoạn triển khai</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Tiến độ</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2286"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Phụ trách</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3025"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Kết quả bàn giao</w:t>
            </w:r>
            <w:r>
              <w:rPr>
                <w:rFonts w:ascii="Times New Roman" w:hAnsi="Times New Roman" w:eastAsia="Times New Roman" w:cs="Times New Roman"/>
                <w:b/>
                <w:bCs/>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7004" w:type="dxa"/>
            <w:vAlign w:val="center"/>
          </w:tcPr>
          <w:p>
            <w:pPr>
              <w:pBdr/>
              <w:spacing w:after="40" w:before="40"/>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HẠNG MỤC 1: KHẢO SÁT, ĐÁNH GIÁ HIỆN TRẠNG VÀ THIẾT KẾ MÔ HÌNH QUẢN TRỊ ĐTXD</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1 – 20</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2286" w:type="dxa"/>
            <w:vAlign w:val="center"/>
          </w:tcPr>
          <w:p>
            <w:pPr>
              <w:pBdr/>
              <w:spacing w:after="40" w:before="40"/>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3025" w:type="dxa"/>
            <w:vAlign w:val="center"/>
          </w:tcPr>
          <w:p>
            <w:pPr>
              <w:pBdr/>
              <w:spacing w:after="40" w:before="40"/>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1.1</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005C2134">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t xml:space="preserve">Rà soát tài liệu; khảo sát, đánh giá hiện trạng mô hình tổ chức, năng lực nhân sự, một số dự án điển hình; phân tích điểm mạnh – điểm yếu – cơ hội – thách thức; xác định các tồn tại chủ yếu.</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14:paraId="4FA00BE2">
            <w:pPr>
              <w:pBdr/>
              <w:spacing w:after="40" w:before="40"/>
              <w:ind/>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1 – 10</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2286" w:type="dxa"/>
            <w:vAlign w:val="center"/>
            <w:vMerge w:val="restart"/>
          </w:tcPr>
          <w:p w14:paraId="4AF32290">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Nhà thầu phụ trách,</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73AF6CE8">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VICEM Hà Tiên phối hợp</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67C615CC">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D895B72">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3025" w:type="dxa"/>
            <w:vAlign w:val="center"/>
            <w:vMerge w:val="restart"/>
          </w:tcPr>
          <w:p w14:paraId="3940A1A5">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t xml:space="preserve">+ Báo cáo đánh giá hiện trạng hệ thống Đầu tư Xây dựng; </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377F904">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Báo cáo khoảng cách pháp lý; </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567F7E98">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 Báo cáo đề xuất mô hình quản trị Đầu tư Xây dựng mới.</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4262852">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p w14:paraId="2C6F9543">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1.2</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24029BF8">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Khảo sát thực địa.</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14:paraId="36B26851">
            <w:pPr>
              <w:pBdr/>
              <w:spacing w:after="40" w:before="40"/>
              <w:ind/>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11</w:t>
            </w:r>
            <w:r>
              <w:rPr>
                <w:rFonts w:ascii="Times New Roman" w:hAnsi="Times New Roman" w:eastAsia="Times New Roman" w:cs="Times New Roman"/>
                <w:color w:val="000000"/>
                <w:sz w:val="26"/>
                <w:szCs w:val="26"/>
              </w:rPr>
              <w:t xml:space="preserve"> – 16</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2286"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3025"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1.3</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0DE71820">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Thiết kế mô hình quản trị ĐTXD mới: phân tích tối thiểu 03 phương án tổ chức (khung tiêu chí, bảng so sánh, tham c</w:t>
            </w:r>
            <w:r>
              <w:rPr>
                <w:rFonts w:ascii="Times New Roman" w:hAnsi="Times New Roman" w:eastAsia="Times New Roman" w:cs="Times New Roman"/>
                <w:color w:val="000000"/>
                <w:sz w:val="26"/>
                <w:szCs w:val="26"/>
              </w:rPr>
              <w:t xml:space="preserve">hiếu PVN/EVN/HUD/Hòa Phát), khuyến nghị phương án và lộ trình; tổng hợp, hoàn thiện Báo cáo Hạng mục 1.</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14:paraId="74A3399F">
            <w:pPr>
              <w:pBdr/>
              <w:spacing w:after="40" w:before="40"/>
              <w:ind/>
              <w:jc w:val="center"/>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17</w:t>
            </w:r>
            <w:r>
              <w:rPr>
                <w:rFonts w:ascii="Times New Roman" w:hAnsi="Times New Roman" w:eastAsia="Times New Roman" w:cs="Times New Roman"/>
                <w:color w:val="000000"/>
                <w:sz w:val="26"/>
                <w:szCs w:val="26"/>
              </w:rPr>
              <w:t xml:space="preserve"> – 20</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2286"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3025"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7004" w:type="dxa"/>
            <w:vAlign w:val="center"/>
          </w:tcPr>
          <w:p>
            <w:pPr>
              <w:pBdr/>
              <w:spacing w:after="40" w:before="40"/>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HẠNG MỤC 2: CHUẨN HÓA QUY</w:t>
            </w:r>
            <w:r>
              <w:rPr>
                <w:rFonts w:ascii="Times New Roman" w:hAnsi="Times New Roman" w:eastAsia="Times New Roman" w:cs="Times New Roman"/>
                <w:b/>
                <w:bCs/>
                <w:sz w:val="26"/>
                <w:szCs w:val="26"/>
              </w:rPr>
              <w:t xml:space="preserve"> TRÌNH, QUY CHẾ, PHÂN CẤP, KPI, QUẢN TRỊ RỦI RO, CHUYỂN ĐỔI SỐ VÀ ĐÀO TẠO</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 xml:space="preserve">20 – 45</w:t>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2286" w:type="dxa"/>
            <w:vAlign w:val="center"/>
          </w:tcPr>
          <w:p>
            <w:pPr>
              <w:pBdr/>
              <w:spacing w:after="40" w:before="40"/>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cMar>
              <w:left w:w="120" w:type="dxa"/>
              <w:top w:w="80" w:type="dxa"/>
              <w:right w:w="120" w:type="dxa"/>
              <w:bottom w:w="80" w:type="dxa"/>
            </w:tcMar>
            <w:tcW w:w="3025" w:type="dxa"/>
            <w:vAlign w:val="center"/>
          </w:tcPr>
          <w:p>
            <w:pPr>
              <w:pBdr/>
              <w:spacing w:after="40" w:before="40"/>
              <w:ind/>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2.1</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7299528C">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t xml:space="preserve">Chuẩn hóa toàn bộ quy trình vận hành chuẩn Đầu tư Xây dựng (giai đoạn chuẩn bị đầu tư, thực hiện, kết thúc) theo định hướng Tiêu chuẩn Quản lý Quốc tế (ISO), sơ đồ luồng công việc điện tử; xây dựng hệ thống biểu mẫu chuẩn.</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20-25</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2286" w:type="dxa"/>
            <w:vAlign w:val="center"/>
            <w:vMerge w:val="restart"/>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Nhà thầu phụ trách,</w:t>
            </w:r>
            <w:r>
              <w:rPr>
                <w:rFonts w:ascii="Times New Roman" w:hAnsi="Times New Roman" w:eastAsia="Times New Roman" w:cs="Times New Roman"/>
                <w:sz w:val="26"/>
                <w:szCs w:val="26"/>
              </w:rPr>
            </w:r>
          </w:p>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VICEM Hà Tiên phối hợp</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3025" w:type="dxa"/>
            <w:vAlign w:val="center"/>
            <w:vMerge w:val="restart"/>
          </w:tcPr>
          <w:p w14:paraId="6882DF1F">
            <w:pPr>
              <w:pBdr/>
              <w:spacing/>
              <w:ind/>
              <w:rPr/>
            </w:pPr>
            <w:r/>
            <w:r>
              <w:rPr>
                <w:rFonts w:ascii="Times New Roman" w:hAnsi="Times New Roman"/>
                <w:sz w:val="26"/>
              </w:rPr>
            </w:r>
            <w:r>
              <w:rPr>
                <w:rFonts w:ascii="Times New Roman" w:hAnsi="Times New Roman"/>
                <w:sz w:val="26"/>
              </w:rPr>
              <w:t xml:space="preserve">+ Hệ thống phân cấp, phân quyền (ma trận thẩm quyền) và mô hình tổ chức hoàn thiện; </w:t>
            </w:r>
            <w:r>
              <w:rPr>
                <w:rFonts w:ascii="Times New Roman" w:hAnsi="Times New Roman"/>
                <w:sz w:val="26"/>
                <w:szCs w:val="26"/>
              </w:rPr>
            </w:r>
            <w:r>
              <w:rPr>
                <w:rFonts w:ascii="Times New Roman" w:hAnsi="Times New Roman"/>
                <w:sz w:val="26"/>
                <w:szCs w:val="26"/>
              </w:rPr>
            </w:r>
            <w:r>
              <w:rPr>
                <w:rFonts w:ascii="Times New Roman" w:hAnsi="Times New Roman"/>
                <w:sz w:val="26"/>
                <w:szCs w:val="26"/>
              </w:rPr>
            </w:r>
            <w:r/>
          </w:p>
          <w:p w14:paraId="51C878B6">
            <w:pPr>
              <w:pBdr/>
              <w:spacing/>
              <w:ind/>
              <w:rPr/>
            </w:pPr>
            <w:r/>
            <w:r>
              <w:rPr>
                <w:rFonts w:ascii="Times New Roman" w:hAnsi="Times New Roman"/>
                <w:sz w:val="26"/>
              </w:rPr>
              <w:t xml:space="preserve">+ Hệ thống quy chế, quy trình và biểu mẫu (Bộ quy trình vận hành chuẩn 03 giai đoạn; 08 quy chế nội bộ; biểu mẫu chuẩn); </w:t>
            </w:r>
            <w:r>
              <w:rPr>
                <w:rFonts w:ascii="Times New Roman" w:hAnsi="Times New Roman"/>
                <w:sz w:val="26"/>
                <w:szCs w:val="26"/>
              </w:rPr>
            </w:r>
            <w:r>
              <w:rPr>
                <w:rFonts w:ascii="Times New Roman" w:hAnsi="Times New Roman"/>
                <w:sz w:val="26"/>
                <w:szCs w:val="26"/>
              </w:rPr>
            </w:r>
            <w:r>
              <w:rPr>
                <w:rFonts w:ascii="Times New Roman" w:hAnsi="Times New Roman"/>
                <w:sz w:val="26"/>
                <w:szCs w:val="26"/>
              </w:rPr>
            </w:r>
            <w:r/>
          </w:p>
          <w:p w14:paraId="69E3A2DF">
            <w:pPr>
              <w:pBdr/>
              <w:spacing/>
              <w:ind/>
              <w:rPr/>
            </w:pPr>
            <w:r/>
            <w:r>
              <w:rPr>
                <w:rFonts w:ascii="Times New Roman" w:hAnsi="Times New Roman"/>
                <w:sz w:val="26"/>
              </w:rPr>
              <w:t xml:space="preserve">+ Hệ thống công cụ quản trị và lộ trình chuyển đổi s</w:t>
            </w:r>
            <w:r>
              <w:rPr>
                <w:rFonts w:ascii="Times New Roman" w:hAnsi="Times New Roman"/>
                <w:sz w:val="26"/>
              </w:rPr>
              <w:t xml:space="preserve">ố; </w:t>
            </w:r>
            <w:r>
              <w:rPr>
                <w:rFonts w:ascii="Times New Roman" w:hAnsi="Times New Roman"/>
                <w:sz w:val="26"/>
                <w:szCs w:val="26"/>
              </w:rPr>
            </w:r>
            <w:r>
              <w:rPr>
                <w:rFonts w:ascii="Times New Roman" w:hAnsi="Times New Roman"/>
                <w:sz w:val="26"/>
                <w:szCs w:val="26"/>
              </w:rPr>
            </w:r>
            <w:r>
              <w:rPr>
                <w:rFonts w:ascii="Times New Roman" w:hAnsi="Times New Roman"/>
                <w:sz w:val="26"/>
                <w:szCs w:val="26"/>
              </w:rPr>
            </w:r>
            <w:r/>
          </w:p>
          <w:p w14:paraId="08A0F6F7">
            <w:pPr>
              <w:pBdr/>
              <w:spacing/>
              <w:ind/>
              <w:rPr/>
            </w:pPr>
            <w:r/>
            <w:r>
              <w:rPr>
                <w:rFonts w:ascii="Times New Roman" w:hAnsi="Times New Roman"/>
                <w:sz w:val="26"/>
              </w:rPr>
              <w:t xml:space="preserve">+ Bộ tài liệu đào tạo, tập huấn.</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r/>
            <w:r/>
            <w:r>
              <w:rPr>
                <w:rFonts w:ascii="Times New Roman" w:hAnsi="Times New Roman"/>
                <w:sz w:val="26"/>
              </w:rPr>
            </w:r>
            <w: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2.2</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5AC4E7B3">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Xây dựng hệ thống phân cấp, phân quyền: ma trận th</w:t>
            </w:r>
            <w:r>
              <w:rPr>
                <w:rFonts w:ascii="Times New Roman" w:hAnsi="Times New Roman" w:eastAsia="Times New Roman" w:cs="Times New Roman"/>
                <w:color w:val="000000"/>
                <w:sz w:val="26"/>
                <w:szCs w:val="26"/>
              </w:rPr>
              <w:t xml:space="preserve">ẩm quyền giữa các cấp; đồng bộ với Điều lệ và Quy chế ĐTXD của VICEM.</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25-30</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2286"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3025"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2.3</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3AAA413D">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Soạn thảo 08 quy chế nội bộ mới (ưu tiên nhóm có rủi ro pháp lý cao).</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31-35</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2286"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3025"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2.4</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660CEB3A">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t xml:space="preserve">Xây dựng hệ thống chỉ số đánh giá hiệu suất quản lý dự án và hệ thống quản trị rủi ro Đầu tư Xây dựng.</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36-</w:t>
            </w:r>
            <w:r>
              <w:rPr>
                <w:rFonts w:ascii="Times New Roman" w:hAnsi="Times New Roman" w:eastAsia="Times New Roman" w:cs="Times New Roman"/>
                <w:sz w:val="26"/>
                <w:szCs w:val="26"/>
                <w:lang w:val="en-US"/>
              </w:rPr>
              <w:t xml:space="preserve">40</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2286"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3025"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lang w:val="en-US"/>
              </w:rPr>
              <w:t xml:space="preserve">5</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503EB15A">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Lấy ý kiến VICEM Hà Tiên và hoàn thiện sản phẩm.</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41-42</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2286"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3025"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r>
        <w:trPr/>
        <w:tc>
          <w:tcPr>
            <w:shd w:val="clear" w:color="auto" w:fill="ffffff"/>
            <w:tcBorders/>
            <w:tcMar>
              <w:left w:w="120" w:type="dxa"/>
              <w:top w:w="80" w:type="dxa"/>
              <w:right w:w="120" w:type="dxa"/>
              <w:bottom w:w="80" w:type="dxa"/>
            </w:tcMar>
            <w:tcW w:w="1055"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2.</w:t>
            </w:r>
            <w:r>
              <w:rPr>
                <w:rFonts w:ascii="Times New Roman" w:hAnsi="Times New Roman" w:eastAsia="Times New Roman" w:cs="Times New Roman"/>
                <w:sz w:val="26"/>
                <w:szCs w:val="26"/>
                <w:lang w:val="en-US"/>
              </w:rPr>
              <w:t xml:space="preserve">6</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7004" w:type="dxa"/>
            <w:vAlign w:val="center"/>
          </w:tcPr>
          <w:p w14:paraId="4D82C7F5">
            <w:pPr>
              <w:pBdr/>
              <w:spacing w:after="40" w:before="40"/>
              <w:ind/>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Đào tạo, chuyển giao: 02 buổi đào tạo cho HĐQT, Ban Tổng giám đốc, Ban ĐTXD và các nhà máy; bàn giao sổ tay hướng dẫn và bộ tài liệu đào tạo.</w:t>
            </w: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c>
          <w:tcPr>
            <w:shd w:val="clear" w:color="auto" w:fill="ffffff"/>
            <w:tcBorders/>
            <w:tcMar>
              <w:left w:w="120" w:type="dxa"/>
              <w:top w:w="80" w:type="dxa"/>
              <w:right w:w="120" w:type="dxa"/>
              <w:bottom w:w="80" w:type="dxa"/>
            </w:tcMar>
            <w:tcW w:w="1583" w:type="dxa"/>
            <w:vAlign w:val="center"/>
          </w:tcPr>
          <w:p>
            <w:pPr>
              <w:pBdr/>
              <w:spacing w:after="40" w:before="40"/>
              <w:ind/>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43-45</w:t>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2286"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c>
          <w:tcPr>
            <w:shd w:val="clear" w:color="auto" w:fill="ffffff"/>
            <w:tcBorders/>
            <w:tcMar>
              <w:left w:w="120" w:type="dxa"/>
              <w:top w:w="80" w:type="dxa"/>
              <w:right w:w="120" w:type="dxa"/>
              <w:bottom w:w="80" w:type="dxa"/>
            </w:tcMar>
            <w:tcW w:w="3025" w:type="dxa"/>
            <w:vAlign w:val="center"/>
            <w:vMerge w:val="continue"/>
          </w:tcPr>
          <w:p>
            <w:pPr>
              <w:pBdr/>
              <w:spacing w:after="40" w:before="40"/>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tc>
      </w:tr>
    </w:tbl>
    <w:p>
      <w:pPr>
        <w:pBdr/>
        <w:spacing/>
        <w:ind/>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p>
    <w:sectPr>
      <w:footnotePr/>
      <w:endnotePr/>
      <w:type w:val="nextPage"/>
      <w:pgSz w:h="11907" w:orient="landscape" w:w="16840"/>
      <w:pgMar w:top="850" w:right="850" w:bottom="850" w:left="1417" w:header="567" w:footer="23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Georgia">
    <w:panose1 w:val="02040502050405020303"/>
  </w:font>
  <w:font w:name="Segoe UI">
    <w:panose1 w:val="020B0502040204020203"/>
  </w:font>
  <w:font w:name="Noto Sans Symbols">
    <w:panose1 w:val="020B0502040504020204"/>
  </w:font>
  <w:font w:name="Courier New">
    <w:panose1 w:val="02070309020205020404"/>
  </w:font>
  <w:font w:name=".VnCopperplate Gothic">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573201"/>
      <w:docPartObj>
        <w:docPartGallery w:val="Page Numbers (Top of Page)"/>
        <w:docPartUnique w:val="true"/>
      </w:docPartObj>
      <w:rPr/>
    </w:sdtPr>
    <w:sdtContent>
      <w:p>
        <w:pPr>
          <w:pStyle w:val="924"/>
          <w:pBdr/>
          <w:spacing/>
          <w:ind/>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sz w:val="26"/>
            <w:szCs w:val="26"/>
          </w:rPr>
          <w:fldChar w:fldCharType="separate"/>
        </w:r>
        <w:r>
          <w:rPr>
            <w:rFonts w:ascii="Times New Roman" w:hAnsi="Times New Roman" w:cs="Times New Roman"/>
            <w:sz w:val="26"/>
            <w:szCs w:val="26"/>
          </w:rPr>
          <w:t xml:space="preserve">2</w:t>
        </w:r>
        <w:r>
          <w:rPr>
            <w:rFonts w:ascii="Times New Roman" w:hAnsi="Times New Roman" w:cs="Times New Roman"/>
            <w:sz w:val="26"/>
            <w:szCs w:val="26"/>
          </w:rPr>
          <w:fldChar w:fldCharType="end"/>
        </w:r>
        <w:r>
          <w:rPr>
            <w:rFonts w:ascii="Times New Roman" w:hAnsi="Times New Roman" w:cs="Times New Roman"/>
            <w:sz w:val="26"/>
            <w:szCs w:val="26"/>
          </w:rPr>
        </w:r>
      </w:p>
    </w:sdtContent>
  </w:sdt>
  <w:p>
    <w:pPr>
      <w:pStyle w:val="924"/>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9E279F"/>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abstractNum w:abstractNumId="1">
    <w:nsid w:val="3ED64FC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7BA52EB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nsid w:val="7BA52EB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nsid w:val="269E279F"/>
    <w:lvl w:ilvl="0">
      <w:isLgl w:val="false"/>
      <w:lvlJc w:val="left"/>
      <w:lvlText w:val="+"/>
      <w:numFmt w:val="bullet"/>
      <w:pPr>
        <w:pBdr/>
        <w:spacing/>
        <w:ind w:hanging="360" w:left="1440"/>
      </w:pPr>
      <w:rPr>
        <w:u w:val="none"/>
      </w:rPr>
      <w:start w:val="1"/>
      <w:suff w:val="tab"/>
    </w:lvl>
    <w:lvl w:ilvl="1">
      <w:isLgl w:val="false"/>
      <w:lvlJc w:val="left"/>
      <w:lvlText w:val="+"/>
      <w:numFmt w:val="bullet"/>
      <w:pPr>
        <w:pBdr/>
        <w:spacing/>
        <w:ind w:hanging="360" w:left="2160"/>
      </w:pPr>
      <w:rPr>
        <w:u w:val="none"/>
      </w:rPr>
      <w:start w:val="1"/>
      <w:suff w:val="tab"/>
    </w:lvl>
    <w:lvl w:ilvl="2">
      <w:isLgl w:val="false"/>
      <w:lvlJc w:val="left"/>
      <w:lvlText w:val="+"/>
      <w:numFmt w:val="bullet"/>
      <w:pPr>
        <w:pBdr/>
        <w:spacing/>
        <w:ind w:hanging="360" w:left="2880"/>
      </w:pPr>
      <w:rPr>
        <w:u w:val="none"/>
      </w:rPr>
      <w:start w:val="1"/>
      <w:suff w:val="tab"/>
    </w:lvl>
    <w:lvl w:ilvl="3">
      <w:isLgl w:val="false"/>
      <w:lvlJc w:val="left"/>
      <w:lvlText w:val="+"/>
      <w:numFmt w:val="bullet"/>
      <w:pPr>
        <w:pBdr/>
        <w:spacing/>
        <w:ind w:hanging="360" w:left="3600"/>
      </w:pPr>
      <w:rPr>
        <w:u w:val="none"/>
      </w:rPr>
      <w:start w:val="1"/>
      <w:suff w:val="tab"/>
    </w:lvl>
    <w:lvl w:ilvl="4">
      <w:isLgl w:val="false"/>
      <w:lvlJc w:val="left"/>
      <w:lvlText w:val="+"/>
      <w:numFmt w:val="bullet"/>
      <w:pPr>
        <w:pBdr/>
        <w:spacing/>
        <w:ind w:hanging="360" w:left="4320"/>
      </w:pPr>
      <w:rPr>
        <w:u w:val="none"/>
      </w:rPr>
      <w:start w:val="1"/>
      <w:suff w:val="tab"/>
    </w:lvl>
    <w:lvl w:ilvl="5">
      <w:isLgl w:val="false"/>
      <w:lvlJc w:val="left"/>
      <w:lvlText w:val="+"/>
      <w:numFmt w:val="bullet"/>
      <w:pPr>
        <w:pBdr/>
        <w:spacing/>
        <w:ind w:hanging="360" w:left="5040"/>
      </w:pPr>
      <w:rPr>
        <w:u w:val="none"/>
      </w:rPr>
      <w:start w:val="1"/>
      <w:suff w:val="tab"/>
    </w:lvl>
    <w:lvl w:ilvl="6">
      <w:isLgl w:val="false"/>
      <w:lvlJc w:val="left"/>
      <w:lvlText w:val="+"/>
      <w:numFmt w:val="bullet"/>
      <w:pPr>
        <w:pBdr/>
        <w:spacing/>
        <w:ind w:hanging="360" w:left="5760"/>
      </w:pPr>
      <w:rPr>
        <w:u w:val="none"/>
      </w:rPr>
      <w:start w:val="1"/>
      <w:suff w:val="tab"/>
    </w:lvl>
    <w:lvl w:ilvl="7">
      <w:isLgl w:val="false"/>
      <w:lvlJc w:val="left"/>
      <w:lvlText w:val="+"/>
      <w:numFmt w:val="bullet"/>
      <w:pPr>
        <w:pBdr/>
        <w:spacing/>
        <w:ind w:hanging="360" w:left="6480"/>
      </w:pPr>
      <w:rPr>
        <w:u w:val="none"/>
      </w:rPr>
      <w:start w:val="1"/>
      <w:suff w:val="tab"/>
    </w:lvl>
    <w:lvl w:ilvl="8">
      <w:isLgl w:val="false"/>
      <w:lvlJc w:val="left"/>
      <w:lvlText w:val="+"/>
      <w:numFmt w:val="bullet"/>
      <w:pPr>
        <w:pBdr/>
        <w:spacing/>
        <w:ind w:hanging="360" w:left="7200"/>
      </w:pPr>
      <w:rPr>
        <w:u w:val="none"/>
      </w:rPr>
      <w:start w:val="1"/>
      <w:suff w:val="tab"/>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lang w:val="vi-VN" w:eastAsia="vi-V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7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7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7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7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7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paragraph" w:styleId="736" w:default="1">
    <w:name w:val="Normal"/>
    <w:qFormat/>
    <w:pPr>
      <w:pBdr/>
      <w:spacing/>
      <w:ind/>
    </w:pPr>
    <w:rPr>
      <w:sz w:val="24"/>
      <w:szCs w:val="24"/>
      <w:lang w:val="pt-BR"/>
    </w:rPr>
  </w:style>
  <w:style w:type="paragraph" w:styleId="737">
    <w:name w:val="Heading 1"/>
    <w:basedOn w:val="736"/>
    <w:next w:val="736"/>
    <w:link w:val="875"/>
    <w:uiPriority w:val="9"/>
    <w:qFormat/>
    <w:pPr>
      <w:keepNext w:val="true"/>
      <w:keepLines w:val="true"/>
      <w:pBdr/>
      <w:spacing w:before="480"/>
      <w:ind/>
      <w:outlineLvl w:val="0"/>
    </w:pPr>
    <w:rPr>
      <w:rFonts w:ascii="Courier New" w:hAnsi="Courier New" w:eastAsia="Courier New" w:cs="Courier New"/>
      <w:b/>
      <w:bCs/>
      <w:color w:val="365f91"/>
      <w:sz w:val="28"/>
      <w:szCs w:val="28"/>
    </w:rPr>
  </w:style>
  <w:style w:type="paragraph" w:styleId="738">
    <w:name w:val="Heading 2"/>
    <w:basedOn w:val="736"/>
    <w:next w:val="736"/>
    <w:link w:val="876"/>
    <w:uiPriority w:val="9"/>
    <w:semiHidden/>
    <w:unhideWhenUsed/>
    <w:qFormat/>
    <w:pPr>
      <w:keepNext w:val="true"/>
      <w:keepLines w:val="true"/>
      <w:pBdr/>
      <w:spacing w:before="200"/>
      <w:ind/>
      <w:outlineLvl w:val="1"/>
    </w:pPr>
    <w:rPr>
      <w:rFonts w:ascii="Courier New" w:hAnsi="Courier New" w:eastAsia="Courier New" w:cs="Courier New"/>
      <w:b/>
      <w:bCs/>
      <w:color w:val="4f81bd"/>
      <w:sz w:val="20"/>
      <w:szCs w:val="20"/>
    </w:rPr>
  </w:style>
  <w:style w:type="paragraph" w:styleId="739">
    <w:name w:val="Heading 3"/>
    <w:basedOn w:val="736"/>
    <w:next w:val="736"/>
    <w:link w:val="877"/>
    <w:uiPriority w:val="9"/>
    <w:semiHidden/>
    <w:unhideWhenUsed/>
    <w:qFormat/>
    <w:pPr>
      <w:keepNext w:val="true"/>
      <w:keepLines w:val="true"/>
      <w:pBdr/>
      <w:spacing w:before="200"/>
      <w:ind/>
      <w:outlineLvl w:val="2"/>
    </w:pPr>
    <w:rPr>
      <w:rFonts w:ascii="Courier New" w:hAnsi="Courier New" w:eastAsia="Courier New" w:cs="Courier New"/>
      <w:b/>
      <w:bCs/>
      <w:color w:val="4f81bd"/>
    </w:rPr>
  </w:style>
  <w:style w:type="paragraph" w:styleId="740">
    <w:name w:val="Heading 4"/>
    <w:basedOn w:val="736"/>
    <w:next w:val="736"/>
    <w:link w:val="878"/>
    <w:uiPriority w:val="9"/>
    <w:semiHidden/>
    <w:unhideWhenUsed/>
    <w:qFormat/>
    <w:pPr>
      <w:keepNext w:val="true"/>
      <w:keepLines w:val="true"/>
      <w:pBdr/>
      <w:spacing w:after="40" w:before="240"/>
      <w:ind/>
      <w:outlineLvl w:val="3"/>
    </w:pPr>
    <w:rPr>
      <w:b/>
      <w:bCs/>
    </w:rPr>
  </w:style>
  <w:style w:type="paragraph" w:styleId="741">
    <w:name w:val="Heading 5"/>
    <w:basedOn w:val="736"/>
    <w:next w:val="736"/>
    <w:link w:val="879"/>
    <w:uiPriority w:val="9"/>
    <w:semiHidden/>
    <w:unhideWhenUsed/>
    <w:qFormat/>
    <w:pPr>
      <w:keepNext w:val="true"/>
      <w:pBdr/>
      <w:spacing/>
      <w:ind/>
      <w:jc w:val="center"/>
      <w:outlineLvl w:val="4"/>
    </w:pPr>
    <w:rPr>
      <w:rFonts w:ascii="Noto Sans Symbols" w:hAnsi="Noto Sans Symbols" w:eastAsia="Noto Sans Symbols" w:cs="Noto Sans Symbols"/>
      <w:b/>
      <w:bCs/>
    </w:rPr>
  </w:style>
  <w:style w:type="paragraph" w:styleId="742">
    <w:name w:val="Heading 6"/>
    <w:basedOn w:val="736"/>
    <w:next w:val="736"/>
    <w:link w:val="880"/>
    <w:uiPriority w:val="9"/>
    <w:semiHidden/>
    <w:unhideWhenUsed/>
    <w:qFormat/>
    <w:pPr>
      <w:keepNext w:val="true"/>
      <w:keepLines w:val="true"/>
      <w:pBdr/>
      <w:spacing w:after="40" w:before="200"/>
      <w:ind/>
      <w:outlineLvl w:val="5"/>
    </w:pPr>
    <w:rPr>
      <w:b/>
      <w:bCs/>
      <w:sz w:val="20"/>
      <w:szCs w:val="20"/>
    </w:rPr>
  </w:style>
  <w:style w:type="paragraph" w:styleId="743">
    <w:name w:val="Heading 7"/>
    <w:basedOn w:val="736"/>
    <w:next w:val="736"/>
    <w:link w:val="881"/>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44">
    <w:name w:val="Heading 8"/>
    <w:basedOn w:val="736"/>
    <w:next w:val="736"/>
    <w:link w:val="882"/>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45">
    <w:name w:val="Heading 9"/>
    <w:basedOn w:val="736"/>
    <w:next w:val="736"/>
    <w:link w:val="883"/>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46" w:default="1">
    <w:name w:val="Default Paragraph Font"/>
    <w:uiPriority w:val="1"/>
    <w:semiHidden/>
    <w:unhideWhenUsed/>
    <w:pPr>
      <w:pBdr/>
      <w:spacing/>
      <w:ind/>
    </w:pPr>
  </w:style>
  <w:style w:type="table" w:styleId="7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8" w:default="1">
    <w:name w:val="No List"/>
    <w:uiPriority w:val="99"/>
    <w:semiHidden/>
    <w:unhideWhenUsed/>
    <w:pPr>
      <w:pBdr/>
      <w:spacing/>
      <w:ind/>
    </w:pPr>
  </w:style>
  <w:style w:type="table" w:styleId="749">
    <w:name w:val="Table Grid"/>
    <w:basedOn w:val="74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Light"/>
    <w:basedOn w:val="74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1"/>
    <w:basedOn w:val="74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2"/>
    <w:basedOn w:val="74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3"/>
    <w:basedOn w:val="74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4"/>
    <w:basedOn w:val="74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5"/>
    <w:basedOn w:val="74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w:basedOn w:val="74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Accent 1"/>
    <w:basedOn w:val="74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Accent 2"/>
    <w:basedOn w:val="74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Accent 3"/>
    <w:basedOn w:val="74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Accent 4"/>
    <w:basedOn w:val="74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Accent 5"/>
    <w:basedOn w:val="74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Accent 6"/>
    <w:basedOn w:val="74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w:basedOn w:val="74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Accent 1"/>
    <w:basedOn w:val="74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Accent 2"/>
    <w:basedOn w:val="74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Accent 3"/>
    <w:basedOn w:val="74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Accent 4"/>
    <w:basedOn w:val="74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Accent 5"/>
    <w:basedOn w:val="74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Accent 6"/>
    <w:basedOn w:val="74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w:basedOn w:val="74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Accent 1"/>
    <w:basedOn w:val="747"/>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Accent 2"/>
    <w:basedOn w:val="747"/>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Accent 3"/>
    <w:basedOn w:val="747"/>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Accent 4"/>
    <w:basedOn w:val="747"/>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Accent 5"/>
    <w:basedOn w:val="747"/>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Accent 6"/>
    <w:basedOn w:val="747"/>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w:basedOn w:val="74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Accent 1"/>
    <w:basedOn w:val="747"/>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Accent 2"/>
    <w:basedOn w:val="747"/>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Accent 3"/>
    <w:basedOn w:val="747"/>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Accent 4"/>
    <w:basedOn w:val="747"/>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Accent 5"/>
    <w:basedOn w:val="747"/>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Accent 6"/>
    <w:basedOn w:val="747"/>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w:basedOn w:val="7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5 Dark- Accent 1"/>
    <w:basedOn w:val="7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2"/>
    <w:basedOn w:val="7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Accent 3"/>
    <w:basedOn w:val="7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5 Dark- Accent 4"/>
    <w:basedOn w:val="7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5"/>
    <w:basedOn w:val="7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Accent 6"/>
    <w:basedOn w:val="74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6 Colorful"/>
    <w:basedOn w:val="74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Accent 1"/>
    <w:basedOn w:val="747"/>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6 Colorful Accent 2"/>
    <w:basedOn w:val="74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6 Colorful Accent 3"/>
    <w:basedOn w:val="747"/>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Accent 4"/>
    <w:basedOn w:val="74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6 Colorful Accent 5"/>
    <w:basedOn w:val="747"/>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6 Colorful Accent 6"/>
    <w:basedOn w:val="747"/>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w:basedOn w:val="74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Accent 1"/>
    <w:basedOn w:val="747"/>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Accent 2"/>
    <w:basedOn w:val="747"/>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Accent 3"/>
    <w:basedOn w:val="747"/>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Accent 4"/>
    <w:basedOn w:val="747"/>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Accent 5"/>
    <w:basedOn w:val="747"/>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Accent 6"/>
    <w:basedOn w:val="747"/>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w:basedOn w:val="747"/>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Accent 1"/>
    <w:basedOn w:val="747"/>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Accent 2"/>
    <w:basedOn w:val="747"/>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Accent 3"/>
    <w:basedOn w:val="747"/>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Accent 4"/>
    <w:basedOn w:val="747"/>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Accent 5"/>
    <w:basedOn w:val="747"/>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Accent 6"/>
    <w:basedOn w:val="747"/>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w:basedOn w:val="74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Accent 1"/>
    <w:basedOn w:val="747"/>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Accent 2"/>
    <w:basedOn w:val="747"/>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Accent 3"/>
    <w:basedOn w:val="747"/>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Accent 4"/>
    <w:basedOn w:val="747"/>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Accent 5"/>
    <w:basedOn w:val="747"/>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Accent 6"/>
    <w:basedOn w:val="747"/>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w:basedOn w:val="74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Accent 1"/>
    <w:basedOn w:val="747"/>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Accent 2"/>
    <w:basedOn w:val="747"/>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Accent 3"/>
    <w:basedOn w:val="747"/>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Accent 4"/>
    <w:basedOn w:val="747"/>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Accent 5"/>
    <w:basedOn w:val="747"/>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Accent 6"/>
    <w:basedOn w:val="747"/>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w:basedOn w:val="74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Accent 1"/>
    <w:basedOn w:val="747"/>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Accent 2"/>
    <w:basedOn w:val="747"/>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Accent 3"/>
    <w:basedOn w:val="747"/>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Accent 4"/>
    <w:basedOn w:val="747"/>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Accent 5"/>
    <w:basedOn w:val="747"/>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Accent 6"/>
    <w:basedOn w:val="747"/>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5 Dark"/>
    <w:basedOn w:val="74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Accent 1"/>
    <w:basedOn w:val="747"/>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5 Dark Accent 2"/>
    <w:basedOn w:val="747"/>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5 Dark Accent 3"/>
    <w:basedOn w:val="747"/>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Accent 4"/>
    <w:basedOn w:val="747"/>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5 Dark Accent 5"/>
    <w:basedOn w:val="747"/>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Accent 6"/>
    <w:basedOn w:val="747"/>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w:basedOn w:val="74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Accent 1"/>
    <w:basedOn w:val="747"/>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Accent 2"/>
    <w:basedOn w:val="747"/>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Accent 3"/>
    <w:basedOn w:val="747"/>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Accent 4"/>
    <w:basedOn w:val="747"/>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Accent 5"/>
    <w:basedOn w:val="747"/>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Accent 6"/>
    <w:basedOn w:val="747"/>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7 Colorful"/>
    <w:basedOn w:val="74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Accent 1"/>
    <w:basedOn w:val="747"/>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7 Colorful Accent 2"/>
    <w:basedOn w:val="747"/>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7 Colorful Accent 3"/>
    <w:basedOn w:val="747"/>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Accent 4"/>
    <w:basedOn w:val="747"/>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7 Colorful Accent 5"/>
    <w:basedOn w:val="747"/>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Accent 6"/>
    <w:basedOn w:val="747"/>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ned - Accent"/>
    <w:basedOn w:val="74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ned - Accent 1"/>
    <w:basedOn w:val="74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ned - Accent 2"/>
    <w:basedOn w:val="74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ned - Accent 3"/>
    <w:basedOn w:val="74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ned - Accent 4"/>
    <w:basedOn w:val="74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ned - Accent 5"/>
    <w:basedOn w:val="74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ned - Accent 6"/>
    <w:basedOn w:val="747"/>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Bordered &amp; Lined - Accent"/>
    <w:basedOn w:val="747"/>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Bordered &amp; Lined - Accent 1"/>
    <w:basedOn w:val="747"/>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Bordered &amp; Lined - Accent 2"/>
    <w:basedOn w:val="747"/>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Bordered &amp; Lined - Accent 3"/>
    <w:basedOn w:val="747"/>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Bordered &amp; Lined - Accent 4"/>
    <w:basedOn w:val="747"/>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Bordered &amp; Lined - Accent 5"/>
    <w:basedOn w:val="747"/>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Bordered &amp; Lined - Accent 6"/>
    <w:basedOn w:val="747"/>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Bordered"/>
    <w:basedOn w:val="747"/>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Bordered - Accent 1"/>
    <w:basedOn w:val="747"/>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Bordered - Accent 2"/>
    <w:basedOn w:val="747"/>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Bordered - Accent 3"/>
    <w:basedOn w:val="747"/>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 Accent 4"/>
    <w:basedOn w:val="747"/>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 Accent 5"/>
    <w:basedOn w:val="747"/>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Bordered - Accent 6"/>
    <w:basedOn w:val="747"/>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75" w:customStyle="1">
    <w:name w:val="Heading 1 Char"/>
    <w:basedOn w:val="746"/>
    <w:link w:val="737"/>
    <w:uiPriority w:val="9"/>
    <w:pPr>
      <w:pBdr/>
      <w:spacing/>
      <w:ind/>
    </w:pPr>
    <w:rPr>
      <w:rFonts w:ascii="Arial" w:hAnsi="Arial" w:eastAsia="Arial" w:cs="Arial"/>
      <w:color w:val="365f91" w:themeColor="accent1" w:themeShade="BF"/>
      <w:sz w:val="40"/>
      <w:szCs w:val="40"/>
    </w:rPr>
  </w:style>
  <w:style w:type="character" w:styleId="876" w:customStyle="1">
    <w:name w:val="Heading 2 Char"/>
    <w:basedOn w:val="746"/>
    <w:link w:val="738"/>
    <w:uiPriority w:val="9"/>
    <w:pPr>
      <w:pBdr/>
      <w:spacing/>
      <w:ind/>
    </w:pPr>
    <w:rPr>
      <w:rFonts w:ascii="Arial" w:hAnsi="Arial" w:eastAsia="Arial" w:cs="Arial"/>
      <w:color w:val="365f91" w:themeColor="accent1" w:themeShade="BF"/>
      <w:sz w:val="32"/>
      <w:szCs w:val="32"/>
    </w:rPr>
  </w:style>
  <w:style w:type="character" w:styleId="877" w:customStyle="1">
    <w:name w:val="Heading 3 Char"/>
    <w:basedOn w:val="746"/>
    <w:link w:val="739"/>
    <w:uiPriority w:val="9"/>
    <w:pPr>
      <w:pBdr/>
      <w:spacing/>
      <w:ind/>
    </w:pPr>
    <w:rPr>
      <w:rFonts w:ascii="Arial" w:hAnsi="Arial" w:eastAsia="Arial" w:cs="Arial"/>
      <w:color w:val="365f91" w:themeColor="accent1" w:themeShade="BF"/>
      <w:sz w:val="28"/>
      <w:szCs w:val="28"/>
    </w:rPr>
  </w:style>
  <w:style w:type="character" w:styleId="878" w:customStyle="1">
    <w:name w:val="Heading 4 Char"/>
    <w:basedOn w:val="746"/>
    <w:link w:val="740"/>
    <w:uiPriority w:val="9"/>
    <w:pPr>
      <w:pBdr/>
      <w:spacing/>
      <w:ind/>
    </w:pPr>
    <w:rPr>
      <w:rFonts w:ascii="Arial" w:hAnsi="Arial" w:eastAsia="Arial" w:cs="Arial"/>
      <w:i/>
      <w:iCs/>
      <w:color w:val="365f91" w:themeColor="accent1" w:themeShade="BF"/>
    </w:rPr>
  </w:style>
  <w:style w:type="character" w:styleId="879" w:customStyle="1">
    <w:name w:val="Heading 5 Char"/>
    <w:basedOn w:val="746"/>
    <w:link w:val="741"/>
    <w:uiPriority w:val="9"/>
    <w:pPr>
      <w:pBdr/>
      <w:spacing/>
      <w:ind/>
    </w:pPr>
    <w:rPr>
      <w:rFonts w:ascii="Arial" w:hAnsi="Arial" w:eastAsia="Arial" w:cs="Arial"/>
      <w:color w:val="365f91" w:themeColor="accent1" w:themeShade="BF"/>
    </w:rPr>
  </w:style>
  <w:style w:type="character" w:styleId="880" w:customStyle="1">
    <w:name w:val="Heading 6 Char"/>
    <w:basedOn w:val="746"/>
    <w:link w:val="742"/>
    <w:uiPriority w:val="9"/>
    <w:pPr>
      <w:pBdr/>
      <w:spacing/>
      <w:ind/>
    </w:pPr>
    <w:rPr>
      <w:rFonts w:ascii="Arial" w:hAnsi="Arial" w:eastAsia="Arial" w:cs="Arial"/>
      <w:i/>
      <w:iCs/>
      <w:color w:val="595959" w:themeColor="text1" w:themeTint="A6"/>
    </w:rPr>
  </w:style>
  <w:style w:type="character" w:styleId="881" w:customStyle="1">
    <w:name w:val="Heading 7 Char"/>
    <w:basedOn w:val="746"/>
    <w:link w:val="743"/>
    <w:uiPriority w:val="9"/>
    <w:pPr>
      <w:pBdr/>
      <w:spacing/>
      <w:ind/>
    </w:pPr>
    <w:rPr>
      <w:rFonts w:ascii="Arial" w:hAnsi="Arial" w:eastAsia="Arial" w:cs="Arial"/>
      <w:color w:val="595959" w:themeColor="text1" w:themeTint="A6"/>
    </w:rPr>
  </w:style>
  <w:style w:type="character" w:styleId="882" w:customStyle="1">
    <w:name w:val="Heading 8 Char"/>
    <w:basedOn w:val="746"/>
    <w:link w:val="744"/>
    <w:uiPriority w:val="9"/>
    <w:pPr>
      <w:pBdr/>
      <w:spacing/>
      <w:ind/>
    </w:pPr>
    <w:rPr>
      <w:rFonts w:ascii="Arial" w:hAnsi="Arial" w:eastAsia="Arial" w:cs="Arial"/>
      <w:i/>
      <w:iCs/>
      <w:color w:val="272727" w:themeColor="text1" w:themeTint="D8"/>
    </w:rPr>
  </w:style>
  <w:style w:type="character" w:styleId="883" w:customStyle="1">
    <w:name w:val="Heading 9 Char"/>
    <w:basedOn w:val="746"/>
    <w:link w:val="745"/>
    <w:uiPriority w:val="9"/>
    <w:pPr>
      <w:pBdr/>
      <w:spacing/>
      <w:ind/>
    </w:pPr>
    <w:rPr>
      <w:rFonts w:ascii="Arial" w:hAnsi="Arial" w:eastAsia="Arial" w:cs="Arial"/>
      <w:i/>
      <w:iCs/>
      <w:color w:val="272727" w:themeColor="text1" w:themeTint="D8"/>
    </w:rPr>
  </w:style>
  <w:style w:type="character" w:styleId="884" w:customStyle="1">
    <w:name w:val="Title Char"/>
    <w:basedOn w:val="746"/>
    <w:link w:val="926"/>
    <w:uiPriority w:val="10"/>
    <w:pPr>
      <w:pBdr/>
      <w:spacing/>
      <w:ind/>
    </w:pPr>
    <w:rPr>
      <w:rFonts w:ascii="Arial" w:hAnsi="Arial" w:eastAsia="Arial" w:cs="Arial"/>
      <w:spacing w:val="-10"/>
      <w:sz w:val="56"/>
      <w:szCs w:val="56"/>
    </w:rPr>
  </w:style>
  <w:style w:type="character" w:styleId="885" w:customStyle="1">
    <w:name w:val="Subtitle Char"/>
    <w:basedOn w:val="746"/>
    <w:link w:val="925"/>
    <w:uiPriority w:val="11"/>
    <w:pPr>
      <w:pBdr/>
      <w:spacing/>
      <w:ind/>
    </w:pPr>
    <w:rPr>
      <w:color w:val="595959" w:themeColor="text1" w:themeTint="A6"/>
      <w:spacing w:val="15"/>
      <w:sz w:val="28"/>
      <w:szCs w:val="28"/>
    </w:rPr>
  </w:style>
  <w:style w:type="paragraph" w:styleId="886">
    <w:name w:val="Quote"/>
    <w:basedOn w:val="736"/>
    <w:next w:val="736"/>
    <w:link w:val="887"/>
    <w:uiPriority w:val="29"/>
    <w:qFormat/>
    <w:pPr>
      <w:pBdr/>
      <w:spacing w:before="160"/>
      <w:ind/>
      <w:jc w:val="center"/>
    </w:pPr>
    <w:rPr>
      <w:i/>
      <w:iCs/>
      <w:color w:val="404040" w:themeColor="text1" w:themeTint="BF"/>
    </w:rPr>
  </w:style>
  <w:style w:type="character" w:styleId="887" w:customStyle="1">
    <w:name w:val="Quote Char"/>
    <w:basedOn w:val="746"/>
    <w:link w:val="886"/>
    <w:uiPriority w:val="29"/>
    <w:pPr>
      <w:pBdr/>
      <w:spacing/>
      <w:ind/>
    </w:pPr>
    <w:rPr>
      <w:i/>
      <w:iCs/>
      <w:color w:val="404040" w:themeColor="text1" w:themeTint="BF"/>
    </w:rPr>
  </w:style>
  <w:style w:type="character" w:styleId="888">
    <w:name w:val="Intense Emphasis"/>
    <w:basedOn w:val="746"/>
    <w:uiPriority w:val="21"/>
    <w:qFormat/>
    <w:pPr>
      <w:pBdr/>
      <w:spacing/>
      <w:ind/>
    </w:pPr>
    <w:rPr>
      <w:i/>
      <w:iCs/>
      <w:color w:val="365f91" w:themeColor="accent1" w:themeShade="BF"/>
    </w:rPr>
  </w:style>
  <w:style w:type="paragraph" w:styleId="889">
    <w:name w:val="Intense Quote"/>
    <w:basedOn w:val="736"/>
    <w:next w:val="736"/>
    <w:link w:val="890"/>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90" w:customStyle="1">
    <w:name w:val="Intense Quote Char"/>
    <w:basedOn w:val="746"/>
    <w:link w:val="889"/>
    <w:uiPriority w:val="30"/>
    <w:pPr>
      <w:pBdr/>
      <w:spacing/>
      <w:ind/>
    </w:pPr>
    <w:rPr>
      <w:i/>
      <w:iCs/>
      <w:color w:val="365f91" w:themeColor="accent1" w:themeShade="BF"/>
    </w:rPr>
  </w:style>
  <w:style w:type="character" w:styleId="891">
    <w:name w:val="Intense Reference"/>
    <w:basedOn w:val="746"/>
    <w:uiPriority w:val="32"/>
    <w:qFormat/>
    <w:pPr>
      <w:pBdr/>
      <w:spacing/>
      <w:ind/>
    </w:pPr>
    <w:rPr>
      <w:b/>
      <w:bCs/>
      <w:smallCaps/>
      <w:color w:val="365f91" w:themeColor="accent1" w:themeShade="BF"/>
      <w:spacing w:val="5"/>
    </w:rPr>
  </w:style>
  <w:style w:type="paragraph" w:styleId="892">
    <w:name w:val="No Spacing"/>
    <w:basedOn w:val="736"/>
    <w:uiPriority w:val="1"/>
    <w:qFormat/>
    <w:pPr>
      <w:pBdr/>
      <w:spacing/>
      <w:ind/>
    </w:pPr>
  </w:style>
  <w:style w:type="character" w:styleId="893">
    <w:name w:val="Subtle Emphasis"/>
    <w:basedOn w:val="746"/>
    <w:uiPriority w:val="19"/>
    <w:qFormat/>
    <w:pPr>
      <w:pBdr/>
      <w:spacing/>
      <w:ind/>
    </w:pPr>
    <w:rPr>
      <w:i/>
      <w:iCs/>
      <w:color w:val="404040" w:themeColor="text1" w:themeTint="BF"/>
    </w:rPr>
  </w:style>
  <w:style w:type="character" w:styleId="894">
    <w:name w:val="Emphasis"/>
    <w:basedOn w:val="746"/>
    <w:uiPriority w:val="20"/>
    <w:qFormat/>
    <w:pPr>
      <w:pBdr/>
      <w:spacing/>
      <w:ind/>
    </w:pPr>
    <w:rPr>
      <w:i/>
      <w:iCs/>
    </w:rPr>
  </w:style>
  <w:style w:type="character" w:styleId="895">
    <w:name w:val="Strong"/>
    <w:basedOn w:val="746"/>
    <w:uiPriority w:val="22"/>
    <w:qFormat/>
    <w:pPr>
      <w:pBdr/>
      <w:spacing/>
      <w:ind/>
    </w:pPr>
    <w:rPr>
      <w:b/>
      <w:bCs/>
    </w:rPr>
  </w:style>
  <w:style w:type="character" w:styleId="896">
    <w:name w:val="Subtle Reference"/>
    <w:basedOn w:val="746"/>
    <w:uiPriority w:val="31"/>
    <w:qFormat/>
    <w:pPr>
      <w:pBdr/>
      <w:spacing/>
      <w:ind/>
    </w:pPr>
    <w:rPr>
      <w:smallCaps/>
      <w:color w:val="5a5a5a" w:themeColor="text1" w:themeTint="A5"/>
    </w:rPr>
  </w:style>
  <w:style w:type="character" w:styleId="897">
    <w:name w:val="Book Title"/>
    <w:basedOn w:val="746"/>
    <w:uiPriority w:val="33"/>
    <w:qFormat/>
    <w:pPr>
      <w:pBdr/>
      <w:spacing/>
      <w:ind/>
    </w:pPr>
    <w:rPr>
      <w:b/>
      <w:bCs/>
      <w:i/>
      <w:iCs/>
      <w:spacing w:val="5"/>
    </w:rPr>
  </w:style>
  <w:style w:type="paragraph" w:styleId="898">
    <w:name w:val="Caption"/>
    <w:basedOn w:val="736"/>
    <w:next w:val="736"/>
    <w:uiPriority w:val="35"/>
    <w:unhideWhenUsed/>
    <w:qFormat/>
    <w:pPr>
      <w:pBdr/>
      <w:spacing w:after="200"/>
      <w:ind/>
    </w:pPr>
    <w:rPr>
      <w:i/>
      <w:iCs/>
      <w:color w:val="1f497d" w:themeColor="text2"/>
      <w:sz w:val="18"/>
      <w:szCs w:val="18"/>
    </w:rPr>
  </w:style>
  <w:style w:type="paragraph" w:styleId="899">
    <w:name w:val="footnote text"/>
    <w:basedOn w:val="736"/>
    <w:link w:val="900"/>
    <w:uiPriority w:val="99"/>
    <w:semiHidden/>
    <w:unhideWhenUsed/>
    <w:pPr>
      <w:pBdr/>
      <w:spacing/>
      <w:ind/>
    </w:pPr>
    <w:rPr>
      <w:sz w:val="20"/>
      <w:szCs w:val="20"/>
    </w:rPr>
  </w:style>
  <w:style w:type="character" w:styleId="900" w:customStyle="1">
    <w:name w:val="Footnote Text Char"/>
    <w:basedOn w:val="746"/>
    <w:link w:val="899"/>
    <w:uiPriority w:val="99"/>
    <w:semiHidden/>
    <w:pPr>
      <w:pBdr/>
      <w:spacing/>
      <w:ind/>
    </w:pPr>
    <w:rPr>
      <w:sz w:val="20"/>
      <w:szCs w:val="20"/>
    </w:rPr>
  </w:style>
  <w:style w:type="character" w:styleId="901">
    <w:name w:val="footnote reference"/>
    <w:basedOn w:val="746"/>
    <w:uiPriority w:val="99"/>
    <w:semiHidden/>
    <w:unhideWhenUsed/>
    <w:pPr>
      <w:pBdr/>
      <w:spacing/>
      <w:ind/>
    </w:pPr>
    <w:rPr>
      <w:vertAlign w:val="superscript"/>
    </w:rPr>
  </w:style>
  <w:style w:type="paragraph" w:styleId="902">
    <w:name w:val="endnote text"/>
    <w:basedOn w:val="736"/>
    <w:link w:val="903"/>
    <w:uiPriority w:val="99"/>
    <w:semiHidden/>
    <w:unhideWhenUsed/>
    <w:pPr>
      <w:pBdr/>
      <w:spacing/>
      <w:ind/>
    </w:pPr>
    <w:rPr>
      <w:sz w:val="20"/>
      <w:szCs w:val="20"/>
    </w:rPr>
  </w:style>
  <w:style w:type="character" w:styleId="903" w:customStyle="1">
    <w:name w:val="Endnote Text Char"/>
    <w:basedOn w:val="746"/>
    <w:link w:val="902"/>
    <w:uiPriority w:val="99"/>
    <w:semiHidden/>
    <w:pPr>
      <w:pBdr/>
      <w:spacing/>
      <w:ind/>
    </w:pPr>
    <w:rPr>
      <w:sz w:val="20"/>
      <w:szCs w:val="20"/>
    </w:rPr>
  </w:style>
  <w:style w:type="character" w:styleId="904">
    <w:name w:val="endnote reference"/>
    <w:basedOn w:val="746"/>
    <w:uiPriority w:val="99"/>
    <w:semiHidden/>
    <w:unhideWhenUsed/>
    <w:pPr>
      <w:pBdr/>
      <w:spacing/>
      <w:ind/>
    </w:pPr>
    <w:rPr>
      <w:vertAlign w:val="superscript"/>
    </w:rPr>
  </w:style>
  <w:style w:type="character" w:styleId="905">
    <w:name w:val="Hyperlink"/>
    <w:basedOn w:val="746"/>
    <w:uiPriority w:val="99"/>
    <w:unhideWhenUsed/>
    <w:pPr>
      <w:pBdr/>
      <w:spacing/>
      <w:ind/>
    </w:pPr>
    <w:rPr>
      <w:color w:val="0000ff" w:themeColor="hyperlink"/>
      <w:u w:val="single"/>
    </w:rPr>
  </w:style>
  <w:style w:type="character" w:styleId="906">
    <w:name w:val="FollowedHyperlink"/>
    <w:basedOn w:val="746"/>
    <w:uiPriority w:val="99"/>
    <w:semiHidden/>
    <w:unhideWhenUsed/>
    <w:pPr>
      <w:pBdr/>
      <w:spacing/>
      <w:ind/>
    </w:pPr>
    <w:rPr>
      <w:color w:val="800080" w:themeColor="followedHyperlink"/>
      <w:u w:val="single"/>
    </w:rPr>
  </w:style>
  <w:style w:type="paragraph" w:styleId="907">
    <w:name w:val="toc 1"/>
    <w:basedOn w:val="736"/>
    <w:next w:val="736"/>
    <w:uiPriority w:val="39"/>
    <w:unhideWhenUsed/>
    <w:pPr>
      <w:pBdr/>
      <w:spacing w:after="100"/>
      <w:ind/>
    </w:pPr>
  </w:style>
  <w:style w:type="paragraph" w:styleId="908">
    <w:name w:val="toc 2"/>
    <w:basedOn w:val="736"/>
    <w:next w:val="736"/>
    <w:uiPriority w:val="39"/>
    <w:unhideWhenUsed/>
    <w:pPr>
      <w:pBdr/>
      <w:spacing w:after="100"/>
      <w:ind w:left="220"/>
    </w:pPr>
  </w:style>
  <w:style w:type="paragraph" w:styleId="909">
    <w:name w:val="toc 3"/>
    <w:basedOn w:val="736"/>
    <w:next w:val="736"/>
    <w:uiPriority w:val="39"/>
    <w:unhideWhenUsed/>
    <w:pPr>
      <w:pBdr/>
      <w:spacing w:after="100"/>
      <w:ind w:left="440"/>
    </w:pPr>
  </w:style>
  <w:style w:type="paragraph" w:styleId="910">
    <w:name w:val="toc 4"/>
    <w:basedOn w:val="736"/>
    <w:next w:val="736"/>
    <w:uiPriority w:val="39"/>
    <w:unhideWhenUsed/>
    <w:pPr>
      <w:pBdr/>
      <w:spacing w:after="100"/>
      <w:ind w:left="660"/>
    </w:pPr>
  </w:style>
  <w:style w:type="paragraph" w:styleId="911">
    <w:name w:val="toc 5"/>
    <w:basedOn w:val="736"/>
    <w:next w:val="736"/>
    <w:uiPriority w:val="39"/>
    <w:unhideWhenUsed/>
    <w:pPr>
      <w:pBdr/>
      <w:spacing w:after="100"/>
      <w:ind w:left="880"/>
    </w:pPr>
  </w:style>
  <w:style w:type="paragraph" w:styleId="912">
    <w:name w:val="toc 6"/>
    <w:basedOn w:val="736"/>
    <w:next w:val="736"/>
    <w:uiPriority w:val="39"/>
    <w:unhideWhenUsed/>
    <w:pPr>
      <w:pBdr/>
      <w:spacing w:after="100"/>
      <w:ind w:left="1100"/>
    </w:pPr>
  </w:style>
  <w:style w:type="paragraph" w:styleId="913">
    <w:name w:val="toc 7"/>
    <w:basedOn w:val="736"/>
    <w:next w:val="736"/>
    <w:uiPriority w:val="39"/>
    <w:unhideWhenUsed/>
    <w:pPr>
      <w:pBdr/>
      <w:spacing w:after="100"/>
      <w:ind w:left="1320"/>
    </w:pPr>
  </w:style>
  <w:style w:type="paragraph" w:styleId="914">
    <w:name w:val="toc 8"/>
    <w:basedOn w:val="736"/>
    <w:next w:val="736"/>
    <w:uiPriority w:val="39"/>
    <w:unhideWhenUsed/>
    <w:pPr>
      <w:pBdr/>
      <w:spacing w:after="100"/>
      <w:ind w:left="1540"/>
    </w:pPr>
  </w:style>
  <w:style w:type="paragraph" w:styleId="915">
    <w:name w:val="toc 9"/>
    <w:basedOn w:val="736"/>
    <w:next w:val="736"/>
    <w:uiPriority w:val="39"/>
    <w:unhideWhenUsed/>
    <w:pPr>
      <w:pBdr/>
      <w:spacing w:after="100"/>
      <w:ind w:left="1760"/>
    </w:pPr>
  </w:style>
  <w:style w:type="character" w:styleId="916">
    <w:name w:val="Placeholder Text"/>
    <w:basedOn w:val="746"/>
    <w:uiPriority w:val="99"/>
    <w:semiHidden/>
    <w:pPr>
      <w:pBdr/>
      <w:spacing/>
      <w:ind/>
    </w:pPr>
    <w:rPr>
      <w:color w:val="666666"/>
    </w:rPr>
  </w:style>
  <w:style w:type="paragraph" w:styleId="917">
    <w:name w:val="TOC Heading"/>
    <w:uiPriority w:val="39"/>
    <w:unhideWhenUsed/>
    <w:pPr>
      <w:pBdr/>
      <w:spacing/>
      <w:ind/>
    </w:pPr>
  </w:style>
  <w:style w:type="paragraph" w:styleId="918">
    <w:name w:val="table of figures"/>
    <w:basedOn w:val="736"/>
    <w:next w:val="736"/>
    <w:uiPriority w:val="99"/>
    <w:unhideWhenUsed/>
    <w:pPr>
      <w:pBdr/>
      <w:spacing/>
      <w:ind/>
    </w:pPr>
  </w:style>
  <w:style w:type="paragraph" w:styleId="919">
    <w:name w:val="Balloon Text"/>
    <w:basedOn w:val="736"/>
    <w:link w:val="935"/>
    <w:uiPriority w:val="99"/>
    <w:semiHidden/>
    <w:unhideWhenUsed/>
    <w:qFormat/>
    <w:pPr>
      <w:pBdr/>
      <w:spacing/>
      <w:ind/>
    </w:pPr>
    <w:rPr>
      <w:rFonts w:ascii="Segoe UI" w:hAnsi="Segoe UI" w:cs="Segoe UI"/>
      <w:sz w:val="18"/>
      <w:szCs w:val="18"/>
    </w:rPr>
  </w:style>
  <w:style w:type="character" w:styleId="920">
    <w:name w:val="annotation reference"/>
    <w:basedOn w:val="746"/>
    <w:uiPriority w:val="99"/>
    <w:semiHidden/>
    <w:unhideWhenUsed/>
    <w:qFormat/>
    <w:pPr>
      <w:pBdr/>
      <w:spacing/>
      <w:ind/>
    </w:pPr>
    <w:rPr>
      <w:sz w:val="16"/>
      <w:szCs w:val="16"/>
    </w:rPr>
  </w:style>
  <w:style w:type="paragraph" w:styleId="921">
    <w:name w:val="annotation text"/>
    <w:basedOn w:val="736"/>
    <w:link w:val="933"/>
    <w:uiPriority w:val="99"/>
    <w:semiHidden/>
    <w:unhideWhenUsed/>
    <w:qFormat/>
    <w:pPr>
      <w:pBdr/>
      <w:spacing/>
      <w:ind/>
    </w:pPr>
    <w:rPr>
      <w:sz w:val="20"/>
      <w:szCs w:val="20"/>
    </w:rPr>
  </w:style>
  <w:style w:type="paragraph" w:styleId="922">
    <w:name w:val="annotation subject"/>
    <w:basedOn w:val="921"/>
    <w:next w:val="921"/>
    <w:link w:val="934"/>
    <w:uiPriority w:val="99"/>
    <w:semiHidden/>
    <w:unhideWhenUsed/>
    <w:qFormat/>
    <w:pPr>
      <w:pBdr/>
      <w:spacing/>
      <w:ind/>
    </w:pPr>
    <w:rPr>
      <w:b/>
      <w:bCs/>
    </w:rPr>
  </w:style>
  <w:style w:type="paragraph" w:styleId="923">
    <w:name w:val="Footer"/>
    <w:basedOn w:val="736"/>
    <w:link w:val="937"/>
    <w:uiPriority w:val="99"/>
    <w:unhideWhenUsed/>
    <w:qFormat/>
    <w:pPr>
      <w:pBdr/>
      <w:tabs>
        <w:tab w:val="center" w:leader="none" w:pos="4680"/>
        <w:tab w:val="right" w:leader="none" w:pos="9360"/>
      </w:tabs>
      <w:spacing/>
      <w:ind/>
    </w:pPr>
  </w:style>
  <w:style w:type="paragraph" w:styleId="924">
    <w:name w:val="Header"/>
    <w:basedOn w:val="736"/>
    <w:link w:val="936"/>
    <w:uiPriority w:val="99"/>
    <w:unhideWhenUsed/>
    <w:qFormat/>
    <w:pPr>
      <w:pBdr/>
      <w:tabs>
        <w:tab w:val="center" w:leader="none" w:pos="4680"/>
        <w:tab w:val="right" w:leader="none" w:pos="9360"/>
      </w:tabs>
      <w:spacing/>
      <w:ind/>
    </w:pPr>
  </w:style>
  <w:style w:type="paragraph" w:styleId="925">
    <w:name w:val="Subtitle"/>
    <w:basedOn w:val="736"/>
    <w:next w:val="736"/>
    <w:link w:val="885"/>
    <w:uiPriority w:val="11"/>
    <w:qFormat/>
    <w:pPr>
      <w:keepNext w:val="true"/>
      <w:keepLines w:val="true"/>
      <w:pBdr/>
      <w:spacing w:after="80" w:before="360"/>
      <w:ind/>
    </w:pPr>
    <w:rPr>
      <w:rFonts w:ascii="Georgia" w:hAnsi="Georgia" w:eastAsia="Georgia" w:cs="Georgia"/>
      <w:i/>
      <w:iCs/>
      <w:color w:val="666666"/>
      <w:sz w:val="48"/>
      <w:szCs w:val="48"/>
    </w:rPr>
  </w:style>
  <w:style w:type="paragraph" w:styleId="926">
    <w:name w:val="Title"/>
    <w:basedOn w:val="736"/>
    <w:next w:val="736"/>
    <w:link w:val="884"/>
    <w:uiPriority w:val="10"/>
    <w:qFormat/>
    <w:pPr>
      <w:pBdr/>
      <w:spacing/>
      <w:ind/>
      <w:jc w:val="center"/>
    </w:pPr>
    <w:rPr>
      <w:rFonts w:ascii=".VnCopperplate Gothic" w:hAnsi=".VnCopperplate Gothic" w:eastAsia=".VnCopperplate Gothic" w:cs=".VnCopperplate Gothic"/>
      <w:sz w:val="32"/>
      <w:szCs w:val="32"/>
    </w:rPr>
  </w:style>
  <w:style w:type="table" w:styleId="927" w:customStyle="1">
    <w:name w:val="TableNormal"/>
    <w:qFormat/>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12"/>
    <w:basedOn w:val="927"/>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13"/>
    <w:basedOn w:val="927"/>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14"/>
    <w:basedOn w:val="927"/>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15"/>
    <w:basedOn w:val="927"/>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16"/>
    <w:basedOn w:val="927"/>
    <w:qFormat/>
    <w:pPr>
      <w:pBdr/>
      <w:spacing/>
      <w:ind/>
    </w:pPr>
    <w:tblPr>
      <w:tblCellMar>
        <w:left w:w="10" w:type="dxa"/>
        <w:top w:w="0" w:type="dxa"/>
        <w:right w:w="1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3" w:customStyle="1">
    <w:name w:val="Comment Text Char"/>
    <w:basedOn w:val="746"/>
    <w:link w:val="921"/>
    <w:uiPriority w:val="99"/>
    <w:semiHidden/>
    <w:qFormat/>
    <w:pPr>
      <w:pBdr/>
      <w:spacing/>
      <w:ind/>
    </w:pPr>
    <w:rPr>
      <w:sz w:val="20"/>
      <w:szCs w:val="20"/>
    </w:rPr>
  </w:style>
  <w:style w:type="character" w:styleId="934" w:customStyle="1">
    <w:name w:val="Comment Subject Char"/>
    <w:basedOn w:val="933"/>
    <w:link w:val="922"/>
    <w:uiPriority w:val="99"/>
    <w:semiHidden/>
    <w:qFormat/>
    <w:pPr>
      <w:pBdr/>
      <w:spacing/>
      <w:ind/>
    </w:pPr>
    <w:rPr>
      <w:b/>
      <w:bCs/>
      <w:sz w:val="20"/>
      <w:szCs w:val="20"/>
    </w:rPr>
  </w:style>
  <w:style w:type="character" w:styleId="935" w:customStyle="1">
    <w:name w:val="Balloon Text Char"/>
    <w:basedOn w:val="746"/>
    <w:link w:val="919"/>
    <w:uiPriority w:val="99"/>
    <w:semiHidden/>
    <w:qFormat/>
    <w:pPr>
      <w:pBdr/>
      <w:spacing/>
      <w:ind/>
    </w:pPr>
    <w:rPr>
      <w:rFonts w:ascii="Segoe UI" w:hAnsi="Segoe UI" w:cs="Segoe UI"/>
      <w:sz w:val="18"/>
      <w:szCs w:val="18"/>
    </w:rPr>
  </w:style>
  <w:style w:type="character" w:styleId="936" w:customStyle="1">
    <w:name w:val="Header Char"/>
    <w:basedOn w:val="746"/>
    <w:link w:val="924"/>
    <w:uiPriority w:val="99"/>
    <w:qFormat/>
    <w:pPr>
      <w:pBdr/>
      <w:spacing/>
      <w:ind/>
    </w:pPr>
  </w:style>
  <w:style w:type="character" w:styleId="937" w:customStyle="1">
    <w:name w:val="Footer Char"/>
    <w:basedOn w:val="746"/>
    <w:link w:val="923"/>
    <w:uiPriority w:val="99"/>
    <w:qFormat/>
    <w:pPr>
      <w:pBdr/>
      <w:spacing/>
      <w:ind/>
    </w:pPr>
  </w:style>
  <w:style w:type="paragraph" w:styleId="938">
    <w:name w:val="List Paragraph"/>
    <w:basedOn w:val="736"/>
    <w:uiPriority w:val="99"/>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5F_x005F_x005F_x005F_x005F_x005F_x005F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CFBB3-9D9E-470D-84A7-B78D7CEDEFA2">
  <ds:schemaRefs>
    <ds:schemaRef ds:uri="http://www.wps.cn/officeDocument/2013/wpsCustomData"/>
  </ds:schemaRefs>
</ds:datastoreItem>
</file>

<file path=customXml/itemProps2.xml><?xml version="1.0" encoding="utf-8"?>
<ds:datastoreItem xmlns:ds="http://schemas.openxmlformats.org/officeDocument/2006/customXml" ds:itemID="34C9F126-CA97-4C89-86AB-68F6C5ECB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revision>4</cp:revision>
  <dcterms:created xsi:type="dcterms:W3CDTF">2026-06-19T03:40:00Z</dcterms:created>
  <dcterms:modified xsi:type="dcterms:W3CDTF">2026-06-19T06:31:20Z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