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F4E79"/>
          <w:sz w:val="32"/>
          <w:szCs w:val="32"/>
        </w:rPr>
        <w:t xml:space="preserve">PHẦN IV</w:t>
      </w:r>
    </w:p>
    <w:p>
      <w:pPr>
        <w:pBdr>
          <w:bottom w:val="single" w:color="1F4E79" w:sz="8" w:space="6"/>
        </w:pBdr>
        <w:spacing w:after="80" w:before="0"/>
        <w:jc w:val="center"/>
      </w:pPr>
      <w:r>
        <w:rPr>
          <w:rFonts w:ascii="Times New Roman" w:cs="Times New Roman" w:eastAsia="Times New Roman" w:hAnsi="Times New Roman"/>
          <w:b/>
          <w:bCs/>
          <w:color w:val="1F4E79"/>
          <w:sz w:val="32"/>
          <w:szCs w:val="32"/>
        </w:rPr>
        <w:t xml:space="preserve">GIẢI PHÁP VÀ PHƯƠNG PHÁP LUẬN</w:t>
      </w:r>
    </w:p>
    <w:p>
      <w:pPr>
        <w:spacing w:after="200" w:before="80"/>
        <w:jc w:val="center"/>
      </w:pPr>
      <w:r>
        <w:rPr>
          <w:rFonts w:ascii="Times New Roman" w:cs="Times New Roman" w:eastAsia="Times New Roman" w:hAnsi="Times New Roman"/>
          <w:i/>
          <w:iCs/>
          <w:color w:val="555555"/>
          <w:sz w:val="24"/>
          <w:szCs w:val="24"/>
        </w:rPr>
        <w:t xml:space="preserve">Gói mua sắm: Dịch vụ tư vấn rà soát, điều chỉnh quy chế đầu tư xây dựng — VICEM Hà Tiên</w:t>
      </w:r>
    </w:p>
    <w:p>
      <w:pPr>
        <w:pBdr>
          <w:bottom w:val="single" w:color="1F4E79" w:sz="4" w:space="4"/>
        </w:pBdr>
        <w:spacing w:after="120" w:before="240" w:line="360" w:lineRule="auto"/>
      </w:pPr>
      <w:r>
        <w:rPr>
          <w:rFonts w:ascii="Times New Roman" w:cs="Times New Roman" w:eastAsia="Times New Roman" w:hAnsi="Times New Roman"/>
          <w:b/>
          <w:bCs/>
          <w:color w:val="1F4E79"/>
          <w:sz w:val="28"/>
          <w:szCs w:val="28"/>
        </w:rPr>
        <w:t xml:space="preserve">1. HIỂU RÕ MỤC ĐÍCH GÓI MUA SẮM</w:t>
      </w:r>
    </w:p>
    <w:p>
      <w:pPr>
        <w:spacing w:after="80" w:before="180" w:line="360" w:lineRule="auto"/>
      </w:pPr>
      <w:r>
        <w:rPr>
          <w:rFonts w:ascii="Times New Roman" w:cs="Times New Roman" w:eastAsia="Times New Roman" w:hAnsi="Times New Roman"/>
          <w:b/>
          <w:bCs/>
          <w:color w:val="000000"/>
          <w:sz w:val="28"/>
          <w:szCs w:val="28"/>
        </w:rPr>
        <w:t xml:space="preserve">1.1. Bối cảnh pháp lý — Áp lực thay đổi toàn diện từ 01/07/2026</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Quốc hội ban hành Luật Xây dựng số 135/2025/QH15 ngày 10/12/2025, có hiệu lực từ </w:t>
      </w:r>
      <w:r>
        <w:rPr>
          <w:rFonts w:ascii="Times New Roman" w:cs="Times New Roman" w:eastAsia="Times New Roman" w:hAnsi="Times New Roman"/>
          <w:b/>
          <w:bCs/>
          <w:color w:val="000000"/>
          <w:sz w:val="26"/>
          <w:szCs w:val="26"/>
        </w:rPr>
        <w:t xml:space="preserve">01/07/2026</w:t>
      </w:r>
      <w:r>
        <w:rPr>
          <w:rFonts w:ascii="Times New Roman" w:cs="Times New Roman" w:eastAsia="Times New Roman" w:hAnsi="Times New Roman"/>
          <w:b w:val="false"/>
          <w:bCs w:val="false"/>
          <w:i w:val="false"/>
          <w:iCs w:val="false"/>
          <w:color w:val="000000"/>
          <w:sz w:val="26"/>
          <w:szCs w:val="26"/>
        </w:rPr>
        <w:t xml:space="preserve">, thay thế toàn bộ Luật Xây dựng số 50/2014 và Luật sửa đổi bổ sung số 62/2020. Đây là cuộc cải cách pháp lý toàn diện nhất trong lĩnh vực đầu tư xây dựng trong vòng một thập kỷ. Kèm theo Luật là hệ sinh thái ít nhất </w:t>
      </w:r>
      <w:r>
        <w:rPr>
          <w:rFonts w:ascii="Times New Roman" w:cs="Times New Roman" w:eastAsia="Times New Roman" w:hAnsi="Times New Roman"/>
          <w:b/>
          <w:bCs/>
          <w:color w:val="000000"/>
          <w:sz w:val="26"/>
          <w:szCs w:val="26"/>
        </w:rPr>
        <w:t xml:space="preserve">05 Nghị định hướng dẫn</w:t>
      </w:r>
      <w:r>
        <w:rPr>
          <w:rFonts w:ascii="Times New Roman" w:cs="Times New Roman" w:eastAsia="Times New Roman" w:hAnsi="Times New Roman"/>
          <w:b w:val="false"/>
          <w:bCs w:val="false"/>
          <w:i w:val="false"/>
          <w:iCs w:val="false"/>
          <w:color w:val="000000"/>
          <w:sz w:val="26"/>
          <w:szCs w:val="26"/>
        </w:rPr>
        <w:t xml:space="preserve"> đang trong quá trình ban hành năm 2026:</w:t>
      </w:r>
    </w:p>
    <w:p>
      <w:pPr>
        <w:spacing w:after="60" w:before="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00"/>
        <w:gridCol w:w="3871"/>
      </w:tblGrid>
      <w:tr>
        <w:trPr>
          <w:tblHeader/>
        </w:trPr>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Văn bản mới</w:t>
            </w:r>
          </w:p>
        </w:tc>
        <w:tc>
          <w:tcPr>
            <w:tcW w:type="dxa" w:w="387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Thay thế văn bản cũ</w:t>
            </w:r>
          </w:p>
        </w:tc>
      </w:tr>
      <w:tr>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Luật XD 135/2025/QH15</w:t>
            </w:r>
          </w:p>
        </w:tc>
        <w:tc>
          <w:tcPr>
            <w:tcW w:type="dxa" w:w="38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Luật XD 50/2014, Luật 62/2020</w:t>
            </w:r>
          </w:p>
        </w:tc>
      </w:tr>
      <w:tr>
        <w:tc>
          <w:tcPr>
            <w:tcW w:type="dxa" w:w="5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Nghị định về Quản lý hoạt động Xây dựng 2026</w:t>
            </w:r>
          </w:p>
        </w:tc>
        <w:tc>
          <w:tcPr>
            <w:tcW w:type="dxa" w:w="38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NĐ 15/2021/NĐ-CP</w:t>
            </w:r>
          </w:p>
        </w:tc>
      </w:tr>
      <w:tr>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Nghị định về Hợp đồng Xây dựng 2026</w:t>
            </w:r>
          </w:p>
        </w:tc>
        <w:tc>
          <w:tcPr>
            <w:tcW w:type="dxa" w:w="38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NĐ 37/2015, NĐ 50/2021</w:t>
            </w:r>
          </w:p>
        </w:tc>
      </w:tr>
      <w:tr>
        <w:tc>
          <w:tcPr>
            <w:tcW w:type="dxa" w:w="5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Nghị định về Quản lý chi phí 2026</w:t>
            </w:r>
          </w:p>
        </w:tc>
        <w:tc>
          <w:tcPr>
            <w:tcW w:type="dxa" w:w="38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NĐ 10/2021/NĐ-CP</w:t>
            </w:r>
          </w:p>
        </w:tc>
      </w:tr>
      <w:tr>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Nghị định về Quản lý chất lượng 2026</w:t>
            </w:r>
          </w:p>
        </w:tc>
        <w:tc>
          <w:tcPr>
            <w:tcW w:type="dxa" w:w="38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NĐ 06/2021/NĐ-CP</w:t>
            </w:r>
          </w:p>
        </w:tc>
      </w:tr>
    </w:tbl>
    <w:p>
      <w:pPr>
        <w:spacing w:after="80" w:before="0"/>
      </w:pPr>
      <w:r>
        <w:t xml:space="preserve"/>
      </w:r>
    </w:p>
    <w:p>
      <w:pPr>
        <w:spacing w:after="80" w:before="180" w:line="360" w:lineRule="auto"/>
      </w:pPr>
      <w:r>
        <w:rPr>
          <w:rFonts w:ascii="Times New Roman" w:cs="Times New Roman" w:eastAsia="Times New Roman" w:hAnsi="Times New Roman"/>
          <w:b/>
          <w:bCs/>
          <w:color w:val="000000"/>
          <w:sz w:val="28"/>
          <w:szCs w:val="28"/>
        </w:rPr>
        <w:t xml:space="preserve">1.2. Hiện trạng tại Vicem Hà Tiên — Nguy cơ không tuân thủ pháp luật</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Vicem Hà Tiên hiện đang vận hành một hệ thống quy chế đầu tư xây dựng được xây dựng và ban hành trước khi Luật XD 135/2025 có hiệu lực. </w:t>
      </w:r>
      <w:r>
        <w:rPr>
          <w:rFonts w:ascii="Times New Roman" w:cs="Times New Roman" w:eastAsia="Times New Roman" w:hAnsi="Times New Roman"/>
          <w:b/>
          <w:bCs/>
          <w:color w:val="000000"/>
          <w:sz w:val="26"/>
          <w:szCs w:val="26"/>
        </w:rPr>
        <w:t xml:space="preserve">Toàn bộ hệ thống quy chế này dựa trên khung pháp lý cũ</w:t>
      </w:r>
      <w:r>
        <w:rPr>
          <w:rFonts w:ascii="Times New Roman" w:cs="Times New Roman" w:eastAsia="Times New Roman" w:hAnsi="Times New Roman"/>
          <w:b w:val="false"/>
          <w:bCs w:val="false"/>
          <w:i w:val="false"/>
          <w:iCs w:val="false"/>
          <w:color w:val="000000"/>
          <w:sz w:val="26"/>
          <w:szCs w:val="26"/>
        </w:rPr>
        <w:t xml:space="preserve"> — bao gồm Luật XD 50/2014, Luật 62/2020 và các Nghị định hướng dẫn đi kèm — sẽ hết hiệu lực từ ngày 01/07/2026.</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Với quy mô và phạm vi thay đổi của Luật XD 135/2025 và 05 Nghị định hướng dẫn năm 2026, hệ thống quy chế hiện hành của Vicem Hà Tiên có nguy cơ không tuân thủ pháp luật trên nhiều nhóm nội dung, bao gồm nhưng không giới hạn ở: trình tự đầu tư, phân loại và phân cấp thẩm quyền phê duyệt dự án, các hình thức hợp đồng xây dựng mới, điều kiện thanh toán và quyết toán, yêu cầu về Mô hình Thông tin Công trình (BIM) và Môi trường Dữ liệu Chung (CDE).</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Ngoài ra, Luật XD 135/2025 và các Nghị định hướng dẫn phát sinh một số yêu cầu quản lý hoàn toàn mới mà quy chế hiện hành của Vicem Hà Tiên chưa có quy định tương ứng, đặc biệt trong các lĩnh vực: quản lý BIM/CDE, an toàn lao động và môi trường thi công theo trách nhiệm Chủ đầu tư, bàn giao và bảo hành công trình.</w:t>
      </w:r>
    </w:p>
    <w:p>
      <w:pPr>
        <w:spacing w:after="60" w:before="0"/>
      </w:pPr>
      <w:r>
        <w:t xml:space="preserve"/>
      </w:r>
    </w:p>
    <w:p>
      <w:pPr>
        <w:spacing w:after="80" w:before="180" w:line="360" w:lineRule="auto"/>
      </w:pPr>
      <w:r>
        <w:rPr>
          <w:rFonts w:ascii="Times New Roman" w:cs="Times New Roman" w:eastAsia="Times New Roman" w:hAnsi="Times New Roman"/>
          <w:b/>
          <w:bCs/>
          <w:color w:val="000000"/>
          <w:sz w:val="28"/>
          <w:szCs w:val="28"/>
        </w:rPr>
        <w:t xml:space="preserve">1.3. Mục đích và yêu cầu của gói mua sắm</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Nhóm tư vấn CIC hiểu rõ gói mua sắm này được triển khai nhằm đáp ứng </w:t>
      </w:r>
      <w:r>
        <w:rPr>
          <w:rFonts w:ascii="Times New Roman" w:cs="Times New Roman" w:eastAsia="Times New Roman" w:hAnsi="Times New Roman"/>
          <w:b/>
          <w:bCs/>
          <w:color w:val="000000"/>
          <w:sz w:val="26"/>
          <w:szCs w:val="26"/>
        </w:rPr>
        <w:t xml:space="preserve">hai yêu cầu cấp thiết và song song</w:t>
      </w:r>
      <w:r>
        <w:rPr>
          <w:rFonts w:ascii="Times New Roman" w:cs="Times New Roman" w:eastAsia="Times New Roman" w:hAnsi="Times New Roman"/>
          <w:b w:val="false"/>
          <w:bCs w:val="false"/>
          <w:i w:val="false"/>
          <w:iCs w:val="false"/>
          <w:color w:val="000000"/>
          <w:sz w:val="26"/>
          <w:szCs w:val="26"/>
        </w:rPr>
        <w:t xml:space="preserve">:</w:t>
      </w:r>
    </w:p>
    <w:p>
      <w:pPr>
        <w:spacing w:after="40" w:before="0"/>
      </w:pPr>
      <w:r>
        <w:t xml:space="preserve"/>
      </w:r>
    </w:p>
    <w:p>
      <w:pPr>
        <w:spacing w:after="20" w:before="60" w:line="360" w:lineRule="auto"/>
        <w:jc w:val="both"/>
      </w:pPr>
      <w:r>
        <w:rPr>
          <w:rFonts w:ascii="Times New Roman" w:cs="Times New Roman" w:eastAsia="Times New Roman" w:hAnsi="Times New Roman"/>
          <w:b/>
          <w:bCs/>
          <w:i w:val="false"/>
          <w:iCs w:val="false"/>
          <w:color w:val="000000"/>
          <w:sz w:val="26"/>
          <w:szCs w:val="26"/>
        </w:rPr>
        <w:t xml:space="preserve">(a) Hạng mục 1 — Khảo sát, đánh giá hiện trạng toàn diện:</w:t>
      </w:r>
    </w:p>
    <w:p>
      <w:pPr>
        <w:spacing w:after="60" w:before="60" w:line="360" w:lineRule="auto"/>
        <w:ind w:left="360"/>
        <w:jc w:val="both"/>
      </w:pPr>
      <w:r>
        <w:rPr>
          <w:rFonts w:ascii="Times New Roman" w:cs="Times New Roman" w:eastAsia="Times New Roman" w:hAnsi="Times New Roman"/>
          <w:b w:val="false"/>
          <w:bCs w:val="false"/>
          <w:i w:val="false"/>
          <w:iCs w:val="false"/>
          <w:color w:val="000000"/>
          <w:sz w:val="26"/>
          <w:szCs w:val="26"/>
        </w:rPr>
        <w:t xml:space="preserve">Xác định đầy đủ, chính xác khoảng cách giữa hệ thống quy chế đầu tư xây dựng hiện tại của Vicem Hà Tiên với toàn bộ yêu cầu của Luật XD 135/2025 và 05 Nghị định hướng dẫn năm 2026. Kết quả Hạng mục 1 là nền tảng để thiết kế chính xác nội dung sửa đổi và quy trình mới ở Hạng mục 2.</w:t>
      </w:r>
    </w:p>
    <w:p>
      <w:pPr>
        <w:spacing w:after="40" w:before="0"/>
      </w:pPr>
      <w:r>
        <w:t xml:space="preserve"/>
      </w:r>
    </w:p>
    <w:p>
      <w:pPr>
        <w:spacing w:after="20" w:before="60" w:line="360" w:lineRule="auto"/>
        <w:jc w:val="both"/>
      </w:pPr>
      <w:r>
        <w:rPr>
          <w:rFonts w:ascii="Times New Roman" w:cs="Times New Roman" w:eastAsia="Times New Roman" w:hAnsi="Times New Roman"/>
          <w:b/>
          <w:bCs/>
          <w:i w:val="false"/>
          <w:iCs w:val="false"/>
          <w:color w:val="000000"/>
          <w:sz w:val="26"/>
          <w:szCs w:val="26"/>
        </w:rPr>
        <w:t xml:space="preserve">(b) Hạng mục 2 — Cập nhật và bổ sung hệ thống quy chế đầu tư xây dựng:</w:t>
      </w:r>
    </w:p>
    <w:p>
      <w:pPr>
        <w:spacing w:after="60" w:before="60" w:line="360" w:lineRule="auto"/>
        <w:ind w:left="360"/>
        <w:jc w:val="both"/>
      </w:pPr>
      <w:r>
        <w:rPr>
          <w:rFonts w:ascii="Times New Roman" w:cs="Times New Roman" w:eastAsia="Times New Roman" w:hAnsi="Times New Roman"/>
          <w:b w:val="false"/>
          <w:bCs w:val="false"/>
          <w:i w:val="false"/>
          <w:iCs w:val="false"/>
          <w:color w:val="000000"/>
          <w:sz w:val="26"/>
          <w:szCs w:val="26"/>
        </w:rPr>
        <w:t xml:space="preserve">Trên cơ sở kết quả Hạng mục 1, tiến hành cập nhật toàn bộ quy chế hiện hành và ban hành bổ sung các quy trình còn thiếu, kèm theo hệ thống biểu mẫu điện tử đồng bộ, đảm bảo Vicem Hà Tiên </w:t>
      </w:r>
      <w:r>
        <w:rPr>
          <w:rFonts w:ascii="Times New Roman" w:cs="Times New Roman" w:eastAsia="Times New Roman" w:hAnsi="Times New Roman"/>
          <w:b/>
          <w:bCs/>
          <w:color w:val="000000"/>
          <w:sz w:val="26"/>
          <w:szCs w:val="26"/>
        </w:rPr>
        <w:t xml:space="preserve">tuân thủ đầy đủ pháp luật xây dựng trước ngày 01/07/2026</w:t>
      </w:r>
      <w:r>
        <w:rPr>
          <w:rFonts w:ascii="Times New Roman" w:cs="Times New Roman" w:eastAsia="Times New Roman" w:hAnsi="Times New Roman"/>
          <w:b w:val="false"/>
          <w:bCs w:val="false"/>
          <w:i w:val="false"/>
          <w:iCs w:val="false"/>
          <w:color w:val="000000"/>
          <w:sz w:val="26"/>
          <w:szCs w:val="26"/>
        </w:rPr>
        <w:t xml:space="preserve"> và sẵn sàng cho lộ trình chuyển đổi số tiếp theo.</w:t>
      </w:r>
    </w:p>
    <w:p>
      <w:pPr>
        <w:pBdr>
          <w:bottom w:val="single" w:color="CCCCCC" w:sz="2" w:space="4"/>
        </w:pBdr>
        <w:spacing w:after="120" w:before="120"/>
      </w:pPr>
      <w:r>
        <w:t xml:space="preserve"/>
      </w:r>
    </w:p>
    <w:p>
      <w:pPr>
        <w:pBdr>
          <w:bottom w:val="single" w:color="1F4E79" w:sz="4" w:space="4"/>
        </w:pBdr>
        <w:spacing w:after="120" w:before="240" w:line="360" w:lineRule="auto"/>
      </w:pPr>
      <w:r>
        <w:rPr>
          <w:rFonts w:ascii="Times New Roman" w:cs="Times New Roman" w:eastAsia="Times New Roman" w:hAnsi="Times New Roman"/>
          <w:b/>
          <w:bCs/>
          <w:color w:val="1F4E79"/>
          <w:sz w:val="28"/>
          <w:szCs w:val="28"/>
        </w:rPr>
        <w:t xml:space="preserve">2. CÁCH TIẾP CẬN VÀ PHƯƠNG PHÁP LUẬN</w:t>
      </w:r>
    </w:p>
    <w:p>
      <w:pPr>
        <w:spacing w:after="80" w:before="180" w:line="360" w:lineRule="auto"/>
      </w:pPr>
      <w:r>
        <w:rPr>
          <w:rFonts w:ascii="Times New Roman" w:cs="Times New Roman" w:eastAsia="Times New Roman" w:hAnsi="Times New Roman"/>
          <w:b/>
          <w:bCs/>
          <w:color w:val="000000"/>
          <w:sz w:val="28"/>
          <w:szCs w:val="28"/>
        </w:rPr>
        <w:t xml:space="preserve">2.1. Nguyên tắc chỉ đạo</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CIC tiếp cận dự án theo phương pháp luận </w:t>
      </w:r>
      <w:r>
        <w:rPr>
          <w:rFonts w:ascii="Times New Roman" w:cs="Times New Roman" w:eastAsia="Times New Roman" w:hAnsi="Times New Roman"/>
          <w:b/>
          <w:bCs/>
          <w:color w:val="000000"/>
          <w:sz w:val="26"/>
          <w:szCs w:val="26"/>
        </w:rPr>
        <w:t xml:space="preserve">"Từ pháp lý đến thực tiễn — Từ thực tiễn đến quy trình"</w:t>
      </w:r>
      <w:r>
        <w:rPr>
          <w:rFonts w:ascii="Times New Roman" w:cs="Times New Roman" w:eastAsia="Times New Roman" w:hAnsi="Times New Roman"/>
          <w:b w:val="false"/>
          <w:bCs w:val="false"/>
          <w:i w:val="false"/>
          <w:iCs w:val="false"/>
          <w:color w:val="000000"/>
          <w:sz w:val="26"/>
          <w:szCs w:val="26"/>
        </w:rPr>
        <w:t xml:space="preserve">, bảo đảm ba nguyên tắc xuyên suốt:</w:t>
      </w:r>
    </w:p>
    <w:p>
      <w:pPr>
        <w:spacing w:after="60" w:before="0"/>
      </w:pPr>
      <w:r>
        <w:t xml:space="preserve"/>
      </w:r>
    </w:p>
    <w:p>
      <w:pPr>
        <w:spacing w:after="60" w:before="60" w:line="360" w:lineRule="auto"/>
        <w:jc w:val="both"/>
      </w:pPr>
      <w:r>
        <w:rPr>
          <w:rFonts w:ascii="Times New Roman" w:cs="Times New Roman" w:eastAsia="Times New Roman" w:hAnsi="Times New Roman"/>
          <w:b/>
          <w:bCs/>
          <w:i w:val="false"/>
          <w:iCs w:val="false"/>
          <w:color w:val="000000"/>
          <w:sz w:val="26"/>
          <w:szCs w:val="26"/>
        </w:rPr>
        <w:t xml:space="preserve">Nguyên tắc 1 — Tuân thủ pháp lý tuyệt đối:</w:t>
      </w:r>
    </w:p>
    <w:p>
      <w:pPr>
        <w:spacing w:after="60" w:before="60" w:line="360" w:lineRule="auto"/>
        <w:ind w:left="360"/>
        <w:jc w:val="both"/>
      </w:pPr>
      <w:r>
        <w:rPr>
          <w:rFonts w:ascii="Times New Roman" w:cs="Times New Roman" w:eastAsia="Times New Roman" w:hAnsi="Times New Roman"/>
          <w:b w:val="false"/>
          <w:bCs w:val="false"/>
          <w:i w:val="false"/>
          <w:iCs w:val="false"/>
          <w:color w:val="000000"/>
          <w:sz w:val="26"/>
          <w:szCs w:val="26"/>
        </w:rPr>
        <w:t xml:space="preserve">Mọi nội dung quy trình phải có căn cứ pháp lý rõ ràng, dẫn chiếu chính xác đến điều khoản cụ thể trong Luật XD 135/2025 và các Nghị định hướng dẫn. Không dẫn chiếu chung chung "theo quy định pháp luật hiện hành".</w:t>
      </w:r>
    </w:p>
    <w:p>
      <w:pPr>
        <w:spacing w:after="40" w:before="0"/>
      </w:pPr>
      <w:r>
        <w:t xml:space="preserve"/>
      </w:r>
    </w:p>
    <w:p>
      <w:pPr>
        <w:spacing w:after="60" w:before="60" w:line="360" w:lineRule="auto"/>
        <w:jc w:val="both"/>
      </w:pPr>
      <w:r>
        <w:rPr>
          <w:rFonts w:ascii="Times New Roman" w:cs="Times New Roman" w:eastAsia="Times New Roman" w:hAnsi="Times New Roman"/>
          <w:b/>
          <w:bCs/>
          <w:i w:val="false"/>
          <w:iCs w:val="false"/>
          <w:color w:val="000000"/>
          <w:sz w:val="26"/>
          <w:szCs w:val="26"/>
        </w:rPr>
        <w:t xml:space="preserve">Nguyên tắc 2 — Bám sát thực tiễn vận hành:</w:t>
      </w:r>
    </w:p>
    <w:p>
      <w:pPr>
        <w:spacing w:after="60" w:before="60" w:line="360" w:lineRule="auto"/>
        <w:ind w:left="360"/>
        <w:jc w:val="both"/>
      </w:pPr>
      <w:r>
        <w:rPr>
          <w:rFonts w:ascii="Times New Roman" w:cs="Times New Roman" w:eastAsia="Times New Roman" w:hAnsi="Times New Roman"/>
          <w:b w:val="false"/>
          <w:bCs w:val="false"/>
          <w:i w:val="false"/>
          <w:iCs w:val="false"/>
          <w:color w:val="000000"/>
          <w:sz w:val="26"/>
          <w:szCs w:val="26"/>
        </w:rPr>
        <w:t xml:space="preserve">Quy trình phải khả thi với nhân lực, phân cấp thẩm quyền và hạ tầng công nghệ thực tế của Ban QLDA Vicem Hà Tiên. Không áp đặt mô hình lý tưởng không phù hợp với tổ chức.</w:t>
      </w:r>
    </w:p>
    <w:p>
      <w:pPr>
        <w:spacing w:after="40" w:before="0"/>
      </w:pPr>
      <w:r>
        <w:t xml:space="preserve"/>
      </w:r>
    </w:p>
    <w:p>
      <w:pPr>
        <w:spacing w:after="60" w:before="60" w:line="360" w:lineRule="auto"/>
        <w:jc w:val="both"/>
      </w:pPr>
      <w:r>
        <w:rPr>
          <w:rFonts w:ascii="Times New Roman" w:cs="Times New Roman" w:eastAsia="Times New Roman" w:hAnsi="Times New Roman"/>
          <w:b/>
          <w:bCs/>
          <w:i w:val="false"/>
          <w:iCs w:val="false"/>
          <w:color w:val="000000"/>
          <w:sz w:val="26"/>
          <w:szCs w:val="26"/>
        </w:rPr>
        <w:t xml:space="preserve">Nguyên tắc 3 — Hướng đến chuyển đổi số:</w:t>
      </w:r>
    </w:p>
    <w:p>
      <w:pPr>
        <w:spacing w:after="60" w:before="60" w:line="360" w:lineRule="auto"/>
        <w:ind w:left="360"/>
        <w:jc w:val="both"/>
      </w:pPr>
      <w:r>
        <w:rPr>
          <w:rFonts w:ascii="Times New Roman" w:cs="Times New Roman" w:eastAsia="Times New Roman" w:hAnsi="Times New Roman"/>
          <w:b w:val="false"/>
          <w:bCs w:val="false"/>
          <w:i w:val="false"/>
          <w:iCs w:val="false"/>
          <w:color w:val="000000"/>
          <w:sz w:val="26"/>
          <w:szCs w:val="26"/>
        </w:rPr>
        <w:t xml:space="preserve">Biểu mẫu và luồng phê duyệt được thiết kế theo chuẩn điện tử từ đầu, sẵn sàng số hóa khi Vicem Hà Tiên triển khai hệ thống QLDA giai đoạn tiếp theo — không cần thiết kế lại.</w:t>
      </w:r>
    </w:p>
    <w:p>
      <w:pPr>
        <w:pBdr>
          <w:bottom w:val="single" w:color="CCCCCC" w:sz="2" w:space="4"/>
        </w:pBdr>
        <w:spacing w:after="120" w:before="120"/>
      </w:pPr>
      <w:r>
        <w:t xml:space="preserve"/>
      </w:r>
    </w:p>
    <w:p>
      <w:pPr>
        <w:spacing w:after="80" w:before="180" w:line="360" w:lineRule="auto"/>
      </w:pPr>
      <w:r>
        <w:rPr>
          <w:rFonts w:ascii="Times New Roman" w:cs="Times New Roman" w:eastAsia="Times New Roman" w:hAnsi="Times New Roman"/>
          <w:b/>
          <w:bCs/>
          <w:color w:val="000000"/>
          <w:sz w:val="28"/>
          <w:szCs w:val="28"/>
        </w:rPr>
        <w:t xml:space="preserve">2.2. Phương pháp luận Hạng mục 1 — Khảo sát và đánh giá hiện trạng</w:t>
      </w:r>
    </w:p>
    <w:p>
      <w:pPr>
        <w:spacing w:after="60" w:before="140" w:line="360" w:lineRule="auto"/>
      </w:pPr>
      <w:r>
        <w:rPr>
          <w:rFonts w:ascii="Times New Roman" w:cs="Times New Roman" w:eastAsia="Times New Roman" w:hAnsi="Times New Roman"/>
          <w:b/>
          <w:bCs/>
          <w:i/>
          <w:iCs/>
          <w:color w:val="1F4E79"/>
          <w:sz w:val="26"/>
          <w:szCs w:val="26"/>
        </w:rPr>
        <w:t xml:space="preserve">Bước HM1.1: Lập bảng phân tích khoảng cách pháp lý (Legal Gap Matrix) — Ngày 1–10</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Nhóm tư vấn rà soát song song toàn bộ quy chế hiện hành và từng yêu cầu pháp lý mới, lập </w:t>
      </w:r>
      <w:r>
        <w:rPr>
          <w:rFonts w:ascii="Times New Roman" w:cs="Times New Roman" w:eastAsia="Times New Roman" w:hAnsi="Times New Roman"/>
          <w:b/>
          <w:bCs/>
          <w:color w:val="000000"/>
          <w:sz w:val="26"/>
          <w:szCs w:val="26"/>
        </w:rPr>
        <w:t xml:space="preserve">Legal Gap Matrix</w:t>
      </w:r>
      <w:r>
        <w:rPr>
          <w:rFonts w:ascii="Times New Roman" w:cs="Times New Roman" w:eastAsia="Times New Roman" w:hAnsi="Times New Roman"/>
          <w:b w:val="false"/>
          <w:bCs w:val="false"/>
          <w:i w:val="false"/>
          <w:iCs w:val="false"/>
          <w:color w:val="000000"/>
          <w:sz w:val="26"/>
          <w:szCs w:val="26"/>
        </w:rPr>
        <w:t xml:space="preserve"> theo hai chiều:</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Chiều dọc (hàng):</w:t>
      </w:r>
      <w:r>
        <w:rPr>
          <w:rFonts w:ascii="Times New Roman" w:cs="Times New Roman" w:eastAsia="Times New Roman" w:hAnsi="Times New Roman"/>
          <w:sz w:val="26"/>
          <w:szCs w:val="26"/>
        </w:rPr>
        <w:t xml:space="preserve"> Từng điều khoản/yêu cầu pháp lý quan trọng của Luật XD 135/2025 và 05 Nghị định hướng dẫn</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Chiều ngang (cột):</w:t>
      </w:r>
      <w:r>
        <w:rPr>
          <w:rFonts w:ascii="Times New Roman" w:cs="Times New Roman" w:eastAsia="Times New Roman" w:hAnsi="Times New Roman"/>
          <w:sz w:val="26"/>
          <w:szCs w:val="26"/>
        </w:rPr>
        <w:t xml:space="preserve"> Từng quy trình/quy chế trong hệ thống hiện hành của Vicem Hà Tiên (xác định sau khi tiếp nhận tài liệu)</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Ô giao nhau:</w:t>
      </w:r>
      <w:r>
        <w:rPr>
          <w:rFonts w:ascii="Times New Roman" w:cs="Times New Roman" w:eastAsia="Times New Roman" w:hAnsi="Times New Roman"/>
          <w:sz w:val="26"/>
          <w:szCs w:val="26"/>
        </w:rPr>
        <w:t xml:space="preserve"> Trạng thái tuân thủ — Đáp ứng / Cần cập nhật / Chưa có quy định</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Kết quả matrix giúp xác định ngay: (i) điều khoản nào của pháp luật mới ảnh hưởng đến phần nào của quy chế hiện hành; (ii) mức độ ưu tiên sửa đổi; (iii) các lĩnh vực cần ban hành quy định mới.</w:t>
      </w:r>
    </w:p>
    <w:p>
      <w:pPr>
        <w:spacing w:after="80" w:before="0"/>
      </w:pPr>
      <w:r>
        <w:t xml:space="preserve"/>
      </w:r>
    </w:p>
    <w:p>
      <w:pPr>
        <w:spacing w:after="60" w:before="140" w:line="360" w:lineRule="auto"/>
      </w:pPr>
      <w:r>
        <w:rPr>
          <w:rFonts w:ascii="Times New Roman" w:cs="Times New Roman" w:eastAsia="Times New Roman" w:hAnsi="Times New Roman"/>
          <w:b/>
          <w:bCs/>
          <w:i/>
          <w:iCs/>
          <w:color w:val="1F4E79"/>
          <w:sz w:val="26"/>
          <w:szCs w:val="26"/>
        </w:rPr>
        <w:t xml:space="preserve">Bước HM1.2: Khảo sát thực địa — Ngày 7–16</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Thực hiện phỏng vấn sâu bán cấu trúc (semi-structured interview) theo </w:t>
      </w:r>
      <w:r>
        <w:rPr>
          <w:rFonts w:ascii="Times New Roman" w:cs="Times New Roman" w:eastAsia="Times New Roman" w:hAnsi="Times New Roman"/>
          <w:b/>
          <w:bCs/>
          <w:color w:val="000000"/>
          <w:sz w:val="26"/>
          <w:szCs w:val="26"/>
        </w:rPr>
        <w:t xml:space="preserve">05 nhóm đối tượng</w:t>
      </w:r>
      <w:r>
        <w:rPr>
          <w:rFonts w:ascii="Times New Roman" w:cs="Times New Roman" w:eastAsia="Times New Roman" w:hAnsi="Times New Roman"/>
          <w:b w:val="false"/>
          <w:bCs w:val="false"/>
          <w:i w:val="false"/>
          <w:iCs w:val="false"/>
          <w:color w:val="000000"/>
          <w:sz w:val="26"/>
          <w:szCs w:val="26"/>
        </w:rPr>
        <w:t xml:space="preserve"> với thời lượng 90–120 phút/nhóm:</w:t>
      </w:r>
    </w:p>
    <w:p>
      <w:pPr>
        <w:spacing w:after="60" w:before="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Nhóm phỏng vấn</w:t>
            </w:r>
          </w:p>
        </w:tc>
        <w:tc>
          <w:tcPr>
            <w:tcW w:type="dxa" w:w="587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Nội dung trọng tâm</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Ban Giám đốc / Ban QLDA</w:t>
            </w:r>
          </w:p>
        </w:tc>
        <w:tc>
          <w:tcPr>
            <w:tcW w:type="dxa" w:w="58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Chiến lược, mức độ chấp nhận thay đổi, phân cấp thẩm quyền phê duyệt</w:t>
            </w:r>
          </w:p>
        </w:tc>
      </w:tr>
      <w:tr>
        <w:tc>
          <w:tcPr>
            <w:tcW w:type="dxa" w:w="3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Phòng Kế hoạch Tổng hợp</w:t>
            </w:r>
          </w:p>
        </w:tc>
        <w:tc>
          <w:tcPr>
            <w:tcW w:type="dxa" w:w="58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Lập và kiểm soát kế hoạch; theo dõi tiến độ; báo cáo định kỳ</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Phòng Kỹ thuật</w:t>
            </w:r>
          </w:p>
        </w:tc>
        <w:tc>
          <w:tcPr>
            <w:tcW w:type="dxa" w:w="58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Quy trình khảo sát, thiết kế, giám sát thi công, nghiệm thu</w:t>
            </w:r>
          </w:p>
        </w:tc>
      </w:tr>
      <w:tr>
        <w:tc>
          <w:tcPr>
            <w:tcW w:type="dxa" w:w="3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Phòng Kế toán</w:t>
            </w:r>
          </w:p>
        </w:tc>
        <w:tc>
          <w:tcPr>
            <w:tcW w:type="dxa" w:w="58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Thanh toán, quyết toán hợp đồng; quyết toán dự án hoàn thành</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Phòng Pháp chế</w:t>
            </w:r>
          </w:p>
        </w:tc>
        <w:tc>
          <w:tcPr>
            <w:tcW w:type="dxa" w:w="58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Đấu thầu, ký kết, thực hiện và điều chỉnh hợp đồng</w:t>
            </w:r>
          </w:p>
        </w:tc>
      </w:tr>
    </w:tbl>
    <w:p>
      <w:pPr>
        <w:spacing w:after="80" w:before="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Ngoài phỏng vấn, nhóm tư vấn tiến hành </w:t>
      </w:r>
      <w:r>
        <w:rPr>
          <w:rFonts w:ascii="Times New Roman" w:cs="Times New Roman" w:eastAsia="Times New Roman" w:hAnsi="Times New Roman"/>
          <w:b/>
          <w:bCs/>
          <w:color w:val="000000"/>
          <w:sz w:val="26"/>
          <w:szCs w:val="26"/>
        </w:rPr>
        <w:t xml:space="preserve">đánh giá hạ tầng CNTT</w:t>
      </w:r>
      <w:r>
        <w:rPr>
          <w:rFonts w:ascii="Times New Roman" w:cs="Times New Roman" w:eastAsia="Times New Roman" w:hAnsi="Times New Roman"/>
          <w:b w:val="false"/>
          <w:bCs w:val="false"/>
          <w:i w:val="false"/>
          <w:iCs w:val="false"/>
          <w:color w:val="000000"/>
          <w:sz w:val="26"/>
          <w:szCs w:val="26"/>
        </w:rPr>
        <w:t xml:space="preserve">: phần mềm đang dùng, khả năng tích hợp chữ ký số, hạ tầng lưu trữ tài liệu điện tử.</w:t>
      </w:r>
    </w:p>
    <w:p>
      <w:pPr>
        <w:spacing w:after="80" w:before="0"/>
      </w:pPr>
      <w:r>
        <w:t xml:space="preserve"/>
      </w:r>
    </w:p>
    <w:p>
      <w:pPr>
        <w:spacing w:after="60" w:before="140" w:line="360" w:lineRule="auto"/>
      </w:pPr>
      <w:r>
        <w:rPr>
          <w:rFonts w:ascii="Times New Roman" w:cs="Times New Roman" w:eastAsia="Times New Roman" w:hAnsi="Times New Roman"/>
          <w:b/>
          <w:bCs/>
          <w:i/>
          <w:iCs/>
          <w:color w:val="1F4E79"/>
          <w:sz w:val="26"/>
          <w:szCs w:val="26"/>
        </w:rPr>
        <w:t xml:space="preserve">Bước HM1.3: Tổng hợp báo cáo hiện trạng — Ngày 14–20</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Tích hợp kết quả từ Bước HM1.1 và HM1.2 thành </w:t>
      </w:r>
      <w:r>
        <w:rPr>
          <w:rFonts w:ascii="Times New Roman" w:cs="Times New Roman" w:eastAsia="Times New Roman" w:hAnsi="Times New Roman"/>
          <w:b/>
          <w:bCs/>
          <w:color w:val="000000"/>
          <w:sz w:val="26"/>
          <w:szCs w:val="26"/>
        </w:rPr>
        <w:t xml:space="preserve">Báo cáo Khảo sát Hiện trạng</w:t>
      </w:r>
      <w:r>
        <w:rPr>
          <w:rFonts w:ascii="Times New Roman" w:cs="Times New Roman" w:eastAsia="Times New Roman" w:hAnsi="Times New Roman"/>
          <w:b w:val="false"/>
          <w:bCs w:val="false"/>
          <w:i w:val="false"/>
          <w:iCs w:val="false"/>
          <w:color w:val="000000"/>
          <w:sz w:val="26"/>
          <w:szCs w:val="26"/>
        </w:rPr>
        <w:t xml:space="preserve"> chính thức, bao gồm:</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Phân tích toàn bộ quy chế hiện hành theo chuẩn AS-IS / Issues / Requirements</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Legal Gap Matrix đầy đủ và có chú thích mức độ ưu tiên</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Danh mục quy trình cần sửa đổi và ban hành mới với thứ tự ưu tiên rõ ràng</w:t>
      </w:r>
    </w:p>
    <w:p>
      <w:pPr>
        <w:spacing w:after="60" w:before="0"/>
      </w:pPr>
      <w:r>
        <w:t xml:space="preserve"/>
      </w:r>
    </w:p>
    <w:p>
      <w:pPr>
        <w:spacing w:after="60" w:before="60" w:line="360" w:lineRule="auto"/>
        <w:jc w:val="both"/>
      </w:pPr>
      <w:r>
        <w:rPr>
          <w:rFonts w:ascii="Times New Roman" w:cs="Times New Roman" w:eastAsia="Times New Roman" w:hAnsi="Times New Roman"/>
          <w:b/>
          <w:bCs/>
          <w:color w:val="000000"/>
          <w:sz w:val="26"/>
          <w:szCs w:val="26"/>
        </w:rPr>
        <w:t xml:space="preserve">Sản phẩm bàn giao Hạng mục 1 (Mốc nghiệm thu ngày 20):</w:t>
      </w:r>
      <w:r>
        <w:rPr>
          <w:rFonts w:ascii="Times New Roman" w:cs="Times New Roman" w:eastAsia="Times New Roman" w:hAnsi="Times New Roman"/>
          <w:b w:val="false"/>
          <w:bCs w:val="false"/>
          <w:i w:val="false"/>
          <w:iCs w:val="false"/>
          <w:color w:val="000000"/>
          <w:sz w:val="26"/>
          <w:szCs w:val="26"/>
        </w:rPr>
        <w:t xml:space="preserve"> Báo cáo Khảo sát Hiện trạng chính thức + Legal Gap Matrix.</w:t>
      </w:r>
    </w:p>
    <w:p>
      <w:pPr>
        <w:pBdr>
          <w:bottom w:val="single" w:color="CCCCCC" w:sz="2" w:space="4"/>
        </w:pBdr>
        <w:spacing w:after="120" w:before="120"/>
      </w:pPr>
      <w:r>
        <w:t xml:space="preserve"/>
      </w:r>
    </w:p>
    <w:p>
      <w:pPr>
        <w:spacing w:after="80" w:before="180" w:line="360" w:lineRule="auto"/>
      </w:pPr>
      <w:r>
        <w:rPr>
          <w:rFonts w:ascii="Times New Roman" w:cs="Times New Roman" w:eastAsia="Times New Roman" w:hAnsi="Times New Roman"/>
          <w:b/>
          <w:bCs/>
          <w:color w:val="000000"/>
          <w:sz w:val="28"/>
          <w:szCs w:val="28"/>
        </w:rPr>
        <w:t xml:space="preserve">2.3. Phương pháp luận Hạng mục 2 — Cập nhật và bổ sung hệ thống quy chế</w:t>
      </w:r>
    </w:p>
    <w:p>
      <w:pPr>
        <w:spacing w:after="60" w:before="140" w:line="360" w:lineRule="auto"/>
      </w:pPr>
      <w:r>
        <w:rPr>
          <w:rFonts w:ascii="Times New Roman" w:cs="Times New Roman" w:eastAsia="Times New Roman" w:hAnsi="Times New Roman"/>
          <w:b/>
          <w:bCs/>
          <w:i/>
          <w:iCs/>
          <w:color w:val="1F4E79"/>
          <w:sz w:val="26"/>
          <w:szCs w:val="26"/>
        </w:rPr>
        <w:t xml:space="preserve">Bước HM2.1: Soạn thảo quy trình cập nhật — Ngày 20–33</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Dựa trực tiếp trên Legal Gap Matrix từ Hạng mục 1, nhóm tư vấn sửa đổi từng quy trình/quy chế theo thứ tự ưu tiên đã xác định. Với mỗi quy trình cần cập nhật, nhóm tư vấn thực hiện đồng thời 04 nội dung:</w:t>
      </w:r>
    </w:p>
    <w:p>
      <w:pPr>
        <w:spacing w:after="60" w:before="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Nội dung cập nhật</w:t>
            </w:r>
          </w:p>
        </w:tc>
        <w:tc>
          <w:tcPr>
            <w:tcW w:type="dxa" w:w="587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Phương pháp thực hiện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Cập nhật căn cứ pháp lý</w:t>
            </w:r>
          </w:p>
        </w:tc>
        <w:tc>
          <w:tcPr>
            <w:tcW w:type="dxa" w:w="58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Thay thế toàn bộ tham chiếu cũ bằng điều khoản cụ thể của luật/nghị định mới; không còn dẫn chiếu văn bản đã hết hiệu lực</w:t>
            </w:r>
          </w:p>
        </w:tc>
      </w:tr>
      <w:tr>
        <w:tc>
          <w:tcPr>
            <w:tcW w:type="dxa" w:w="3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Chỉnh sửa trình tự và bước công việc</w:t>
            </w:r>
          </w:p>
        </w:tc>
        <w:tc>
          <w:tcPr>
            <w:tcW w:type="dxa" w:w="58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So sánh trình tự hiện hành với yêu cầu pháp lý mới; thêm bước còn thiếu, bỏ bước không còn phù hợp, cập nhật điều kiện phê duyệt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Cập nhật phân cấp thẩm quyền</w:t>
            </w:r>
          </w:p>
        </w:tc>
        <w:tc>
          <w:tcPr>
            <w:tcW w:type="dxa" w:w="58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Rà soát và điều chỉnh theo phân quyền của Luật XD 135/2025 và phân cấp nội bộ Vicem Hà Tiên</w:t>
            </w:r>
          </w:p>
        </w:tc>
      </w:tr>
      <w:tr>
        <w:tc>
          <w:tcPr>
            <w:tcW w:type="dxa" w:w="3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Cập nhật biểu mẫu kèm theo</w:t>
            </w:r>
          </w:p>
        </w:tc>
        <w:tc>
          <w:tcPr>
            <w:tcW w:type="dxa" w:w="58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Thiết kế lại biểu mẫu theo chuẩn điện tử, cập nhật căn cứ pháp lý và các trường dữ liệu mới (xem chi tiết tại Mục 3)</w:t>
            </w:r>
          </w:p>
        </w:tc>
      </w:tr>
    </w:tbl>
    <w:p>
      <w:pPr>
        <w:spacing w:after="80" w:before="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Phạm vi và số lượng quy trình cần cập nhật sẽ được xác định chính xác sau khi hoàn thành Hạng mục 1. Căn cứ trên phạm vi thay đổi của pháp luật, nhóm tư vấn dự kiến các nhóm quy trình chịu ảnh hưởng trực tiếp bao gồm: quản lý dự án tổng thể, lựa chọn nhà thầu và ký kết hợp đồng, quản lý chất lượng và nghiệm thu, thực hiện và thanh quyết toán hợp đồng, quyết toán dự án hoàn thành, lập kế hoạch và kiểm soát tiến độ, số hóa và lưu trữ hồ sơ.</w:t>
      </w:r>
    </w:p>
    <w:p>
      <w:pPr>
        <w:spacing w:after="80" w:before="0"/>
      </w:pPr>
      <w:r>
        <w:t xml:space="preserve"/>
      </w:r>
    </w:p>
    <w:p>
      <w:pPr>
        <w:spacing w:after="60" w:before="140" w:line="360" w:lineRule="auto"/>
      </w:pPr>
      <w:r>
        <w:rPr>
          <w:rFonts w:ascii="Times New Roman" w:cs="Times New Roman" w:eastAsia="Times New Roman" w:hAnsi="Times New Roman"/>
          <w:b/>
          <w:bCs/>
          <w:i/>
          <w:iCs/>
          <w:color w:val="1F4E79"/>
          <w:sz w:val="26"/>
          <w:szCs w:val="26"/>
        </w:rPr>
        <w:t xml:space="preserve">Bước HM2.2: Soạn thảo quy trình mới — Ngày 23–35</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Danh mục quy trình mới cần ban hành sẽ được xác định chính xác sau khi hoàn thành Hạng mục 1. Căn cứ trên phân tích sơ bộ các yêu cầu mới của Luật XD 135/2025 và các Nghị định hướng dẫn, nhóm tư vấn dự kiến Vicem Hà Tiên cần ban hành mới ít nhất các quy trình thuộc các nhóm nội dung sau:</w:t>
      </w:r>
    </w:p>
    <w:p>
      <w:pPr>
        <w:spacing w:after="60" w:before="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tblHeader/>
        </w:trPr>
        <w:tc>
          <w:tcPr>
            <w:tcW w:type="dxa" w:w="4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Nhóm nội dung cần có quy trình mới</w:t>
            </w:r>
          </w:p>
        </w:tc>
        <w:tc>
          <w:tcPr>
            <w:tcW w:type="dxa" w:w="477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Căn cứ pháp lý yêu cầu</w:t>
            </w:r>
          </w:p>
        </w:tc>
      </w:tr>
      <w:tr>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Quản lý Mô hình Thông tin Công trình (BIM) và Môi trường Dữ liệu Chung (CDE)</w:t>
            </w:r>
          </w:p>
        </w:tc>
        <w:tc>
          <w:tcPr>
            <w:tcW w:type="dxa" w:w="47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NĐ Quản lý hoạt động XD 2026 — bắt buộc áp dụng từ công trình nhóm B</w:t>
            </w:r>
          </w:p>
        </w:tc>
      </w:tr>
      <w:tr>
        <w:tc>
          <w:tcPr>
            <w:tcW w:type="dxa" w:w="43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Giám sát, đánh giá và báo cáo định kỳ tiến độ/chi phí dự án</w:t>
            </w:r>
          </w:p>
        </w:tc>
        <w:tc>
          <w:tcPr>
            <w:tcW w:type="dxa" w:w="47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Luật XD 135/2025; các NĐ quản lý ĐTXD 2026</w:t>
            </w:r>
          </w:p>
        </w:tc>
      </w:tr>
      <w:tr>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Quản lý an toàn lao động và môi trường thi công</w:t>
            </w:r>
          </w:p>
        </w:tc>
        <w:tc>
          <w:tcPr>
            <w:tcW w:type="dxa" w:w="47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NĐ Quản lý chất lượng 2026 — tăng cường trách nhiệm trực tiếp của Chủ đầu tư</w:t>
            </w:r>
          </w:p>
        </w:tc>
      </w:tr>
      <w:tr>
        <w:tc>
          <w:tcPr>
            <w:tcW w:type="dxa" w:w="43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Bàn giao, bảo hành và bảo trì công trình</w:t>
            </w:r>
          </w:p>
        </w:tc>
        <w:tc>
          <w:tcPr>
            <w:tcW w:type="dxa" w:w="47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Luật XD 135/2025; NĐ Quản lý chất lượng 2026</w:t>
            </w:r>
          </w:p>
        </w:tc>
      </w:tr>
    </w:tbl>
    <w:p>
      <w:pPr>
        <w:spacing w:after="80" w:before="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Mỗi quy trình mới được soạn theo khung chuẩn thống nhất: </w:t>
      </w:r>
      <w:r>
        <w:rPr>
          <w:rFonts w:ascii="Times New Roman" w:cs="Times New Roman" w:eastAsia="Times New Roman" w:hAnsi="Times New Roman"/>
          <w:b/>
          <w:bCs/>
          <w:color w:val="000000"/>
          <w:sz w:val="26"/>
          <w:szCs w:val="26"/>
        </w:rPr>
        <w:t xml:space="preserve">Mục đích — Phạm vi áp dụng — Trách nhiệm các bên — Trình tự thực hiện — Biểu mẫu đính kèm — Căn cứ pháp lý.</w:t>
      </w:r>
    </w:p>
    <w:p>
      <w:pPr>
        <w:spacing w:after="80" w:before="0"/>
      </w:pPr>
      <w:r>
        <w:t xml:space="preserve"/>
      </w:r>
    </w:p>
    <w:p>
      <w:pPr>
        <w:spacing w:after="60" w:before="140" w:line="360" w:lineRule="auto"/>
      </w:pPr>
      <w:r>
        <w:rPr>
          <w:rFonts w:ascii="Times New Roman" w:cs="Times New Roman" w:eastAsia="Times New Roman" w:hAnsi="Times New Roman"/>
          <w:b/>
          <w:bCs/>
          <w:i/>
          <w:iCs/>
          <w:color w:val="1F4E79"/>
          <w:sz w:val="26"/>
          <w:szCs w:val="26"/>
        </w:rPr>
        <w:t xml:space="preserve">Bước HM2.3: Cập nhật và ban hành mới toàn bộ biểu mẫu — Ngày 27–38</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Thiết kế đồng bộ toàn bộ biểu mẫu phục vụ hệ thống quy trình sau cập nhật (số lượng xác định sau Hạng mục 1), bao gồm:</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Cập nhật căn cứ pháp lý trên mỗi biểu mẫu</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Chuyển đổi 100% sang định dạng điện tử (xem chi tiết tại Mục 3 — Sáng kiến cải tiến)</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Thiết lập thư viện biểu mẫu chuẩn với quy ước đặt tên và quản lý phiên bản</w:t>
      </w:r>
    </w:p>
    <w:p>
      <w:pPr>
        <w:spacing w:after="80" w:before="0"/>
      </w:pPr>
      <w:r>
        <w:t xml:space="preserve"/>
      </w:r>
    </w:p>
    <w:p>
      <w:pPr>
        <w:spacing w:after="60" w:before="140" w:line="360" w:lineRule="auto"/>
      </w:pPr>
      <w:r>
        <w:rPr>
          <w:rFonts w:ascii="Times New Roman" w:cs="Times New Roman" w:eastAsia="Times New Roman" w:hAnsi="Times New Roman"/>
          <w:b/>
          <w:bCs/>
          <w:i/>
          <w:iCs/>
          <w:color w:val="1F4E79"/>
          <w:sz w:val="26"/>
          <w:szCs w:val="26"/>
        </w:rPr>
        <w:t xml:space="preserve">Bước HM2.4: Lấy ý kiến, hoàn thiện và hỗ trợ ban hành — Ngày 33–42</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Vòng 1:</w:t>
      </w:r>
      <w:r>
        <w:rPr>
          <w:rFonts w:ascii="Times New Roman" w:cs="Times New Roman" w:eastAsia="Times New Roman" w:hAnsi="Times New Roman"/>
          <w:sz w:val="26"/>
          <w:szCs w:val="26"/>
        </w:rPr>
        <w:t xml:space="preserve"> Gửi dự thảo từng nhóm quy trình → Vicem Hà Tiên góp ý trong 05 ngày làm việc → Nhóm tư vấn tổng hợp và chỉnh sửa</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Vòng 2:</w:t>
      </w:r>
      <w:r>
        <w:rPr>
          <w:rFonts w:ascii="Times New Roman" w:cs="Times New Roman" w:eastAsia="Times New Roman" w:hAnsi="Times New Roman"/>
          <w:sz w:val="26"/>
          <w:szCs w:val="26"/>
        </w:rPr>
        <w:t xml:space="preserve"> Gửi lại bản chỉnh sửa → Xác nhận chấp thuận hoặc góp ý bổ sung lần cuối</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Hỗ trợ Vicem Hà Tiên hoàn thiện hồ sơ trình Hội đồng quản trị / Ban lãnh đạo phê duyệt ban hành</w:t>
      </w:r>
    </w:p>
    <w:p>
      <w:pPr>
        <w:spacing w:after="80" w:before="0"/>
      </w:pPr>
      <w:r>
        <w:t xml:space="preserve"/>
      </w:r>
    </w:p>
    <w:p>
      <w:pPr>
        <w:spacing w:after="60" w:before="140" w:line="360" w:lineRule="auto"/>
      </w:pPr>
      <w:r>
        <w:rPr>
          <w:rFonts w:ascii="Times New Roman" w:cs="Times New Roman" w:eastAsia="Times New Roman" w:hAnsi="Times New Roman"/>
          <w:b/>
          <w:bCs/>
          <w:i/>
          <w:iCs/>
          <w:color w:val="1F4E79"/>
          <w:sz w:val="26"/>
          <w:szCs w:val="26"/>
        </w:rPr>
        <w:t xml:space="preserve">Bước HM2.5: Tập huấn — Ngày 42–45</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Tổ chức </w:t>
      </w:r>
      <w:r>
        <w:rPr>
          <w:rFonts w:ascii="Times New Roman" w:cs="Times New Roman" w:eastAsia="Times New Roman" w:hAnsi="Times New Roman"/>
          <w:b/>
          <w:bCs/>
          <w:color w:val="000000"/>
          <w:sz w:val="26"/>
          <w:szCs w:val="26"/>
        </w:rPr>
        <w:t xml:space="preserve">02 buổi tập huấn</w:t>
      </w:r>
      <w:r>
        <w:rPr>
          <w:rFonts w:ascii="Times New Roman" w:cs="Times New Roman" w:eastAsia="Times New Roman" w:hAnsi="Times New Roman"/>
          <w:b w:val="false"/>
          <w:bCs w:val="false"/>
          <w:i w:val="false"/>
          <w:iCs w:val="false"/>
          <w:color w:val="000000"/>
          <w:sz w:val="26"/>
          <w:szCs w:val="26"/>
        </w:rPr>
        <w:t xml:space="preserve"> cho cán bộ Ban QLDA và các phòng Kế hoạch Tổng hợp, Kỹ thuật, Kế toán, Pháp chế:</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Buổi 1 (4 giờ):</w:t>
      </w:r>
      <w:r>
        <w:rPr>
          <w:rFonts w:ascii="Times New Roman" w:cs="Times New Roman" w:eastAsia="Times New Roman" w:hAnsi="Times New Roman"/>
          <w:sz w:val="26"/>
          <w:szCs w:val="26"/>
        </w:rPr>
        <w:t xml:space="preserve"> Tổng quan các thay đổi pháp lý; hướng dẫn áp dụng các quy trình được cập nhật; thực hành điền biểu mẫu mới</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Buổi 2 (3 giờ):</w:t>
      </w:r>
      <w:r>
        <w:rPr>
          <w:rFonts w:ascii="Times New Roman" w:cs="Times New Roman" w:eastAsia="Times New Roman" w:hAnsi="Times New Roman"/>
          <w:sz w:val="26"/>
          <w:szCs w:val="26"/>
        </w:rPr>
        <w:t xml:space="preserve"> Hướng dẫn áp dụng các quy trình ban hành mới; quy trình BIM/CDE; Q&amp;A và xử lý tình huống thực tế</w:t>
      </w:r>
    </w:p>
    <w:p>
      <w:pPr>
        <w:spacing w:after="60" w:before="0"/>
      </w:pPr>
      <w:r>
        <w:t xml:space="preserve"/>
      </w:r>
    </w:p>
    <w:p>
      <w:pPr>
        <w:spacing w:after="60" w:before="60" w:line="360" w:lineRule="auto"/>
        <w:jc w:val="both"/>
      </w:pPr>
      <w:r>
        <w:rPr>
          <w:rFonts w:ascii="Times New Roman" w:cs="Times New Roman" w:eastAsia="Times New Roman" w:hAnsi="Times New Roman"/>
          <w:b/>
          <w:bCs/>
          <w:color w:val="000000"/>
          <w:sz w:val="26"/>
          <w:szCs w:val="26"/>
        </w:rPr>
        <w:t xml:space="preserve">Sản phẩm bàn giao Hạng mục 2 (Mốc nghiệm thu ngày 45):</w:t>
      </w:r>
      <w:r>
        <w:rPr>
          <w:rFonts w:ascii="Times New Roman" w:cs="Times New Roman" w:eastAsia="Times New Roman" w:hAnsi="Times New Roman"/>
          <w:b w:val="false"/>
          <w:bCs w:val="false"/>
          <w:i w:val="false"/>
          <w:iCs w:val="false"/>
          <w:color w:val="000000"/>
          <w:sz w:val="26"/>
          <w:szCs w:val="26"/>
        </w:rPr>
        <w:t xml:space="preserve"> Bộ quy chế hoàn chỉnh (cập nhật + ban hành mới) + Biểu mẫu điện tử + Tài liệu tập huấn.</w:t>
      </w:r>
    </w:p>
    <w:p>
      <w:pPr>
        <w:pBdr>
          <w:bottom w:val="single" w:color="CCCCCC" w:sz="2" w:space="4"/>
        </w:pBdr>
        <w:spacing w:after="120" w:before="120"/>
      </w:pPr>
      <w:r>
        <w:t xml:space="preserve"/>
      </w:r>
    </w:p>
    <w:p>
      <w:pPr>
        <w:pBdr>
          <w:bottom w:val="single" w:color="1F4E79" w:sz="4" w:space="4"/>
        </w:pBdr>
        <w:spacing w:after="120" w:before="240" w:line="360" w:lineRule="auto"/>
      </w:pPr>
      <w:r>
        <w:rPr>
          <w:rFonts w:ascii="Times New Roman" w:cs="Times New Roman" w:eastAsia="Times New Roman" w:hAnsi="Times New Roman"/>
          <w:b/>
          <w:bCs/>
          <w:color w:val="1F4E79"/>
          <w:sz w:val="28"/>
          <w:szCs w:val="28"/>
        </w:rPr>
        <w:t xml:space="preserve">3. SÁNG KIẾN CẢI TIẾN</w:t>
      </w:r>
    </w:p>
    <w:p>
      <w:pPr>
        <w:spacing w:after="80" w:before="180" w:line="360" w:lineRule="auto"/>
      </w:pPr>
      <w:r>
        <w:rPr>
          <w:rFonts w:ascii="Times New Roman" w:cs="Times New Roman" w:eastAsia="Times New Roman" w:hAnsi="Times New Roman"/>
          <w:b/>
          <w:bCs/>
          <w:color w:val="000000"/>
          <w:sz w:val="28"/>
          <w:szCs w:val="28"/>
        </w:rPr>
        <w:t xml:space="preserve">3.1. Legal Change Tracker — Công cụ theo dõi thay đổi pháp lý chủ động</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Ngoài việc cập nhật quy trình theo pháp luật hiện hành, CIC đề xuất xây dựng kèm theo một </w:t>
      </w:r>
      <w:r>
        <w:rPr>
          <w:rFonts w:ascii="Times New Roman" w:cs="Times New Roman" w:eastAsia="Times New Roman" w:hAnsi="Times New Roman"/>
          <w:b/>
          <w:bCs/>
          <w:color w:val="000000"/>
          <w:sz w:val="26"/>
          <w:szCs w:val="26"/>
        </w:rPr>
        <w:t xml:space="preserve">"Bảng Theo dõi Thay đổi Pháp lý"</w:t>
      </w:r>
      <w:r>
        <w:rPr>
          <w:rFonts w:ascii="Times New Roman" w:cs="Times New Roman" w:eastAsia="Times New Roman" w:hAnsi="Times New Roman"/>
          <w:b w:val="false"/>
          <w:bCs w:val="false"/>
          <w:i w:val="false"/>
          <w:iCs w:val="false"/>
          <w:color w:val="000000"/>
          <w:sz w:val="26"/>
          <w:szCs w:val="26"/>
        </w:rPr>
        <w:t xml:space="preserve"> (Legal Change Tracker) dạng ma trận — trong đó mỗi điều khoản quan trọng của Luật XD 135/2025 và các Nghị định hướng dẫn được liên kết trực tiếp với quy trình/bước quy trình tương ứng tại Vicem Hà Tiên.</w:t>
      </w:r>
    </w:p>
    <w:p>
      <w:pPr>
        <w:spacing w:after="60" w:before="60" w:line="360" w:lineRule="auto"/>
        <w:jc w:val="both"/>
      </w:pPr>
      <w:r>
        <w:rPr>
          <w:rFonts w:ascii="Times New Roman" w:cs="Times New Roman" w:eastAsia="Times New Roman" w:hAnsi="Times New Roman"/>
          <w:b/>
          <w:bCs/>
          <w:i w:val="false"/>
          <w:iCs w:val="false"/>
          <w:color w:val="000000"/>
          <w:sz w:val="26"/>
          <w:szCs w:val="26"/>
        </w:rPr>
        <w:t xml:space="preserve">Giá trị thực tiễn:</w:t>
      </w:r>
    </w:p>
    <w:p>
      <w:pPr>
        <w:spacing w:after="60" w:before="60" w:line="360" w:lineRule="auto"/>
        <w:ind w:left="360"/>
        <w:jc w:val="both"/>
      </w:pPr>
      <w:r>
        <w:rPr>
          <w:rFonts w:ascii="Times New Roman" w:cs="Times New Roman" w:eastAsia="Times New Roman" w:hAnsi="Times New Roman"/>
          <w:b w:val="false"/>
          <w:bCs w:val="false"/>
          <w:i w:val="false"/>
          <w:iCs w:val="false"/>
          <w:color w:val="000000"/>
          <w:sz w:val="26"/>
          <w:szCs w:val="26"/>
        </w:rPr>
        <w:t xml:space="preserve">Khi pháp luật xây dựng tiếp tục được sửa đổi — điều tất yếu sau mỗi 3–5 năm — Vicem Hà Tiên có thể ngay lập tức xác định quy trình nào bị ảnh hưởng và cần điều chỉnh mà không cần thuê tư vấn rà soát lại từ đầu. Đây là công cụ quản trị pháp lý chủ động, không có trong bộ quy trình thông thường.</w:t>
      </w:r>
    </w:p>
    <w:p>
      <w:pPr>
        <w:spacing w:after="80" w:before="0"/>
      </w:pPr>
      <w:r>
        <w:t xml:space="preserve"/>
      </w:r>
    </w:p>
    <w:p>
      <w:pPr>
        <w:spacing w:after="80" w:before="180" w:line="360" w:lineRule="auto"/>
      </w:pPr>
      <w:r>
        <w:rPr>
          <w:rFonts w:ascii="Times New Roman" w:cs="Times New Roman" w:eastAsia="Times New Roman" w:hAnsi="Times New Roman"/>
          <w:b/>
          <w:bCs/>
          <w:color w:val="000000"/>
          <w:sz w:val="28"/>
          <w:szCs w:val="28"/>
        </w:rPr>
        <w:t xml:space="preserve">3.2. Biểu mẫu số hóa theo chuẩn điện tử ngay từ giai đoạn thiết kế</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Thay vì thiết kế biểu mẫu theo truyền thống (giấy → scan → điện tử), CIC thiết kế trực tiếp theo chuẩn điện tử với:</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Kiểu dữ liệu xác định</w:t>
      </w:r>
      <w:r>
        <w:rPr>
          <w:rFonts w:ascii="Times New Roman" w:cs="Times New Roman" w:eastAsia="Times New Roman" w:hAnsi="Times New Roman"/>
          <w:sz w:val="26"/>
          <w:szCs w:val="26"/>
        </w:rPr>
        <w:t xml:space="preserve"> cho từng trường (số, ngày, văn bản, dropdown) thay vì ô trống tự do</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Danh sách thả xuống</w:t>
      </w:r>
      <w:r>
        <w:rPr>
          <w:rFonts w:ascii="Times New Roman" w:cs="Times New Roman" w:eastAsia="Times New Roman" w:hAnsi="Times New Roman"/>
          <w:sz w:val="26"/>
          <w:szCs w:val="26"/>
        </w:rPr>
        <w:t xml:space="preserve"> cho các trường lựa chọn (loại hợp đồng, nhóm công trình, trạng thái...)</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Ô chữ ký số</w:t>
      </w:r>
      <w:r>
        <w:rPr>
          <w:rFonts w:ascii="Times New Roman" w:cs="Times New Roman" w:eastAsia="Times New Roman" w:hAnsi="Times New Roman"/>
          <w:sz w:val="26"/>
          <w:szCs w:val="26"/>
        </w:rPr>
        <w:t xml:space="preserve"> định vị sẵn thay vì ô ký tay</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Mã biểu mẫu và phiên bản</w:t>
      </w:r>
      <w:r>
        <w:rPr>
          <w:rFonts w:ascii="Times New Roman" w:cs="Times New Roman" w:eastAsia="Times New Roman" w:hAnsi="Times New Roman"/>
          <w:sz w:val="26"/>
          <w:szCs w:val="26"/>
        </w:rPr>
        <w:t xml:space="preserve"> chuẩn hóa theo quy trình tương ứng</w:t>
      </w:r>
    </w:p>
    <w:p>
      <w:pPr>
        <w:spacing w:after="60" w:before="60" w:line="360" w:lineRule="auto"/>
        <w:jc w:val="both"/>
      </w:pPr>
      <w:r>
        <w:rPr>
          <w:rFonts w:ascii="Times New Roman" w:cs="Times New Roman" w:eastAsia="Times New Roman" w:hAnsi="Times New Roman"/>
          <w:b/>
          <w:bCs/>
          <w:i w:val="false"/>
          <w:iCs w:val="false"/>
          <w:color w:val="000000"/>
          <w:sz w:val="26"/>
          <w:szCs w:val="26"/>
        </w:rPr>
        <w:t xml:space="preserve">Lợi ích:</w:t>
      </w:r>
    </w:p>
    <w:p>
      <w:pPr>
        <w:spacing w:after="60" w:before="60" w:line="360" w:lineRule="auto"/>
        <w:ind w:left="360"/>
        <w:jc w:val="both"/>
      </w:pPr>
      <w:r>
        <w:rPr>
          <w:rFonts w:ascii="Times New Roman" w:cs="Times New Roman" w:eastAsia="Times New Roman" w:hAnsi="Times New Roman"/>
          <w:b w:val="false"/>
          <w:bCs w:val="false"/>
          <w:i w:val="false"/>
          <w:iCs w:val="false"/>
          <w:color w:val="000000"/>
          <w:sz w:val="26"/>
          <w:szCs w:val="26"/>
        </w:rPr>
        <w:t xml:space="preserve">Biểu mẫu tương thích trực tiếp với phần mềm QLDA khi Vicem Hà Tiên triển khai giai đoạn tiếp theo — không cần thiết kế lại, tiết kiệm đáng kể chi phí và thời gian chuyển đổi số.</w:t>
      </w:r>
    </w:p>
    <w:p>
      <w:pPr>
        <w:spacing w:after="80" w:before="0"/>
      </w:pPr>
      <w:r>
        <w:t xml:space="preserve"/>
      </w:r>
    </w:p>
    <w:p>
      <w:pPr>
        <w:spacing w:after="80" w:before="180" w:line="360" w:lineRule="auto"/>
      </w:pPr>
      <w:r>
        <w:rPr>
          <w:rFonts w:ascii="Times New Roman" w:cs="Times New Roman" w:eastAsia="Times New Roman" w:hAnsi="Times New Roman"/>
          <w:b/>
          <w:bCs/>
          <w:color w:val="000000"/>
          <w:sz w:val="28"/>
          <w:szCs w:val="28"/>
        </w:rPr>
        <w:t xml:space="preserve">3.3. Quy trình BIM/CDE tích hợp theo chuẩn ISO 19650</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Nhiều đơn vị tư vấn thường dừng lại ở việc "dẫn chiếu đến Môi trường Dữ liệu Chung theo Nghị định" mà không quy định cụ thể. CIC sẽ xây dựng quy trình Quản lý BIM/CDE với </w:t>
      </w:r>
      <w:r>
        <w:rPr>
          <w:rFonts w:ascii="Times New Roman" w:cs="Times New Roman" w:eastAsia="Times New Roman" w:hAnsi="Times New Roman"/>
          <w:b/>
          <w:bCs/>
          <w:color w:val="000000"/>
          <w:sz w:val="26"/>
          <w:szCs w:val="26"/>
        </w:rPr>
        <w:t xml:space="preserve">cấu trúc CDE 4 vùng cụ thể</w:t>
      </w:r>
      <w:r>
        <w:rPr>
          <w:rFonts w:ascii="Times New Roman" w:cs="Times New Roman" w:eastAsia="Times New Roman" w:hAnsi="Times New Roman"/>
          <w:b w:val="false"/>
          <w:bCs w:val="false"/>
          <w:i w:val="false"/>
          <w:iCs w:val="false"/>
          <w:color w:val="000000"/>
          <w:sz w:val="26"/>
          <w:szCs w:val="26"/>
        </w:rPr>
        <w:t xml:space="preserve"> theo ISO 19650:</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Vùng 1 — Đang soạn thảo (WIP):</w:t>
      </w:r>
      <w:r>
        <w:rPr>
          <w:rFonts w:ascii="Times New Roman" w:cs="Times New Roman" w:eastAsia="Times New Roman" w:hAnsi="Times New Roman"/>
          <w:sz w:val="26"/>
          <w:szCs w:val="26"/>
        </w:rPr>
        <w:t xml:space="preserve"> Chỉ tác giả truy cập</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Vùng 2 — Đang chia sẻ (Shared):</w:t>
      </w:r>
      <w:r>
        <w:rPr>
          <w:rFonts w:ascii="Times New Roman" w:cs="Times New Roman" w:eastAsia="Times New Roman" w:hAnsi="Times New Roman"/>
          <w:sz w:val="26"/>
          <w:szCs w:val="26"/>
        </w:rPr>
        <w:t xml:space="preserve"> Đội dự án xem xét và góp ý</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Vùng 3 — Đã phê duyệt (Published):</w:t>
      </w:r>
      <w:r>
        <w:rPr>
          <w:rFonts w:ascii="Times New Roman" w:cs="Times New Roman" w:eastAsia="Times New Roman" w:hAnsi="Times New Roman"/>
          <w:sz w:val="26"/>
          <w:szCs w:val="26"/>
        </w:rPr>
        <w:t xml:space="preserve"> Tài liệu chính thức đã được phê duyệt</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Vùng 4 — Lưu trữ chính thức (Archive):</w:t>
      </w:r>
      <w:r>
        <w:rPr>
          <w:rFonts w:ascii="Times New Roman" w:cs="Times New Roman" w:eastAsia="Times New Roman" w:hAnsi="Times New Roman"/>
          <w:sz w:val="26"/>
          <w:szCs w:val="26"/>
        </w:rPr>
        <w:t xml:space="preserve"> Tài liệu hoàn công, hồ sơ pháp lý dự án</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Kèm theo: phân quyền truy cập theo vai trò (Chủ đầu tư / Nhà thầu / Tư vấn giám sát / Cơ quan nhà nước), luồng chuyển tài liệu giữa các vùng và yêu cầu định dạng file bao gồm IFC cho mô hình BIM.</w:t>
      </w:r>
    </w:p>
    <w:p>
      <w:pPr>
        <w:spacing w:after="80" w:before="0"/>
      </w:pPr>
      <w:r>
        <w:t xml:space="preserve"/>
      </w:r>
    </w:p>
    <w:p>
      <w:pPr>
        <w:spacing w:after="80" w:before="180" w:line="360" w:lineRule="auto"/>
      </w:pPr>
      <w:r>
        <w:rPr>
          <w:rFonts w:ascii="Times New Roman" w:cs="Times New Roman" w:eastAsia="Times New Roman" w:hAnsi="Times New Roman"/>
          <w:b/>
          <w:bCs/>
          <w:color w:val="000000"/>
          <w:sz w:val="28"/>
          <w:szCs w:val="28"/>
        </w:rPr>
        <w:t xml:space="preserve">3.4. Tập huấn dựa trên tình huống thực tế của Vicem Hà Tiên</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Tài liệu tập huấn được xây dựng từ </w:t>
      </w:r>
      <w:r>
        <w:rPr>
          <w:rFonts w:ascii="Times New Roman" w:cs="Times New Roman" w:eastAsia="Times New Roman" w:hAnsi="Times New Roman"/>
          <w:b/>
          <w:bCs/>
          <w:color w:val="000000"/>
          <w:sz w:val="26"/>
          <w:szCs w:val="26"/>
        </w:rPr>
        <w:t xml:space="preserve">các tình huống nghiệp vụ thực tế phát sinh trong quá trình khảo sát tại Vicem Hà Tiên</w:t>
      </w:r>
      <w:r>
        <w:rPr>
          <w:rFonts w:ascii="Times New Roman" w:cs="Times New Roman" w:eastAsia="Times New Roman" w:hAnsi="Times New Roman"/>
          <w:b w:val="false"/>
          <w:bCs w:val="false"/>
          <w:i w:val="false"/>
          <w:iCs w:val="false"/>
          <w:color w:val="000000"/>
          <w:sz w:val="26"/>
          <w:szCs w:val="26"/>
        </w:rPr>
        <w:t xml:space="preserve"> (ẩn danh hóa), không dùng case study chung chung từ giáo trình.</w:t>
      </w:r>
    </w:p>
    <w:p>
      <w:pPr>
        <w:spacing w:after="60" w:before="60" w:line="360" w:lineRule="auto"/>
        <w:jc w:val="both"/>
      </w:pPr>
      <w:r>
        <w:rPr>
          <w:rFonts w:ascii="Times New Roman" w:cs="Times New Roman" w:eastAsia="Times New Roman" w:hAnsi="Times New Roman"/>
          <w:b/>
          <w:bCs/>
          <w:i w:val="false"/>
          <w:iCs w:val="false"/>
          <w:color w:val="000000"/>
          <w:sz w:val="26"/>
          <w:szCs w:val="26"/>
        </w:rPr>
        <w:t xml:space="preserve">Phương pháp:</w:t>
      </w:r>
    </w:p>
    <w:p>
      <w:pPr>
        <w:spacing w:after="60" w:before="60" w:line="360" w:lineRule="auto"/>
        <w:ind w:left="360"/>
        <w:jc w:val="both"/>
      </w:pPr>
      <w:r>
        <w:rPr>
          <w:rFonts w:ascii="Times New Roman" w:cs="Times New Roman" w:eastAsia="Times New Roman" w:hAnsi="Times New Roman"/>
          <w:b w:val="false"/>
          <w:bCs w:val="false"/>
          <w:i w:val="false"/>
          <w:iCs w:val="false"/>
          <w:color w:val="000000"/>
          <w:sz w:val="26"/>
          <w:szCs w:val="26"/>
        </w:rPr>
        <w:t xml:space="preserve">Thực hành tình huống → Đối chiếu quy trình mới → Điền biểu mẫu thực tế. Hình thức này giúp cán bộ tiếp nhận và áp dụng nhanh hơn so với tập huấn lý thuyết truyền thống.</w:t>
      </w:r>
    </w:p>
    <w:p>
      <w:pPr>
        <w:pBdr>
          <w:bottom w:val="single" w:color="CCCCCC" w:sz="2" w:space="4"/>
        </w:pBdr>
        <w:spacing w:after="120" w:before="120"/>
      </w:pPr>
      <w:r>
        <w:t xml:space="preserve"/>
      </w:r>
    </w:p>
    <w:p>
      <w:pPr>
        <w:pBdr>
          <w:bottom w:val="single" w:color="1F4E79" w:sz="4" w:space="4"/>
        </w:pBdr>
        <w:spacing w:after="120" w:before="240" w:line="360" w:lineRule="auto"/>
      </w:pPr>
      <w:r>
        <w:rPr>
          <w:rFonts w:ascii="Times New Roman" w:cs="Times New Roman" w:eastAsia="Times New Roman" w:hAnsi="Times New Roman"/>
          <w:b/>
          <w:bCs/>
          <w:color w:val="1F4E79"/>
          <w:sz w:val="28"/>
          <w:szCs w:val="28"/>
        </w:rPr>
        <w:t xml:space="preserve">4. KẾ HOẠCH TRIỂN KHAI</w:t>
      </w:r>
    </w:p>
    <w:p>
      <w:pPr>
        <w:spacing w:after="60" w:before="60" w:line="360" w:lineRule="auto"/>
        <w:jc w:val="both"/>
      </w:pPr>
      <w:r>
        <w:rPr>
          <w:rFonts w:ascii="Times New Roman" w:cs="Times New Roman" w:eastAsia="Times New Roman" w:hAnsi="Times New Roman"/>
          <w:b/>
          <w:bCs/>
          <w:i w:val="false"/>
          <w:iCs w:val="false"/>
          <w:color w:val="000000"/>
          <w:sz w:val="26"/>
          <w:szCs w:val="26"/>
        </w:rPr>
        <w:t xml:space="preserve">Tổng thời gian thực hiện hợp đồng: 45 ngày</w:t>
      </w:r>
    </w:p>
    <w:p>
      <w:pPr>
        <w:spacing w:after="60" w:before="60" w:line="360" w:lineRule="auto"/>
        <w:jc w:val="both"/>
      </w:pPr>
      <w:r>
        <w:rPr>
          <w:rFonts w:ascii="Times New Roman" w:cs="Times New Roman" w:eastAsia="Times New Roman" w:hAnsi="Times New Roman"/>
          <w:sz w:val="26"/>
          <w:szCs w:val="26"/>
        </w:rPr>
        <w:t xml:space="preserve"/>
      </w:r>
    </w:p>
    <w:p>
      <w:pPr>
        <w:spacing w:after="80" w:before="0"/>
      </w:pPr>
      <w:r>
        <w:t xml:space="preserve"/>
      </w:r>
    </w:p>
    <w:p>
      <w:pPr>
        <w:spacing w:after="80" w:before="180" w:line="360" w:lineRule="auto"/>
      </w:pPr>
      <w:r>
        <w:rPr>
          <w:rFonts w:ascii="Times New Roman" w:cs="Times New Roman" w:eastAsia="Times New Roman" w:hAnsi="Times New Roman"/>
          <w:b/>
          <w:bCs/>
          <w:color w:val="000000"/>
          <w:sz w:val="28"/>
          <w:szCs w:val="28"/>
        </w:rPr>
        <w:t xml:space="preserve">4.1. Tiến độ tổng thể</w:t>
      </w:r>
    </w:p>
    <w:p>
      <w:pPr>
        <w:spacing w:after="60" w:before="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000"/>
        <w:gridCol w:w="1800"/>
        <w:gridCol w:w="2571"/>
      </w:tblGrid>
      <w:tr>
        <w:trPr>
          <w:tblHeader/>
        </w:trPr>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TT</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Công việc chính</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Ngày</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Người thực hiện</w:t>
            </w:r>
          </w:p>
        </w:tc>
        <w:tc>
          <w:tcPr>
            <w:tcW w:type="dxa" w:w="257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Kết quả bàn giao</w:t>
            </w:r>
          </w:p>
        </w:tc>
      </w:tr>
      <w:tr>
        <w:tc>
          <w:tcPr>
            <w:tcW w:type="dxa" w:w="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HM1</w:t>
            </w:r>
          </w:p>
        </w:tc>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KHẢO SÁT VÀ ĐÁNH GIÁ HIỆN TRẠNG</w:t>
            </w:r>
          </w:p>
        </w:tc>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bCs/>
                <w:color w:val="000000"/>
                <w:sz w:val="24"/>
                <w:szCs w:val="24"/>
              </w:rPr>
              <w:t xml:space="preserve">1 – 20</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
            </w:r>
          </w:p>
        </w:tc>
        <w:tc>
          <w:tcPr>
            <w:tcW w:type="dxa" w:w="257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1.1</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Rà soát tài liệu &amp; lập Legal Gap Matrix sơ bộ</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1 – 10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TV Trưởng + CV1</w:t>
            </w:r>
          </w:p>
        </w:tc>
        <w:tc>
          <w:tcPr>
            <w:tcW w:type="dxa" w:w="25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Gap Matrix sơ bộ</w:t>
            </w:r>
          </w:p>
        </w:tc>
      </w:tr>
      <w:tr>
        <w:tc>
          <w:tcPr>
            <w:tcW w:type="dxa" w:w="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1.2</w:t>
            </w:r>
          </w:p>
        </w:tc>
        <w:tc>
          <w:tcPr>
            <w:tcW w:type="dxa" w:w="3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Khảo sát thực địa (phỏng vấn 05 nhóm)</w:t>
            </w:r>
          </w:p>
        </w:tc>
        <w:tc>
          <w:tcPr>
            <w:tcW w:type="dxa" w:w="10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7 – 16</w:t>
            </w:r>
          </w:p>
        </w:tc>
        <w:tc>
          <w:tcPr>
            <w:tcW w:type="dxa" w:w="1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TV Trưởng + CV2 + CV3</w:t>
            </w:r>
          </w:p>
        </w:tc>
        <w:tc>
          <w:tcPr>
            <w:tcW w:type="dxa" w:w="25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Biên bản phỏng vấn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1.3</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Tổng hợp, hoàn thiện Báo cáo HM1</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14 – 20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Toàn đội</w:t>
            </w:r>
          </w:p>
        </w:tc>
        <w:tc>
          <w:tcPr>
            <w:tcW w:type="dxa" w:w="25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D1: Báo cáo HT + Gap Matrix</w:t>
            </w:r>
          </w:p>
        </w:tc>
      </w:tr>
      <w:tr>
        <w:tc>
          <w:tcPr>
            <w:tcW w:type="dxa" w:w="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w:t>
            </w:r>
          </w:p>
        </w:tc>
        <w:tc>
          <w:tcPr>
            <w:tcW w:type="dxa" w:w="3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Mốc 1: Nghiệm thu Hạng mục 1 — Thanh toán đợt 1 (30%)</w:t>
            </w:r>
          </w:p>
        </w:tc>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bCs/>
                <w:color w:val="000000"/>
                <w:sz w:val="24"/>
                <w:szCs w:val="24"/>
              </w:rPr>
              <w:t xml:space="preserve">Ngày 20</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
            </w:r>
          </w:p>
        </w:tc>
        <w:tc>
          <w:tcPr>
            <w:tcW w:type="dxa" w:w="257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
            </w:r>
          </w:p>
        </w:tc>
      </w:tr>
      <w:tr>
        <w:tc>
          <w:tcPr>
            <w:tcW w:type="dxa" w:w="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HM2</w:t>
            </w:r>
          </w:p>
        </w:tc>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CẬP NHẬT VÀ BỔ SUNG HỆ THỐNG QUY CHẾ</w:t>
            </w:r>
          </w:p>
        </w:tc>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bCs/>
                <w:color w:val="000000"/>
                <w:sz w:val="24"/>
                <w:szCs w:val="24"/>
              </w:rPr>
              <w:t xml:space="preserve">20 – 45</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
            </w:r>
          </w:p>
        </w:tc>
        <w:tc>
          <w:tcPr>
            <w:tcW w:type="dxa" w:w="257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2.1</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Soạn thảo các quy trình cập nhật (ưu tiên nhóm có rủi ro pháp lý cao)</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20 – 33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TV Trưởng + CV1 + CV2</w:t>
            </w:r>
          </w:p>
        </w:tc>
        <w:tc>
          <w:tcPr>
            <w:tcW w:type="dxa" w:w="25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Dự thảo quy trình cập nhật</w:t>
            </w:r>
          </w:p>
        </w:tc>
      </w:tr>
      <w:tr>
        <w:tc>
          <w:tcPr>
            <w:tcW w:type="dxa" w:w="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2.2</w:t>
            </w:r>
          </w:p>
        </w:tc>
        <w:tc>
          <w:tcPr>
            <w:tcW w:type="dxa" w:w="3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Soạn thảo các quy trình mới (ưu tiên quy trình BIM/CDE)</w:t>
            </w:r>
          </w:p>
        </w:tc>
        <w:tc>
          <w:tcPr>
            <w:tcW w:type="dxa" w:w="10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23 – 35</w:t>
            </w:r>
          </w:p>
        </w:tc>
        <w:tc>
          <w:tcPr>
            <w:tcW w:type="dxa" w:w="1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TV Trưởng + CV1</w:t>
            </w:r>
          </w:p>
        </w:tc>
        <w:tc>
          <w:tcPr>
            <w:tcW w:type="dxa" w:w="25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Dự thảo quy trình mới</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2.3</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Thiết kế và ban hành mới toàn bộ biểu mẫu điện tử</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27 – 38</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CV2 + CV3</w:t>
            </w:r>
          </w:p>
        </w:tc>
        <w:tc>
          <w:tcPr>
            <w:tcW w:type="dxa" w:w="25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Bộ biểu mẫu điện tử</w:t>
            </w:r>
          </w:p>
        </w:tc>
      </w:tr>
      <w:tr>
        <w:tc>
          <w:tcPr>
            <w:tcW w:type="dxa" w:w="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2.4</w:t>
            </w:r>
          </w:p>
        </w:tc>
        <w:tc>
          <w:tcPr>
            <w:tcW w:type="dxa" w:w="3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Lấy ý kiến Vicem Hà Tiên &amp; hoàn thiện (2 vòng)</w:t>
            </w:r>
          </w:p>
        </w:tc>
        <w:tc>
          <w:tcPr>
            <w:tcW w:type="dxa" w:w="10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33 – 42</w:t>
            </w:r>
          </w:p>
        </w:tc>
        <w:tc>
          <w:tcPr>
            <w:tcW w:type="dxa" w:w="1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TV Trưởng + Toàn đội</w:t>
            </w:r>
          </w:p>
        </w:tc>
        <w:tc>
          <w:tcPr>
            <w:tcW w:type="dxa" w:w="25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Quy trình phiên bản chính thức</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2.5</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Tập huấn (02 buổi)</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42 – 45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TV Trưởng + CV3</w:t>
            </w:r>
          </w:p>
        </w:tc>
        <w:tc>
          <w:tcPr>
            <w:tcW w:type="dxa" w:w="25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D6: Biên bản tập huấn</w:t>
            </w:r>
          </w:p>
        </w:tc>
      </w:tr>
      <w:tr>
        <w:tc>
          <w:tcPr>
            <w:tcW w:type="dxa" w:w="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w:t>
            </w:r>
          </w:p>
        </w:tc>
        <w:tc>
          <w:tcPr>
            <w:tcW w:type="dxa" w:w="3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Mốc 2: Nghiệm thu Hạng mục 2 — Thanh toán đợt 2 (70%)</w:t>
            </w:r>
          </w:p>
        </w:tc>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bCs/>
                <w:color w:val="000000"/>
                <w:sz w:val="24"/>
                <w:szCs w:val="24"/>
              </w:rPr>
              <w:t xml:space="preserve">Ngày 45</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
            </w:r>
          </w:p>
        </w:tc>
        <w:tc>
          <w:tcPr>
            <w:tcW w:type="dxa" w:w="257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
            </w:r>
          </w:p>
        </w:tc>
      </w:tr>
    </w:tbl>
    <w:p>
      <w:pPr>
        <w:spacing w:after="80" w:before="0"/>
      </w:pPr>
      <w:r>
        <w:t xml:space="preserve"/>
      </w:r>
    </w:p>
    <w:p>
      <w:pPr>
        <w:spacing w:after="80" w:before="180" w:line="360" w:lineRule="auto"/>
      </w:pPr>
      <w:r>
        <w:rPr>
          <w:rFonts w:ascii="Times New Roman" w:cs="Times New Roman" w:eastAsia="Times New Roman" w:hAnsi="Times New Roman"/>
          <w:b/>
          <w:bCs/>
          <w:color w:val="000000"/>
          <w:sz w:val="28"/>
          <w:szCs w:val="28"/>
        </w:rPr>
        <w:t xml:space="preserve">4.2. Danh mục sản phẩm bàn giao</w:t>
      </w:r>
    </w:p>
    <w:p>
      <w:pPr>
        <w:spacing w:after="60" w:before="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100"/>
        <w:gridCol w:w="2571"/>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Ký hiệu</w:t>
            </w:r>
          </w:p>
        </w:tc>
        <w:tc>
          <w:tcPr>
            <w:tcW w:type="dxa" w:w="4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Sản phẩm bàn giao</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Hạng mục</w:t>
            </w:r>
          </w:p>
        </w:tc>
        <w:tc>
          <w:tcPr>
            <w:tcW w:type="dxa" w:w="257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Thời điểm</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bCs/>
                <w:color w:val="000000"/>
                <w:sz w:val="24"/>
                <w:szCs w:val="24"/>
              </w:rPr>
              <w:t xml:space="preserve">D1</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Báo cáo Khảo sát Hiện trạng chính thức + Legal Gap Matrix</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HM1</w:t>
            </w:r>
          </w:p>
        </w:tc>
        <w:tc>
          <w:tcPr>
            <w:tcW w:type="dxa" w:w="25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Ngày 20</w:t>
            </w:r>
          </w:p>
        </w:tc>
      </w:tr>
      <w:tr>
        <w:tc>
          <w:tcPr>
            <w:tcW w:type="dxa" w:w="6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bCs/>
                <w:color w:val="000000"/>
                <w:sz w:val="24"/>
                <w:szCs w:val="24"/>
              </w:rPr>
              <w:t xml:space="preserve">D2</w:t>
            </w:r>
          </w:p>
        </w:tc>
        <w:tc>
          <w:tcPr>
            <w:tcW w:type="dxa" w:w="4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Bộ quy trình quản lý dự án cập nhật — toàn bộ các quy trình đã sửa đổi (bản phê duyệt)</w:t>
            </w:r>
          </w:p>
        </w:tc>
        <w:tc>
          <w:tcPr>
            <w:tcW w:type="dxa" w:w="11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HM2</w:t>
            </w:r>
          </w:p>
        </w:tc>
        <w:tc>
          <w:tcPr>
            <w:tcW w:type="dxa" w:w="25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Ngày 45</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bCs/>
                <w:color w:val="000000"/>
                <w:sz w:val="24"/>
                <w:szCs w:val="24"/>
              </w:rPr>
              <w:t xml:space="preserve">D3</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Bộ quy trình mới bổ sung — các quy trình chưa có trong hệ thống hiện hành (bản phê duyệt)</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HM2</w:t>
            </w:r>
          </w:p>
        </w:tc>
        <w:tc>
          <w:tcPr>
            <w:tcW w:type="dxa" w:w="25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Ngày 45</w:t>
            </w:r>
          </w:p>
        </w:tc>
      </w:tr>
      <w:tr>
        <w:tc>
          <w:tcPr>
            <w:tcW w:type="dxa" w:w="6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bCs/>
                <w:color w:val="000000"/>
                <w:sz w:val="24"/>
                <w:szCs w:val="24"/>
              </w:rPr>
              <w:t xml:space="preserve">D4</w:t>
            </w:r>
          </w:p>
        </w:tc>
        <w:tc>
          <w:tcPr>
            <w:tcW w:type="dxa" w:w="4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Toàn bộ biểu mẫu cập nhật và ban hành mới (định dạng điện tử)</w:t>
            </w:r>
          </w:p>
        </w:tc>
        <w:tc>
          <w:tcPr>
            <w:tcW w:type="dxa" w:w="11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HM2</w:t>
            </w:r>
          </w:p>
        </w:tc>
        <w:tc>
          <w:tcPr>
            <w:tcW w:type="dxa" w:w="25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Ngày 45</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bCs/>
                <w:color w:val="000000"/>
                <w:sz w:val="24"/>
                <w:szCs w:val="24"/>
              </w:rPr>
              <w:t xml:space="preserve">D5</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Legal Change Tracker (sáng kiến bổ sung)</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HM2</w:t>
            </w:r>
          </w:p>
        </w:tc>
        <w:tc>
          <w:tcPr>
            <w:tcW w:type="dxa" w:w="25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Ngày 45</w:t>
            </w:r>
          </w:p>
        </w:tc>
      </w:tr>
      <w:tr>
        <w:tc>
          <w:tcPr>
            <w:tcW w:type="dxa" w:w="6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bCs/>
                <w:color w:val="000000"/>
                <w:sz w:val="24"/>
                <w:szCs w:val="24"/>
              </w:rPr>
              <w:t xml:space="preserve">D6</w:t>
            </w:r>
          </w:p>
        </w:tc>
        <w:tc>
          <w:tcPr>
            <w:tcW w:type="dxa" w:w="4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Tài liệu hướng dẫn áp dụng + Biên bản tập huấn</w:t>
            </w:r>
          </w:p>
        </w:tc>
        <w:tc>
          <w:tcPr>
            <w:tcW w:type="dxa" w:w="11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HM2</w:t>
            </w:r>
          </w:p>
        </w:tc>
        <w:tc>
          <w:tcPr>
            <w:tcW w:type="dxa" w:w="25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Ngày 45</w:t>
            </w:r>
          </w:p>
        </w:tc>
      </w:tr>
    </w:tbl>
    <w:p>
      <w:pPr>
        <w:pBdr>
          <w:bottom w:val="single" w:color="CCCCCC" w:sz="2" w:space="4"/>
        </w:pBdr>
        <w:spacing w:after="120" w:before="120"/>
      </w:pPr>
      <w:r>
        <w:t xml:space="preserve"/>
      </w:r>
    </w:p>
    <w:p>
      <w:pPr>
        <w:pBdr>
          <w:bottom w:val="single" w:color="1F4E79" w:sz="4" w:space="4"/>
        </w:pBdr>
        <w:spacing w:after="120" w:before="240" w:line="360" w:lineRule="auto"/>
      </w:pPr>
      <w:r>
        <w:rPr>
          <w:rFonts w:ascii="Times New Roman" w:cs="Times New Roman" w:eastAsia="Times New Roman" w:hAnsi="Times New Roman"/>
          <w:b/>
          <w:bCs/>
          <w:color w:val="1F4E79"/>
          <w:sz w:val="28"/>
          <w:szCs w:val="28"/>
        </w:rPr>
        <w:t xml:space="preserve">5. BỐ TRÍ NHÂN SỰ</w:t>
      </w:r>
    </w:p>
    <w:p>
      <w:pPr>
        <w:spacing w:after="80" w:before="180" w:line="360" w:lineRule="auto"/>
      </w:pPr>
      <w:r>
        <w:rPr>
          <w:rFonts w:ascii="Times New Roman" w:cs="Times New Roman" w:eastAsia="Times New Roman" w:hAnsi="Times New Roman"/>
          <w:b/>
          <w:bCs/>
          <w:color w:val="000000"/>
          <w:sz w:val="28"/>
          <w:szCs w:val="28"/>
        </w:rPr>
        <w:t xml:space="preserve">5.1. Tổng quan đội ngũ</w:t>
      </w:r>
    </w:p>
    <w:p>
      <w:pPr>
        <w:spacing w:after="60" w:before="60" w:line="360" w:lineRule="auto"/>
        <w:jc w:val="both"/>
      </w:pPr>
      <w:r>
        <w:rPr>
          <w:rFonts w:ascii="Times New Roman" w:cs="Times New Roman" w:eastAsia="Times New Roman" w:hAnsi="Times New Roman"/>
          <w:b w:val="false"/>
          <w:bCs w:val="false"/>
          <w:i w:val="false"/>
          <w:iCs w:val="false"/>
          <w:color w:val="000000"/>
          <w:sz w:val="26"/>
          <w:szCs w:val="26"/>
        </w:rPr>
        <w:t xml:space="preserve">CIC bố trí </w:t>
      </w:r>
      <w:r>
        <w:rPr>
          <w:rFonts w:ascii="Times New Roman" w:cs="Times New Roman" w:eastAsia="Times New Roman" w:hAnsi="Times New Roman"/>
          <w:b/>
          <w:bCs/>
          <w:color w:val="000000"/>
          <w:sz w:val="26"/>
          <w:szCs w:val="26"/>
        </w:rPr>
        <w:t xml:space="preserve">01 Tư vấn trưởng và 03 Chuyên viên tư vấn</w:t>
      </w:r>
      <w:r>
        <w:rPr>
          <w:rFonts w:ascii="Times New Roman" w:cs="Times New Roman" w:eastAsia="Times New Roman" w:hAnsi="Times New Roman"/>
          <w:b w:val="false"/>
          <w:bCs w:val="false"/>
          <w:i w:val="false"/>
          <w:iCs w:val="false"/>
          <w:color w:val="000000"/>
          <w:sz w:val="26"/>
          <w:szCs w:val="26"/>
        </w:rPr>
        <w:t xml:space="preserve"> chuyên ngành phù hợp, đảm bảo đủ năng lực triển khai song song tất cả các nhóm công việc trong tiến độ cam kết.</w:t>
      </w:r>
    </w:p>
    <w:p>
      <w:pPr>
        <w:spacing w:after="60" w:before="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700"/>
        <w:gridCol w:w="2000"/>
        <w:gridCol w:w="3371"/>
      </w:tblGrid>
      <w:tr>
        <w:trPr>
          <w:tblHeader/>
        </w:trPr>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STT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Vị trí</w:t>
            </w:r>
          </w:p>
        </w:tc>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SL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Trình độ</w:t>
            </w:r>
          </w:p>
        </w:tc>
        <w:tc>
          <w:tcPr>
            <w:tcW w:type="dxa" w:w="337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Chuyên ngành</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1</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Tư vấn trưởng</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Thạc sỹ trở lên</w:t>
            </w:r>
          </w:p>
        </w:tc>
        <w:tc>
          <w:tcPr>
            <w:tcW w:type="dxa" w:w="33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Quản lý xây dựng / Kinh tế xây dựng</w:t>
            </w:r>
          </w:p>
        </w:tc>
      </w:tr>
      <w:tr>
        <w:tc>
          <w:tcPr>
            <w:tcW w:type="dxa" w:w="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2</w:t>
            </w:r>
          </w:p>
        </w:tc>
        <w:tc>
          <w:tcPr>
            <w:tcW w:type="dxa" w:w="2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Chuyên viên tư vấn 1</w:t>
            </w:r>
          </w:p>
        </w:tc>
        <w:tc>
          <w:tcPr>
            <w:tcW w:type="dxa" w:w="7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1</w:t>
            </w:r>
          </w:p>
        </w:tc>
        <w:tc>
          <w:tcPr>
            <w:tcW w:type="dxa" w:w="20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Đại học trở lên</w:t>
            </w:r>
          </w:p>
        </w:tc>
        <w:tc>
          <w:tcPr>
            <w:tcW w:type="dxa" w:w="33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Pháp luật xây dựng / Quản lý đầu tư XD</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3</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Chuyên viên tư vấn 2</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Đại học trở lên</w:t>
            </w:r>
          </w:p>
        </w:tc>
        <w:tc>
          <w:tcPr>
            <w:tcW w:type="dxa" w:w="33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Quản lý dự án xây dựng / Kỹ thuật xây dựng</w:t>
            </w:r>
          </w:p>
        </w:tc>
      </w:tr>
      <w:tr>
        <w:tc>
          <w:tcPr>
            <w:tcW w:type="dxa" w:w="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4</w:t>
            </w:r>
          </w:p>
        </w:tc>
        <w:tc>
          <w:tcPr>
            <w:tcW w:type="dxa" w:w="2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Chuyên viên tư vấn 3</w:t>
            </w:r>
          </w:p>
        </w:tc>
        <w:tc>
          <w:tcPr>
            <w:tcW w:type="dxa" w:w="7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1</w:t>
            </w:r>
          </w:p>
        </w:tc>
        <w:tc>
          <w:tcPr>
            <w:tcW w:type="dxa" w:w="20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Đại học trở lên</w:t>
            </w:r>
          </w:p>
        </w:tc>
        <w:tc>
          <w:tcPr>
            <w:tcW w:type="dxa" w:w="33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Kinh tế xây dựng / Kỹ thuật xây dựng</w:t>
            </w:r>
          </w:p>
        </w:tc>
      </w:tr>
    </w:tbl>
    <w:p>
      <w:pPr>
        <w:spacing w:after="80" w:before="0"/>
      </w:pPr>
      <w:r>
        <w:t xml:space="preserve"/>
      </w:r>
    </w:p>
    <w:p>
      <w:pPr>
        <w:spacing w:after="80" w:before="180" w:line="360" w:lineRule="auto"/>
      </w:pPr>
      <w:r>
        <w:rPr>
          <w:rFonts w:ascii="Times New Roman" w:cs="Times New Roman" w:eastAsia="Times New Roman" w:hAnsi="Times New Roman"/>
          <w:b/>
          <w:bCs/>
          <w:color w:val="000000"/>
          <w:sz w:val="28"/>
          <w:szCs w:val="28"/>
        </w:rPr>
        <w:t xml:space="preserve">5.2. Phân công công việc và thời gian huy động</w:t>
      </w:r>
    </w:p>
    <w:p>
      <w:pPr>
        <w:spacing w:after="60" w:before="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200"/>
        <w:gridCol w:w="2071"/>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Vị trí</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Trách nhiệm chính</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Ngày huy động</w:t>
            </w:r>
          </w:p>
        </w:tc>
        <w:tc>
          <w:tcPr>
            <w:tcW w:type="dxa" w:w="207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FFFFFF"/>
                <w:sz w:val="24"/>
                <w:szCs w:val="24"/>
              </w:rPr>
              <w:t xml:space="preserve">Tỷ lệ huy động</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Tư vấn trưởng</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Chỉ đạo chung; soạn thảo các quy trình phức tạp về hợp đồng và quản lý dự án; chủ trì tập huấn; duyệt toàn bộ sản phẩm trước bàn giao</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1 – 45</w:t>
            </w:r>
          </w:p>
        </w:tc>
        <w:tc>
          <w:tcPr>
            <w:tcW w:type="dxa" w:w="20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100%</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Chuyên viên 1 (Pháp lý)</w:t>
            </w:r>
          </w:p>
        </w:tc>
        <w:tc>
          <w:tcPr>
            <w:tcW w:type="dxa" w:w="40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Lập Legal Gap Matrix; rà soát pháp lý chi tiết từng điều khoản; soạn thảo các quy trình nhóm hợp đồng, đấu thầu, chất lượng, chi phí</w:t>
            </w:r>
          </w:p>
        </w:tc>
        <w:tc>
          <w:tcPr>
            <w:tcW w:type="dxa" w:w="1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1 – 42</w:t>
            </w:r>
          </w:p>
        </w:tc>
        <w:tc>
          <w:tcPr>
            <w:tcW w:type="dxa" w:w="20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80%</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Chuyên viên 2 (QLDA)</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Khảo sát thực địa; soạn thảo các quy trình nhóm quản lý kỹ thuật, kế hoạch, giám sát; thiết kế biểu mẫu nhóm kỹ thuật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7 – 38</w:t>
            </w:r>
          </w:p>
        </w:tc>
        <w:tc>
          <w:tcPr>
            <w:tcW w:type="dxa" w:w="207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80%</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bCs/>
                <w:color w:val="000000"/>
                <w:sz w:val="24"/>
                <w:szCs w:val="24"/>
              </w:rPr>
              <w:t xml:space="preserve">Chuyên viên 3 (Kinh tế XD)</w:t>
            </w:r>
          </w:p>
        </w:tc>
        <w:tc>
          <w:tcPr>
            <w:tcW w:type="dxa" w:w="40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left"/>
            </w:pPr>
            <w:r>
              <w:rPr>
                <w:rFonts w:ascii="Times New Roman" w:cs="Times New Roman" w:eastAsia="Times New Roman" w:hAnsi="Times New Roman"/>
                <w:b w:val="false"/>
                <w:bCs w:val="false"/>
                <w:color w:val="000000"/>
                <w:sz w:val="24"/>
                <w:szCs w:val="24"/>
              </w:rPr>
              <w:t xml:space="preserve">Khảo sát thực địa; soạn thảo các quy trình nhóm tài chính, lưu trữ hồ sơ, bàn giao; thiết kế biểu mẫu nhóm tài chính; chuẩn bị tài liệu tập huấn</w:t>
            </w:r>
          </w:p>
        </w:tc>
        <w:tc>
          <w:tcPr>
            <w:tcW w:type="dxa" w:w="1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7 – 45</w:t>
            </w:r>
          </w:p>
        </w:tc>
        <w:tc>
          <w:tcPr>
            <w:tcW w:type="dxa" w:w="2071"/>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spacing w:after="40" w:before="40" w:line="320" w:lineRule="auto"/>
              <w:jc w:val="center"/>
            </w:pPr>
            <w:r>
              <w:rPr>
                <w:rFonts w:ascii="Times New Roman" w:cs="Times New Roman" w:eastAsia="Times New Roman" w:hAnsi="Times New Roman"/>
                <w:b w:val="false"/>
                <w:bCs w:val="false"/>
                <w:color w:val="000000"/>
                <w:sz w:val="24"/>
                <w:szCs w:val="24"/>
              </w:rPr>
              <w:t xml:space="preserve">70%</w:t>
            </w:r>
          </w:p>
        </w:tc>
      </w:tr>
    </w:tbl>
    <w:p>
      <w:pPr>
        <w:spacing w:after="80" w:before="0"/>
      </w:pPr>
      <w:r>
        <w:t xml:space="preserve"/>
      </w:r>
    </w:p>
    <w:p>
      <w:pPr>
        <w:spacing w:after="80" w:before="180" w:line="360" w:lineRule="auto"/>
      </w:pPr>
      <w:r>
        <w:rPr>
          <w:rFonts w:ascii="Times New Roman" w:cs="Times New Roman" w:eastAsia="Times New Roman" w:hAnsi="Times New Roman"/>
          <w:b/>
          <w:bCs/>
          <w:color w:val="000000"/>
          <w:sz w:val="28"/>
          <w:szCs w:val="28"/>
        </w:rPr>
        <w:t xml:space="preserve">5.3. Cơ chế kiểm soát chất lượng</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Review 2 cấp:</w:t>
      </w:r>
      <w:r>
        <w:rPr>
          <w:rFonts w:ascii="Times New Roman" w:cs="Times New Roman" w:eastAsia="Times New Roman" w:hAnsi="Times New Roman"/>
          <w:sz w:val="26"/>
          <w:szCs w:val="26"/>
        </w:rPr>
        <w:t xml:space="preserve"> Mỗi dự thảo quy trình được chuyên viên soạn thảo → chuyên viên pháp lý phản biện → Tư vấn trưởng phê duyệt trước khi gửi Vicem Hà Tiên</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Cuộc họp tiến độ tuần:</w:t>
      </w:r>
      <w:r>
        <w:rPr>
          <w:rFonts w:ascii="Times New Roman" w:cs="Times New Roman" w:eastAsia="Times New Roman" w:hAnsi="Times New Roman"/>
          <w:sz w:val="26"/>
          <w:szCs w:val="26"/>
        </w:rPr>
        <w:t xml:space="preserve"> Cập nhật trạng thái, xử lý vướng mắc, điều chỉnh tiến độ nếu cần</w:t>
      </w:r>
    </w:p>
    <w:p>
      <w:pPr>
        <w:pStyle w:val="ListParagraph"/>
        <w:numPr>
          <w:ilvl w:val="0"/>
          <w:numId w:val="2"/>
        </w:numPr>
        <w:spacing w:after="40" w:before="40" w:line="340" w:lineRule="auto"/>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Điểm kiểm tra chất lượng (Quality Gate):</w:t>
      </w:r>
      <w:r>
        <w:rPr>
          <w:rFonts w:ascii="Times New Roman" w:cs="Times New Roman" w:eastAsia="Times New Roman" w:hAnsi="Times New Roman"/>
          <w:sz w:val="26"/>
          <w:szCs w:val="26"/>
        </w:rPr>
        <w:t xml:space="preserve"> Tuần 4 (trước khi hoàn thiện Hạng mục 1) và Tuần 10 (trước khi gửi vòng lấy ý kiến Hạng mục 2)</w:t>
      </w:r>
    </w:p>
    <w:p>
      <w:pPr>
        <w:pBdr>
          <w:bottom w:val="single" w:color="CCCCCC" w:sz="2" w:space="4"/>
        </w:pBdr>
        <w:spacing w:after="120" w:before="120"/>
      </w:pPr>
      <w:r>
        <w:t xml:space="preserve"/>
      </w:r>
    </w:p>
    <w:p>
      <w:pPr>
        <w:spacing w:after="60" w:before="0"/>
      </w:pPr>
      <w:r>
        <w:t xml:space="preserve"/>
      </w:r>
    </w:p>
    <w:p>
      <w:pPr>
        <w:spacing w:after="60" w:before="120" w:line="360" w:lineRule="auto"/>
        <w:jc w:val="center"/>
      </w:pPr>
      <w:r>
        <w:rPr>
          <w:rFonts w:ascii="Times New Roman" w:cs="Times New Roman" w:eastAsia="Times New Roman" w:hAnsi="Times New Roman"/>
          <w:b w:val="false"/>
          <w:bCs w:val="false"/>
          <w:i/>
          <w:iCs/>
          <w:color w:val="000000"/>
          <w:sz w:val="26"/>
          <w:szCs w:val="26"/>
        </w:rPr>
        <w:t xml:space="preserve">— Hết Phần IV: Giải pháp và Phương pháp luận —</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71"/>
      </w:tabs>
      <w:spacing w:before="120"/>
    </w:pPr>
    <w:r>
      <w:rPr>
        <w:rFonts w:ascii="Times New Roman" w:cs="Times New Roman" w:eastAsia="Times New Roman" w:hAnsi="Times New Roman"/>
        <w:color w:val="555555"/>
        <w:sz w:val="18"/>
        <w:szCs w:val="18"/>
      </w:rPr>
      <w:t xml:space="preserve">Công ty CP Công nghệ và Tư vấn CIC  |  cic.com.vn</w:t>
    </w:r>
    <w:r>
      <w:rPr>
        <w:rFonts w:ascii="Times New Roman" w:cs="Times New Roman" w:eastAsia="Times New Roman" w:hAnsi="Times New Roman"/>
      </w:rPr>
      <w:t xml:space="preserve">	</w:t>
    </w:r>
    <w:r>
      <w:rPr>
        <w:rFonts w:ascii="Times New Roman" w:cs="Times New Roman" w:eastAsia="Times New Roman" w:hAnsi="Times New Roman"/>
        <w:color w:val="555555"/>
        <w:sz w:val="18"/>
        <w:szCs w:val="18"/>
      </w:rPr>
      <w:t xml:space="preserve">Trang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120"/>
    </w:pPr>
    <w:r>
      <w:rPr>
        <w:rFonts w:ascii="Times New Roman" w:cs="Times New Roman" w:eastAsia="Times New Roman" w:hAnsi="Times New Roman"/>
        <w:i/>
        <w:iCs/>
        <w:color w:val="555555"/>
        <w:sz w:val="20"/>
        <w:szCs w:val="20"/>
      </w:rPr>
      <w:t xml:space="preserve">HSCCT — Dịch vụ tư vấn rà soát quy chế ĐTXD | VICEM Hà Tiên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2026-05-20T03:43:31.037Z</dcterms:created>
  <dcterms:modified xsi:type="dcterms:W3CDTF">2026-05-20T03:43:31.038Z</dcterms:modified>
</cp:coreProperties>
</file>

<file path=docProps/custom.xml><?xml version="1.0" encoding="utf-8"?>
<Properties xmlns="http://schemas.openxmlformats.org/officeDocument/2006/custom-properties" xmlns:vt="http://schemas.openxmlformats.org/officeDocument/2006/docPropsVTypes"/>
</file>