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71FD" w:rsidRPr="00A46EA9" w:rsidRDefault="005410BD" w:rsidP="00A46EA9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A46EA9">
        <w:rPr>
          <w:rFonts w:ascii="Times New Roman" w:hAnsi="Times New Roman" w:cs="Times New Roman"/>
          <w:b/>
          <w:color w:val="0B1F3A"/>
          <w:sz w:val="28"/>
          <w:szCs w:val="24"/>
        </w:rPr>
        <w:t>Website Design &amp; Experience Plan</w:t>
      </w:r>
    </w:p>
    <w:p w:rsidR="002471FD" w:rsidRPr="00A46EA9" w:rsidRDefault="005410BD">
      <w:pPr>
        <w:spacing w:after="360" w:line="252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color w:val="5B677A"/>
          <w:sz w:val="24"/>
          <w:szCs w:val="24"/>
        </w:rPr>
        <w:t>A premium enterprise design system for an SAP Gold Partner positioned around Converged Intelligence.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471FD" w:rsidRPr="00A46EA9">
        <w:tc>
          <w:tcPr>
            <w:tcW w:w="10368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SAP Gold Partner | RISE with SAP | PCE Partner | CMMI | ISO 9001 | ISO 27001</w:t>
            </w:r>
          </w:p>
        </w:tc>
      </w:tr>
    </w:tbl>
    <w:p w:rsidR="002471FD" w:rsidRPr="00A46EA9" w:rsidRDefault="002471FD">
      <w:pPr>
        <w:spacing w:after="240" w:line="252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912"/>
      </w:tblGrid>
      <w:tr w:rsidR="002471FD" w:rsidRPr="00A46EA9">
        <w:tc>
          <w:tcPr>
            <w:tcW w:w="2592" w:type="dxa"/>
            <w:shd w:val="clear" w:color="auto" w:fill="EFF6FC"/>
            <w:vAlign w:val="center"/>
          </w:tcPr>
          <w:p w:rsidR="002471FD" w:rsidRPr="00A46EA9" w:rsidRDefault="0054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Document status</w:t>
            </w:r>
          </w:p>
        </w:tc>
        <w:tc>
          <w:tcPr>
            <w:tcW w:w="6912" w:type="dxa"/>
            <w:vAlign w:val="center"/>
          </w:tcPr>
          <w:p w:rsidR="002471FD" w:rsidRPr="00A46EA9" w:rsidRDefault="0054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Refined professional business-plan version</w:t>
            </w:r>
          </w:p>
        </w:tc>
      </w:tr>
      <w:tr w:rsidR="002471FD" w:rsidRPr="00A46EA9">
        <w:tc>
          <w:tcPr>
            <w:tcW w:w="2592" w:type="dxa"/>
            <w:shd w:val="clear" w:color="auto" w:fill="EFF6FC"/>
            <w:vAlign w:val="center"/>
          </w:tcPr>
          <w:p w:rsidR="002471FD" w:rsidRPr="00A46EA9" w:rsidRDefault="0054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Source of truth</w:t>
            </w:r>
          </w:p>
        </w:tc>
        <w:tc>
          <w:tcPr>
            <w:tcW w:w="6912" w:type="dxa"/>
            <w:vAlign w:val="center"/>
          </w:tcPr>
          <w:p w:rsidR="002471FD" w:rsidRPr="00A46EA9" w:rsidRDefault="0054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In2IT EBS Corporate Capability deck, May 2026</w:t>
            </w:r>
          </w:p>
        </w:tc>
      </w:tr>
      <w:tr w:rsidR="002471FD" w:rsidRPr="00A46EA9">
        <w:tc>
          <w:tcPr>
            <w:tcW w:w="2592" w:type="dxa"/>
            <w:shd w:val="clear" w:color="auto" w:fill="EFF6FC"/>
            <w:vAlign w:val="center"/>
          </w:tcPr>
          <w:p w:rsidR="002471FD" w:rsidRPr="00A46EA9" w:rsidRDefault="0054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Website context</w:t>
            </w:r>
          </w:p>
        </w:tc>
        <w:tc>
          <w:tcPr>
            <w:tcW w:w="6912" w:type="dxa"/>
            <w:vAlign w:val="center"/>
          </w:tcPr>
          <w:p w:rsidR="002471FD" w:rsidRPr="00A46EA9" w:rsidRDefault="0054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Relaunch of www.in2itebs.com for an SAP Gold Partner</w:t>
            </w:r>
          </w:p>
        </w:tc>
      </w:tr>
      <w:tr w:rsidR="002471FD" w:rsidRPr="00A46EA9">
        <w:tc>
          <w:tcPr>
            <w:tcW w:w="2592" w:type="dxa"/>
            <w:shd w:val="clear" w:color="auto" w:fill="EFF6FC"/>
            <w:vAlign w:val="center"/>
          </w:tcPr>
          <w:p w:rsidR="002471FD" w:rsidRPr="00A46EA9" w:rsidRDefault="0054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Prepared for</w:t>
            </w:r>
          </w:p>
        </w:tc>
        <w:tc>
          <w:tcPr>
            <w:tcW w:w="6912" w:type="dxa"/>
            <w:vAlign w:val="center"/>
          </w:tcPr>
          <w:p w:rsidR="002471FD" w:rsidRPr="00A46EA9" w:rsidRDefault="0054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Leadership, marketing, sales, website design and build teams</w:t>
            </w:r>
          </w:p>
        </w:tc>
      </w:tr>
      <w:tr w:rsidR="002471FD" w:rsidRPr="00A46EA9">
        <w:tc>
          <w:tcPr>
            <w:tcW w:w="2592" w:type="dxa"/>
            <w:shd w:val="clear" w:color="auto" w:fill="EFF6FC"/>
            <w:vAlign w:val="center"/>
          </w:tcPr>
          <w:p w:rsidR="002471FD" w:rsidRPr="00A46EA9" w:rsidRDefault="0054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Version</w:t>
            </w:r>
          </w:p>
        </w:tc>
        <w:tc>
          <w:tcPr>
            <w:tcW w:w="6912" w:type="dxa"/>
            <w:vAlign w:val="center"/>
          </w:tcPr>
          <w:p w:rsidR="002471FD" w:rsidRPr="00A46EA9" w:rsidRDefault="0054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v2.0 - Professional Plan</w:t>
            </w:r>
          </w:p>
        </w:tc>
      </w:tr>
    </w:tbl>
    <w:p w:rsidR="002471FD" w:rsidRPr="00A46EA9" w:rsidRDefault="005410BD">
      <w:pPr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br w:type="page"/>
      </w: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8"/>
          <w:szCs w:val="24"/>
        </w:rPr>
      </w:pPr>
      <w:r w:rsidRPr="00A46EA9">
        <w:rPr>
          <w:rFonts w:ascii="Times New Roman" w:hAnsi="Times New Roman" w:cs="Times New Roman"/>
          <w:sz w:val="28"/>
          <w:szCs w:val="24"/>
        </w:rPr>
        <w:lastRenderedPageBreak/>
        <w:t>Contents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9360"/>
      </w:tblGrid>
      <w:tr w:rsidR="002471FD" w:rsidRPr="00A46EA9">
        <w:trPr>
          <w:tblHeader/>
          <w:jc w:val="center"/>
        </w:trPr>
        <w:tc>
          <w:tcPr>
            <w:tcW w:w="720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9360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6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Executive design mandate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6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Brand and current-site context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6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Design principles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6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Visual identity system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6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Pillar differentiation model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6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Core layout system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6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Component system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6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Page experience requirements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6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SAP flagship page experience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6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Motion, imagery and interaction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36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Responsive, accessibility and performance standards</w:t>
            </w:r>
          </w:p>
        </w:tc>
      </w:tr>
      <w:tr w:rsidR="002471FD" w:rsidRPr="00A46EA9">
        <w:trPr>
          <w:jc w:val="center"/>
        </w:trPr>
        <w:tc>
          <w:tcPr>
            <w:tcW w:w="72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6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Design handoff checklist</w:t>
            </w:r>
          </w:p>
        </w:tc>
      </w:tr>
    </w:tbl>
    <w:p w:rsidR="002471FD" w:rsidRPr="00A46EA9" w:rsidRDefault="002471FD">
      <w:pPr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lastRenderedPageBreak/>
        <w:t xml:space="preserve">1. Executive design </w:t>
      </w:r>
      <w:r w:rsidR="00430700" w:rsidRPr="00A46EA9">
        <w:rPr>
          <w:rFonts w:ascii="Times New Roman" w:hAnsi="Times New Roman" w:cs="Times New Roman"/>
          <w:sz w:val="24"/>
          <w:szCs w:val="24"/>
        </w:rPr>
        <w:t>recommendation</w:t>
      </w:r>
    </w:p>
    <w:p w:rsidR="002471FD" w:rsidRPr="00A46EA9" w:rsidRDefault="005410BD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The relaunched website must look and feel like a premium enterprise technology partner: calm, precise, proof-led and commercially confident. It must elevate In2IT EBS beyond a service catalogue into a modern SAP-led transformation brand with visible advisory, engineering and AI capability.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471FD" w:rsidRPr="00A46EA9">
        <w:trPr>
          <w:jc w:val="center"/>
        </w:trPr>
        <w:tc>
          <w:tcPr>
            <w:tcW w:w="10368" w:type="dxa"/>
            <w:tcBorders>
              <w:top w:val="single" w:sz="10" w:space="0" w:color="0070C0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FF6FC"/>
          </w:tcPr>
          <w:p w:rsidR="002471FD" w:rsidRPr="00A46EA9" w:rsidRDefault="005410BD">
            <w:pPr>
              <w:spacing w:after="4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0B1F3A"/>
                <w:sz w:val="24"/>
                <w:szCs w:val="24"/>
              </w:rPr>
              <w:t>Design outcome</w:t>
            </w:r>
            <w:r w:rsidRPr="00A46EA9">
              <w:rPr>
                <w:rFonts w:ascii="Times New Roman" w:hAnsi="Times New Roman" w:cs="Times New Roman"/>
                <w:sz w:val="24"/>
                <w:szCs w:val="24"/>
              </w:rPr>
              <w:br/>
              <w:t>The design must make a specialist partner feel credible enough for large enterprise transformation while preserving agility, ownership and domain depth as advantages over larger consultancies.</w:t>
            </w:r>
          </w:p>
        </w:tc>
      </w:tr>
    </w:tbl>
    <w:p w:rsidR="00430700" w:rsidRPr="00A46EA9" w:rsidRDefault="00430700">
      <w:pPr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2. Brand and current-site context</w:t>
      </w:r>
    </w:p>
    <w:p w:rsidR="002471FD" w:rsidRPr="00A46EA9" w:rsidRDefault="005410BD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The current website already carries valuable assets: SAP-led service pages, RISE with SAP, SAP Concur, SAP SuccessFactors, SAP Analytics Cloud, Data Analytics &amp; AI, industries, partners, customer stories, news, career and contact pathways. The redesign should preserve search value and relevant content equity while reorganising the experience around the leadership deck's three-pillar model.</w:t>
      </w:r>
    </w:p>
    <w:p w:rsidR="002471FD" w:rsidRPr="00A46EA9" w:rsidRDefault="005410BD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The new experience must be visually sharper than the current site, with stronger hierarchy, less repetition, improved proof placement, clearer CTAs and a more enterprise-grade page structure.</w:t>
      </w:r>
    </w:p>
    <w:p w:rsidR="00430700" w:rsidRPr="00A46EA9" w:rsidRDefault="00430700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3. Design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2471FD" w:rsidRPr="00A46EA9">
        <w:trPr>
          <w:tblHeader/>
          <w:jc w:val="center"/>
        </w:trPr>
        <w:tc>
          <w:tcPr>
            <w:tcW w:w="2592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Principle</w:t>
            </w:r>
          </w:p>
        </w:tc>
        <w:tc>
          <w:tcPr>
            <w:tcW w:w="7488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Design execution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Editorial authority</w:t>
            </w:r>
          </w:p>
        </w:tc>
        <w:tc>
          <w:tcPr>
            <w:tcW w:w="748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Use strong headlines, generous spacing and structured proof bands so the site feels like a premium business publication rather than a generic IT template.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Proof over promises</w:t>
            </w:r>
          </w:p>
        </w:tc>
        <w:tc>
          <w:tcPr>
            <w:tcW w:w="748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Surface credentials, metrics, named clients, partner badges and delivery outcomes in the first two scrolls of priority pages.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SAP-led trust</w:t>
            </w:r>
          </w:p>
        </w:tc>
        <w:tc>
          <w:tcPr>
            <w:tcW w:w="748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Make SAP Gold Partner, RISE, PCE and SAP-native toolchain assets visible wherever SAP depth matters.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One brand, three pillars</w:t>
            </w:r>
          </w:p>
        </w:tc>
        <w:tc>
          <w:tcPr>
            <w:tcW w:w="748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Differentiate the pillars through subtle accents and patterns while keeping layout, typography and component logic consistent.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Conversion clarity</w:t>
            </w:r>
          </w:p>
        </w:tc>
        <w:tc>
          <w:tcPr>
            <w:tcW w:w="748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Every page must end with an appropriate next action and include high-intent CTAs where the buyer is most engaged.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Fast and restrained</w:t>
            </w:r>
          </w:p>
        </w:tc>
        <w:tc>
          <w:tcPr>
            <w:tcW w:w="748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Use purposeful motion and lightweight visuals. Avoid auto-rotating banners, cluttered stock imagery and heavy animation.</w:t>
            </w:r>
          </w:p>
        </w:tc>
      </w:tr>
    </w:tbl>
    <w:p w:rsidR="002471FD" w:rsidRPr="00A46EA9" w:rsidRDefault="002471FD">
      <w:pPr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4. Visual identity system</w:t>
      </w:r>
    </w:p>
    <w:p w:rsidR="002471FD" w:rsidRPr="00A46EA9" w:rsidRDefault="005410BD">
      <w:pPr>
        <w:pStyle w:val="Heading2"/>
        <w:spacing w:before="4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4.1 Colour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752"/>
        <w:gridCol w:w="3168"/>
      </w:tblGrid>
      <w:tr w:rsidR="002471FD" w:rsidRPr="00A46EA9">
        <w:trPr>
          <w:tblHeader/>
          <w:jc w:val="center"/>
        </w:trPr>
        <w:tc>
          <w:tcPr>
            <w:tcW w:w="2304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Colour role</w:t>
            </w:r>
          </w:p>
        </w:tc>
        <w:tc>
          <w:tcPr>
            <w:tcW w:w="4752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Use on website</w:t>
            </w:r>
          </w:p>
        </w:tc>
        <w:tc>
          <w:tcPr>
            <w:tcW w:w="3168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Execution rule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Deep navy</w:t>
            </w:r>
          </w:p>
        </w:tc>
        <w:tc>
          <w:tcPr>
            <w:tcW w:w="475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Primary brand colour, hero backgrounds, footer, major headings.</w:t>
            </w:r>
          </w:p>
        </w:tc>
        <w:tc>
          <w:tcPr>
            <w:tcW w:w="316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Dominant colour. Carries authority and enterprise weight.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White / off-white</w:t>
            </w:r>
          </w:p>
        </w:tc>
        <w:tc>
          <w:tcPr>
            <w:tcW w:w="475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Primary page backgrounds and content sections.</w:t>
            </w:r>
          </w:p>
        </w:tc>
        <w:tc>
          <w:tcPr>
            <w:tcW w:w="316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Creates premium calm and improves readability.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Accent blue</w:t>
            </w:r>
          </w:p>
        </w:tc>
        <w:tc>
          <w:tcPr>
            <w:tcW w:w="475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Links, key emphasized words, primary buttons, selected highlights.</w:t>
            </w:r>
          </w:p>
        </w:tc>
        <w:tc>
          <w:tcPr>
            <w:tcW w:w="316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Use sparingly to avoid generic corporate-blue overuse.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Light / pale blue</w:t>
            </w:r>
          </w:p>
        </w:tc>
        <w:tc>
          <w:tcPr>
            <w:tcW w:w="475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Card fills, callout backgrounds, soft diagrams and icon containers.</w:t>
            </w:r>
          </w:p>
        </w:tc>
        <w:tc>
          <w:tcPr>
            <w:tcW w:w="316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Use only as background, not body text.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Sand / muted gold</w:t>
            </w:r>
          </w:p>
        </w:tc>
        <w:tc>
          <w:tcPr>
            <w:tcW w:w="475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Subtle dividers, credentials accents, delivery excellence highlight.</w:t>
            </w:r>
          </w:p>
        </w:tc>
        <w:tc>
          <w:tcPr>
            <w:tcW w:w="316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Use rarely as a premium accent.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Muted grey</w:t>
            </w:r>
          </w:p>
        </w:tc>
        <w:tc>
          <w:tcPr>
            <w:tcW w:w="475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Secondary copy, captions and meta labels.</w:t>
            </w:r>
          </w:p>
        </w:tc>
        <w:tc>
          <w:tcPr>
            <w:tcW w:w="316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Maintain accessibility contrast.</w:t>
            </w:r>
          </w:p>
        </w:tc>
      </w:tr>
    </w:tbl>
    <w:p w:rsidR="002471FD" w:rsidRPr="00A46EA9" w:rsidRDefault="002471FD">
      <w:pPr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2"/>
        <w:spacing w:before="4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4.2 Typography</w:t>
      </w:r>
    </w:p>
    <w:p w:rsidR="002471FD" w:rsidRPr="00A46EA9" w:rsidRDefault="005410BD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The recommended live-site system pairs an editorial serif for major headlines with a modern sans-serif for body copy and interface elements. For business documents and implementation handoff, Calibri/Aptos-compatible fallbacks should be used to avoid rendering issues. The design signature is a disciplined headline with one emphasised word in accent blue, not overuse of colour.</w:t>
      </w:r>
    </w:p>
    <w:p w:rsidR="002471FD" w:rsidRPr="00A46EA9" w:rsidRDefault="005410BD">
      <w:pPr>
        <w:pStyle w:val="Heading2"/>
        <w:spacing w:before="4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4.3 Iconography and illustration</w:t>
      </w:r>
    </w:p>
    <w:p w:rsidR="002471FD" w:rsidRPr="00A46EA9" w:rsidRDefault="005410BD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Icons and diagrams must be line-based, minimal and enterprise-grade. They should explain systems, journeys, decision paths and delivery layers rather than decorate the page. Avoid generic stock technology images that weaken differentiation.</w:t>
      </w:r>
    </w:p>
    <w:p w:rsidR="00430700" w:rsidRPr="00A46EA9" w:rsidRDefault="00430700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5. Pillar differentiation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944"/>
        <w:gridCol w:w="2880"/>
        <w:gridCol w:w="2880"/>
      </w:tblGrid>
      <w:tr w:rsidR="002471FD" w:rsidRPr="00A46EA9">
        <w:trPr>
          <w:tblHeader/>
          <w:jc w:val="center"/>
        </w:trPr>
        <w:tc>
          <w:tcPr>
            <w:tcW w:w="2448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1944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Visual marker</w:t>
            </w:r>
          </w:p>
        </w:tc>
        <w:tc>
          <w:tcPr>
            <w:tcW w:w="2880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Pattern / motif</w:t>
            </w:r>
          </w:p>
        </w:tc>
        <w:tc>
          <w:tcPr>
            <w:tcW w:w="2880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Design role</w:t>
            </w:r>
          </w:p>
        </w:tc>
      </w:tr>
      <w:tr w:rsidR="002471FD" w:rsidRPr="00A46EA9">
        <w:trPr>
          <w:jc w:val="center"/>
        </w:trPr>
        <w:tc>
          <w:tcPr>
            <w:tcW w:w="244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A. Platform Services</w:t>
            </w:r>
          </w:p>
        </w:tc>
        <w:tc>
          <w:tcPr>
            <w:tcW w:w="194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Navy accent</w:t>
            </w:r>
          </w:p>
        </w:tc>
        <w:tc>
          <w:tcPr>
            <w:tcW w:w="288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Layered platform tiles</w:t>
            </w:r>
          </w:p>
        </w:tc>
        <w:tc>
          <w:tcPr>
            <w:tcW w:w="288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Stable, enterprise-core transformation.</w:t>
            </w:r>
          </w:p>
        </w:tc>
      </w:tr>
      <w:tr w:rsidR="002471FD" w:rsidRPr="00A46EA9">
        <w:trPr>
          <w:jc w:val="center"/>
        </w:trPr>
        <w:tc>
          <w:tcPr>
            <w:tcW w:w="244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B. Advisory Services</w:t>
            </w:r>
          </w:p>
        </w:tc>
        <w:tc>
          <w:tcPr>
            <w:tcW w:w="194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Accent blue</w:t>
            </w:r>
          </w:p>
        </w:tc>
        <w:tc>
          <w:tcPr>
            <w:tcW w:w="288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Compass / concentric arcs</w:t>
            </w:r>
          </w:p>
        </w:tc>
        <w:tc>
          <w:tcPr>
            <w:tcW w:w="288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Direction, decision-making and governance.</w:t>
            </w:r>
          </w:p>
        </w:tc>
      </w:tr>
      <w:tr w:rsidR="002471FD" w:rsidRPr="00A46EA9">
        <w:trPr>
          <w:jc w:val="center"/>
        </w:trPr>
        <w:tc>
          <w:tcPr>
            <w:tcW w:w="244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C. Digital, Data &amp; AI</w:t>
            </w:r>
          </w:p>
        </w:tc>
        <w:tc>
          <w:tcPr>
            <w:tcW w:w="194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Light blue accent</w:t>
            </w:r>
          </w:p>
        </w:tc>
        <w:tc>
          <w:tcPr>
            <w:tcW w:w="288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Connected data nodes</w:t>
            </w:r>
          </w:p>
        </w:tc>
        <w:tc>
          <w:tcPr>
            <w:tcW w:w="288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Modern engineering, intelligence and cloud.</w:t>
            </w:r>
          </w:p>
        </w:tc>
      </w:tr>
      <w:tr w:rsidR="002471FD" w:rsidRPr="00A46EA9">
        <w:trPr>
          <w:jc w:val="center"/>
        </w:trPr>
        <w:tc>
          <w:tcPr>
            <w:tcW w:w="244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D. Delivery Excellence</w:t>
            </w:r>
          </w:p>
        </w:tc>
        <w:tc>
          <w:tcPr>
            <w:tcW w:w="194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Sand accent</w:t>
            </w:r>
          </w:p>
        </w:tc>
        <w:tc>
          <w:tcPr>
            <w:tcW w:w="288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Horizontal lanes / factory tracks</w:t>
            </w:r>
          </w:p>
        </w:tc>
        <w:tc>
          <w:tcPr>
            <w:tcW w:w="288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Quality, throughput and repeatability.</w:t>
            </w:r>
          </w:p>
        </w:tc>
      </w:tr>
    </w:tbl>
    <w:p w:rsidR="002471FD" w:rsidRPr="00A46EA9" w:rsidRDefault="002471FD">
      <w:pPr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The site must never introduce unrelated colours for individual services. The system remains cohesive because only one accent line, badge and faint motif changes by pillar.</w:t>
      </w:r>
    </w:p>
    <w:p w:rsidR="00430700" w:rsidRPr="00A46EA9" w:rsidRDefault="00430700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6. Core layout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2471FD" w:rsidRPr="00A46EA9">
        <w:trPr>
          <w:tblHeader/>
          <w:jc w:val="center"/>
        </w:trPr>
        <w:tc>
          <w:tcPr>
            <w:tcW w:w="2448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Layout element</w:t>
            </w:r>
          </w:p>
        </w:tc>
        <w:tc>
          <w:tcPr>
            <w:tcW w:w="7632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Standard</w:t>
            </w:r>
          </w:p>
        </w:tc>
      </w:tr>
      <w:tr w:rsidR="002471FD" w:rsidRPr="00A46EA9">
        <w:trPr>
          <w:jc w:val="center"/>
        </w:trPr>
        <w:tc>
          <w:tcPr>
            <w:tcW w:w="244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Top bar</w:t>
            </w:r>
          </w:p>
        </w:tc>
        <w:tc>
          <w:tcPr>
            <w:tcW w:w="763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Sticky header with logo, main navigation, search, region selector, SAP Gold Partner badge and primary CTA.</w:t>
            </w:r>
          </w:p>
        </w:tc>
      </w:tr>
      <w:tr w:rsidR="002471FD" w:rsidRPr="00A46EA9">
        <w:trPr>
          <w:jc w:val="center"/>
        </w:trPr>
        <w:tc>
          <w:tcPr>
            <w:tcW w:w="244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Hero sections</w:t>
            </w:r>
          </w:p>
        </w:tc>
        <w:tc>
          <w:tcPr>
            <w:tcW w:w="763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Large editorial headline, concise proof-led subline, two CTAs and a supporting visual/diagram placed beside the text.</w:t>
            </w:r>
          </w:p>
        </w:tc>
      </w:tr>
      <w:tr w:rsidR="002471FD" w:rsidRPr="00A46EA9">
        <w:trPr>
          <w:jc w:val="center"/>
        </w:trPr>
        <w:tc>
          <w:tcPr>
            <w:tcW w:w="244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Proof bands</w:t>
            </w:r>
          </w:p>
        </w:tc>
        <w:tc>
          <w:tcPr>
            <w:tcW w:w="763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Metrics presented as high-contrast cards with labels and source-sensitive wording.</w:t>
            </w:r>
          </w:p>
        </w:tc>
      </w:tr>
      <w:tr w:rsidR="002471FD" w:rsidRPr="00A46EA9">
        <w:trPr>
          <w:jc w:val="center"/>
        </w:trPr>
        <w:tc>
          <w:tcPr>
            <w:tcW w:w="244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Pillar cards</w:t>
            </w:r>
          </w:p>
        </w:tc>
        <w:tc>
          <w:tcPr>
            <w:tcW w:w="763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Four-card system for Platform, Advisory, Digital/Data/AI and Delivery Excellence with consistent structure and accent edge.</w:t>
            </w:r>
          </w:p>
        </w:tc>
      </w:tr>
      <w:tr w:rsidR="002471FD" w:rsidRPr="00A46EA9">
        <w:trPr>
          <w:jc w:val="center"/>
        </w:trPr>
        <w:tc>
          <w:tcPr>
            <w:tcW w:w="244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Long-form pages</w:t>
            </w:r>
          </w:p>
        </w:tc>
        <w:tc>
          <w:tcPr>
            <w:tcW w:w="763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Sticky in-page jump menu, clear section anchors, proof modules and mid-page conversion blocks.</w:t>
            </w:r>
          </w:p>
        </w:tc>
      </w:tr>
      <w:tr w:rsidR="002471FD" w:rsidRPr="00A46EA9">
        <w:trPr>
          <w:jc w:val="center"/>
        </w:trPr>
        <w:tc>
          <w:tcPr>
            <w:tcW w:w="244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Footer</w:t>
            </w:r>
          </w:p>
        </w:tc>
        <w:tc>
          <w:tcPr>
            <w:tcW w:w="763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Navy footer with certifications, offices, key links, newsletter, social and compliance links.</w:t>
            </w:r>
          </w:p>
        </w:tc>
      </w:tr>
    </w:tbl>
    <w:p w:rsidR="002471FD" w:rsidRPr="00A46EA9" w:rsidRDefault="002471FD">
      <w:pPr>
        <w:rPr>
          <w:rFonts w:ascii="Times New Roman" w:hAnsi="Times New Roman" w:cs="Times New Roman"/>
          <w:sz w:val="24"/>
          <w:szCs w:val="24"/>
        </w:rPr>
      </w:pPr>
    </w:p>
    <w:p w:rsidR="00430700" w:rsidRPr="00A46EA9" w:rsidRDefault="00430700">
      <w:pPr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7. Component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880"/>
        <w:gridCol w:w="5040"/>
      </w:tblGrid>
      <w:tr w:rsidR="002471FD" w:rsidRPr="00A46EA9">
        <w:trPr>
          <w:tblHeader/>
          <w:jc w:val="center"/>
        </w:trPr>
        <w:tc>
          <w:tcPr>
            <w:tcW w:w="2304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2880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5040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Design requirement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Metric card</w:t>
            </w:r>
          </w:p>
        </w:tc>
        <w:tc>
          <w:tcPr>
            <w:tcW w:w="288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Rapid credibility proof</w:t>
            </w:r>
          </w:p>
        </w:tc>
        <w:tc>
          <w:tcPr>
            <w:tcW w:w="504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Large number, concise label, optional source note. No decorative noise.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Capability card</w:t>
            </w:r>
          </w:p>
        </w:tc>
        <w:tc>
          <w:tcPr>
            <w:tcW w:w="288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Service routing</w:t>
            </w:r>
          </w:p>
        </w:tc>
        <w:tc>
          <w:tcPr>
            <w:tcW w:w="504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Title, one-line value proposition, three capability bullets and clear link.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Case-study card</w:t>
            </w:r>
          </w:p>
        </w:tc>
        <w:tc>
          <w:tcPr>
            <w:tcW w:w="288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Evidence preview</w:t>
            </w:r>
          </w:p>
        </w:tc>
        <w:tc>
          <w:tcPr>
            <w:tcW w:w="504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Client/industry, transformation path, outcome, link to full story or NDA request.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Decision table</w:t>
            </w:r>
          </w:p>
        </w:tc>
        <w:tc>
          <w:tcPr>
            <w:tcW w:w="288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Comparison and route selection</w:t>
            </w:r>
          </w:p>
        </w:tc>
        <w:tc>
          <w:tcPr>
            <w:tcW w:w="504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High-contrast side-by-side layout for RISE vs GROW and migration choices.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Diagram block</w:t>
            </w:r>
          </w:p>
        </w:tc>
        <w:tc>
          <w:tcPr>
            <w:tcW w:w="288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Explain complex models</w:t>
            </w:r>
          </w:p>
        </w:tc>
        <w:tc>
          <w:tcPr>
            <w:tcW w:w="504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Layered visual for Converged Intelligence, delivery architecture and SAP toolchain.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CTA strip</w:t>
            </w:r>
          </w:p>
        </w:tc>
        <w:tc>
          <w:tcPr>
            <w:tcW w:w="288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Conversion</w:t>
            </w:r>
          </w:p>
        </w:tc>
        <w:tc>
          <w:tcPr>
            <w:tcW w:w="504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Short headline, one sentence, button and optional mini-form.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Partner tile</w:t>
            </w:r>
          </w:p>
        </w:tc>
        <w:tc>
          <w:tcPr>
            <w:tcW w:w="288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Ecosystem credibility</w:t>
            </w:r>
          </w:p>
        </w:tc>
        <w:tc>
          <w:tcPr>
            <w:tcW w:w="504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Logo, category and role; maintain partner logo clear-space rules.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Leadership profile</w:t>
            </w:r>
          </w:p>
        </w:tc>
        <w:tc>
          <w:tcPr>
            <w:tcW w:w="288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Human trust</w:t>
            </w:r>
          </w:p>
        </w:tc>
        <w:tc>
          <w:tcPr>
            <w:tcW w:w="504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Real headshot, name, role, concise outcome-led bio.</w:t>
            </w:r>
          </w:p>
        </w:tc>
      </w:tr>
    </w:tbl>
    <w:p w:rsidR="002471FD" w:rsidRPr="00A46EA9" w:rsidRDefault="002471FD">
      <w:pPr>
        <w:rPr>
          <w:rFonts w:ascii="Times New Roman" w:hAnsi="Times New Roman" w:cs="Times New Roman"/>
          <w:sz w:val="24"/>
          <w:szCs w:val="24"/>
        </w:rPr>
      </w:pPr>
    </w:p>
    <w:p w:rsidR="00430700" w:rsidRPr="00A46EA9" w:rsidRDefault="00430700">
      <w:pPr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8. Page experience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776"/>
      </w:tblGrid>
      <w:tr w:rsidR="002471FD" w:rsidRPr="00A46EA9">
        <w:trPr>
          <w:tblHeader/>
          <w:jc w:val="center"/>
        </w:trPr>
        <w:tc>
          <w:tcPr>
            <w:tcW w:w="2304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Page</w:t>
            </w:r>
          </w:p>
        </w:tc>
        <w:tc>
          <w:tcPr>
            <w:tcW w:w="7776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Design treatment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7776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Editorial hero with Converged Intelligence message, proof line, metrics band, pillar cards, case-study proof, partner/certification strips and final contact module.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Who We Are</w:t>
            </w:r>
          </w:p>
        </w:tc>
        <w:tc>
          <w:tcPr>
            <w:tcW w:w="7776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Structured corporate credibility page with metrics, footprint, three-pillar diagram, credentials and leadership profiles.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What We Do</w:t>
            </w:r>
          </w:p>
        </w:tc>
        <w:tc>
          <w:tcPr>
            <w:tcW w:w="7776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Gateway page with the three engagement tiers - Advisory, Build, Run - and four pillar cards.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Platform Services</w:t>
            </w:r>
          </w:p>
        </w:tc>
        <w:tc>
          <w:tcPr>
            <w:tcW w:w="7776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 xml:space="preserve">Platform-led transformation layout with lifecycle strip and cards for SAP, </w:t>
            </w:r>
            <w:r w:rsidRPr="00A46E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Salesforce and Workday.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Advisory Services</w:t>
            </w:r>
          </w:p>
        </w:tc>
        <w:tc>
          <w:tcPr>
            <w:tcW w:w="7776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Consulting-led layout with executive, strategy, architecture and governance modules.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Digital, Data &amp; AI</w:t>
            </w:r>
          </w:p>
        </w:tc>
        <w:tc>
          <w:tcPr>
            <w:tcW w:w="7776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Engineering-led layout with network motifs and service pathways for application engineering, AI, data and cloud.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Delivery Excellence</w:t>
            </w:r>
          </w:p>
        </w:tc>
        <w:tc>
          <w:tcPr>
            <w:tcW w:w="7776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Method and operations page with timeline visuals for FastForward, AMS transition and development factory.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Clients &amp; Case Studies</w:t>
            </w:r>
          </w:p>
        </w:tc>
        <w:tc>
          <w:tcPr>
            <w:tcW w:w="7776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Filterable grid, logo wall, proof cards and full-story page templates.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Partners &amp; Ecosystem</w:t>
            </w:r>
          </w:p>
        </w:tc>
        <w:tc>
          <w:tcPr>
            <w:tcW w:w="7776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Four partner categories with logos, role descriptions and certification proof.</w:t>
            </w:r>
          </w:p>
        </w:tc>
      </w:tr>
      <w:tr w:rsidR="002471FD" w:rsidRPr="00A46EA9">
        <w:trPr>
          <w:jc w:val="center"/>
        </w:trPr>
        <w:tc>
          <w:tcPr>
            <w:tcW w:w="230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7776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Conversion-first layout with short form, offices, region selector and direct contact details.</w:t>
            </w:r>
          </w:p>
        </w:tc>
      </w:tr>
    </w:tbl>
    <w:p w:rsidR="002471FD" w:rsidRPr="00A46EA9" w:rsidRDefault="002471FD">
      <w:pPr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9. SAP flagship page experience</w:t>
      </w:r>
    </w:p>
    <w:p w:rsidR="002471FD" w:rsidRPr="00A46EA9" w:rsidRDefault="005410BD">
      <w:pPr>
        <w:spacing w:after="100" w:line="259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The SAP Services page must be designed as the flagship experience. It should feel deep without becoming overwhelming.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2471FD" w:rsidRPr="00A46EA9">
        <w:trPr>
          <w:tblHeader/>
          <w:jc w:val="center"/>
        </w:trPr>
        <w:tc>
          <w:tcPr>
            <w:tcW w:w="2880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Experience requirement</w:t>
            </w:r>
          </w:p>
        </w:tc>
        <w:tc>
          <w:tcPr>
            <w:tcW w:w="7200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Implementation</w:t>
            </w:r>
          </w:p>
        </w:tc>
      </w:tr>
      <w:tr w:rsidR="002471FD" w:rsidRPr="00A46EA9">
        <w:trPr>
          <w:jc w:val="center"/>
        </w:trPr>
        <w:tc>
          <w:tcPr>
            <w:tcW w:w="288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Opening trust stack</w:t>
            </w:r>
          </w:p>
        </w:tc>
        <w:tc>
          <w:tcPr>
            <w:tcW w:w="720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Hero headline, SAP Gold Partner badge, 300+ consultants, 1,000+ combined years and 50+ SAP clients.</w:t>
            </w:r>
          </w:p>
        </w:tc>
      </w:tr>
      <w:tr w:rsidR="002471FD" w:rsidRPr="00A46EA9">
        <w:trPr>
          <w:jc w:val="center"/>
        </w:trPr>
        <w:tc>
          <w:tcPr>
            <w:tcW w:w="288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Sticky jump menu</w:t>
            </w:r>
          </w:p>
        </w:tc>
        <w:tc>
          <w:tcPr>
            <w:tcW w:w="720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Persistent section navigation for S/4HANA, RISE/GROW, migrations, HXM, Health Check, Concur, Ariba, Joule, Syniti, SAC and ABAP Factory.</w:t>
            </w:r>
          </w:p>
        </w:tc>
      </w:tr>
      <w:tr w:rsidR="002471FD" w:rsidRPr="00A46EA9">
        <w:trPr>
          <w:jc w:val="center"/>
        </w:trPr>
        <w:tc>
          <w:tcPr>
            <w:tcW w:w="288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Comparison modules</w:t>
            </w:r>
          </w:p>
        </w:tc>
        <w:tc>
          <w:tcPr>
            <w:tcW w:w="720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Decision tables for RISE vs GROW and migration approaches.</w:t>
            </w:r>
          </w:p>
        </w:tc>
      </w:tr>
      <w:tr w:rsidR="002471FD" w:rsidRPr="00A46EA9">
        <w:trPr>
          <w:jc w:val="center"/>
        </w:trPr>
        <w:tc>
          <w:tcPr>
            <w:tcW w:w="288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Offer modules</w:t>
            </w:r>
          </w:p>
        </w:tc>
        <w:tc>
          <w:tcPr>
            <w:tcW w:w="720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Dedicated, visually distinct modules for Health Check 360, Joule activation, Syniti data management and ABAP Factory.</w:t>
            </w:r>
          </w:p>
        </w:tc>
      </w:tr>
      <w:tr w:rsidR="002471FD" w:rsidRPr="00A46EA9">
        <w:trPr>
          <w:jc w:val="center"/>
        </w:trPr>
        <w:tc>
          <w:tcPr>
            <w:tcW w:w="288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Conversion points</w:t>
            </w:r>
          </w:p>
        </w:tc>
        <w:tc>
          <w:tcPr>
            <w:tcW w:w="720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Top CTA, mid-page SAP expert prompt, bottom three-field enquiry form.</w:t>
            </w:r>
          </w:p>
        </w:tc>
      </w:tr>
      <w:tr w:rsidR="002471FD" w:rsidRPr="00A46EA9">
        <w:trPr>
          <w:jc w:val="center"/>
        </w:trPr>
        <w:tc>
          <w:tcPr>
            <w:tcW w:w="288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Proof rhythm</w:t>
            </w:r>
          </w:p>
        </w:tc>
        <w:tc>
          <w:tcPr>
            <w:tcW w:w="720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A proof point or credential every two to three sections.</w:t>
            </w:r>
          </w:p>
        </w:tc>
      </w:tr>
    </w:tbl>
    <w:p w:rsidR="002471FD" w:rsidRPr="00A46EA9" w:rsidRDefault="002471FD">
      <w:pPr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10. Motion, imagery and interaction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2471FD" w:rsidRPr="00A46EA9">
        <w:trPr>
          <w:tblHeader/>
          <w:jc w:val="center"/>
        </w:trPr>
        <w:tc>
          <w:tcPr>
            <w:tcW w:w="2160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7920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Standard</w:t>
            </w:r>
          </w:p>
        </w:tc>
      </w:tr>
      <w:tr w:rsidR="002471FD" w:rsidRPr="00A46EA9">
        <w:trPr>
          <w:jc w:val="center"/>
        </w:trPr>
        <w:tc>
          <w:tcPr>
            <w:tcW w:w="216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</w:p>
        </w:tc>
        <w:tc>
          <w:tcPr>
            <w:tcW w:w="792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Subtle fade/slide on scroll, metric count-up, hover states on cards and diagrams. No distracting auto sliders.</w:t>
            </w:r>
          </w:p>
        </w:tc>
      </w:tr>
      <w:tr w:rsidR="002471FD" w:rsidRPr="00A46EA9">
        <w:trPr>
          <w:jc w:val="center"/>
        </w:trPr>
        <w:tc>
          <w:tcPr>
            <w:tcW w:w="216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Hero visual</w:t>
            </w:r>
          </w:p>
        </w:tc>
        <w:tc>
          <w:tcPr>
            <w:tcW w:w="792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Abstract connected-intelligence graphic or system-layer diagram, not generic stock photography.</w:t>
            </w:r>
          </w:p>
        </w:tc>
      </w:tr>
      <w:tr w:rsidR="002471FD" w:rsidRPr="00A46EA9">
        <w:trPr>
          <w:jc w:val="center"/>
        </w:trPr>
        <w:tc>
          <w:tcPr>
            <w:tcW w:w="216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Photography</w:t>
            </w:r>
          </w:p>
        </w:tc>
        <w:tc>
          <w:tcPr>
            <w:tcW w:w="792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Use real leadership, office, delivery team and event imagery where quality is high. Avoid low-resolution or overused stock images.</w:t>
            </w:r>
          </w:p>
        </w:tc>
      </w:tr>
      <w:tr w:rsidR="002471FD" w:rsidRPr="00A46EA9">
        <w:trPr>
          <w:jc w:val="center"/>
        </w:trPr>
        <w:tc>
          <w:tcPr>
            <w:tcW w:w="216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Case-study imagery</w:t>
            </w:r>
          </w:p>
        </w:tc>
        <w:tc>
          <w:tcPr>
            <w:tcW w:w="7920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Use client-approved logos, industry visuals or abstract operational motifs if logo permissions are not available.</w:t>
            </w:r>
          </w:p>
        </w:tc>
      </w:tr>
      <w:tr w:rsidR="002471FD" w:rsidRPr="00A46EA9">
        <w:trPr>
          <w:jc w:val="center"/>
        </w:trPr>
        <w:tc>
          <w:tcPr>
            <w:tcW w:w="216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Interactive diagrams</w:t>
            </w:r>
          </w:p>
        </w:tc>
        <w:tc>
          <w:tcPr>
            <w:tcW w:w="7920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Hover/click states must reveal concise explanatory text, not long paragraphs.</w:t>
            </w:r>
          </w:p>
        </w:tc>
      </w:tr>
    </w:tbl>
    <w:p w:rsidR="002471FD" w:rsidRPr="00A46EA9" w:rsidRDefault="002471FD">
      <w:pPr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11. Responsive, accessibility and performance standards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2471FD" w:rsidRPr="00A46EA9">
        <w:trPr>
          <w:tblHeader/>
          <w:jc w:val="center"/>
        </w:trPr>
        <w:tc>
          <w:tcPr>
            <w:tcW w:w="2592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Standard</w:t>
            </w:r>
          </w:p>
        </w:tc>
        <w:tc>
          <w:tcPr>
            <w:tcW w:w="7488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Acceptance criterion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Mobile-first conversion</w:t>
            </w:r>
          </w:p>
        </w:tc>
        <w:tc>
          <w:tcPr>
            <w:tcW w:w="748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Primary CTA becomes a fixed bottom action on mobile; forms remain short and readable.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748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Body text minimum 16px on web, clear line height, no low-contrast blue text on white.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Keyboard access</w:t>
            </w:r>
          </w:p>
        </w:tc>
        <w:tc>
          <w:tcPr>
            <w:tcW w:w="748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All menus, filters, forms, accordions and interactive diagrams must work by keyboard.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748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Meet WCAG 2.1 AA-aligned contrast, alt text, heading hierarchy, focus states and form labels.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7488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Optimised images, lazy loading, limited scripts and fast first load on mobile networks.</w:t>
            </w:r>
          </w:p>
        </w:tc>
      </w:tr>
      <w:tr w:rsidR="002471FD" w:rsidRPr="00A46EA9">
        <w:trPr>
          <w:jc w:val="center"/>
        </w:trPr>
        <w:tc>
          <w:tcPr>
            <w:tcW w:w="2592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SEO-safe migration</w:t>
            </w:r>
          </w:p>
        </w:tc>
        <w:tc>
          <w:tcPr>
            <w:tcW w:w="7488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Design must support redirects, schema, meaningful headings and indexable content.</w:t>
            </w:r>
          </w:p>
        </w:tc>
      </w:tr>
    </w:tbl>
    <w:p w:rsidR="002471FD" w:rsidRPr="00A46EA9" w:rsidRDefault="002471FD">
      <w:pPr>
        <w:rPr>
          <w:rFonts w:ascii="Times New Roman" w:hAnsi="Times New Roman" w:cs="Times New Roman"/>
          <w:sz w:val="24"/>
          <w:szCs w:val="24"/>
        </w:rPr>
      </w:pPr>
    </w:p>
    <w:p w:rsidR="00430700" w:rsidRPr="00A46EA9" w:rsidRDefault="00430700">
      <w:pPr>
        <w:rPr>
          <w:rFonts w:ascii="Times New Roman" w:hAnsi="Times New Roman" w:cs="Times New Roman"/>
          <w:sz w:val="24"/>
          <w:szCs w:val="24"/>
        </w:rPr>
      </w:pPr>
    </w:p>
    <w:p w:rsidR="002471FD" w:rsidRPr="00A46EA9" w:rsidRDefault="005410BD">
      <w:pPr>
        <w:pStyle w:val="Heading1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A46EA9">
        <w:rPr>
          <w:rFonts w:ascii="Times New Roman" w:hAnsi="Times New Roman" w:cs="Times New Roman"/>
          <w:sz w:val="24"/>
          <w:szCs w:val="24"/>
        </w:rPr>
        <w:t>12. Design handoff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7344"/>
      </w:tblGrid>
      <w:tr w:rsidR="002471FD" w:rsidRPr="00A46EA9">
        <w:trPr>
          <w:tblHeader/>
          <w:jc w:val="center"/>
        </w:trPr>
        <w:tc>
          <w:tcPr>
            <w:tcW w:w="2736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Asset / decision</w:t>
            </w:r>
          </w:p>
        </w:tc>
        <w:tc>
          <w:tcPr>
            <w:tcW w:w="7344" w:type="dxa"/>
            <w:shd w:val="clear" w:color="auto" w:fill="0B1F3A"/>
            <w:vAlign w:val="center"/>
          </w:tcPr>
          <w:p w:rsidR="002471FD" w:rsidRPr="00A46EA9" w:rsidRDefault="00541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Required before build</w:t>
            </w:r>
          </w:p>
        </w:tc>
      </w:tr>
      <w:tr w:rsidR="002471FD" w:rsidRPr="00A46EA9">
        <w:trPr>
          <w:jc w:val="center"/>
        </w:trPr>
        <w:tc>
          <w:tcPr>
            <w:tcW w:w="2736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Logo and badges</w:t>
            </w:r>
          </w:p>
        </w:tc>
        <w:tc>
          <w:tcPr>
            <w:tcW w:w="734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Final approved logo, SAP/certification badges and partner logo usage permissions.</w:t>
            </w:r>
          </w:p>
        </w:tc>
      </w:tr>
      <w:tr w:rsidR="002471FD" w:rsidRPr="00A46EA9">
        <w:trPr>
          <w:jc w:val="center"/>
        </w:trPr>
        <w:tc>
          <w:tcPr>
            <w:tcW w:w="2736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Colour and typography</w:t>
            </w:r>
          </w:p>
        </w:tc>
        <w:tc>
          <w:tcPr>
            <w:tcW w:w="734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Final design token set and fallback fonts.</w:t>
            </w:r>
          </w:p>
        </w:tc>
      </w:tr>
      <w:tr w:rsidR="002471FD" w:rsidRPr="00A46EA9">
        <w:trPr>
          <w:jc w:val="center"/>
        </w:trPr>
        <w:tc>
          <w:tcPr>
            <w:tcW w:w="2736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Component library</w:t>
            </w:r>
          </w:p>
        </w:tc>
        <w:tc>
          <w:tcPr>
            <w:tcW w:w="734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Hero, metric card, pillar card, case-study card, comparison table, CTA strip, form, footer.</w:t>
            </w:r>
          </w:p>
        </w:tc>
      </w:tr>
      <w:tr w:rsidR="002471FD" w:rsidRPr="00A46EA9">
        <w:trPr>
          <w:jc w:val="center"/>
        </w:trPr>
        <w:tc>
          <w:tcPr>
            <w:tcW w:w="2736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Page templates</w:t>
            </w:r>
          </w:p>
        </w:tc>
        <w:tc>
          <w:tcPr>
            <w:tcW w:w="734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Home, pillar page, SAP deep page, case-study page, industry page, partner page, contact page.</w:t>
            </w:r>
          </w:p>
        </w:tc>
      </w:tr>
      <w:tr w:rsidR="002471FD" w:rsidRPr="00A46EA9">
        <w:trPr>
          <w:jc w:val="center"/>
        </w:trPr>
        <w:tc>
          <w:tcPr>
            <w:tcW w:w="2736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Imagery</w:t>
            </w:r>
          </w:p>
        </w:tc>
        <w:tc>
          <w:tcPr>
            <w:tcW w:w="734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Leadership photos, office/team photos, client logos, partner logos and abstract illustration style.</w:t>
            </w:r>
          </w:p>
        </w:tc>
      </w:tr>
      <w:tr w:rsidR="002471FD" w:rsidRPr="00A46EA9">
        <w:trPr>
          <w:jc w:val="center"/>
        </w:trPr>
        <w:tc>
          <w:tcPr>
            <w:tcW w:w="2736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Prototype review</w:t>
            </w:r>
          </w:p>
        </w:tc>
        <w:tc>
          <w:tcPr>
            <w:tcW w:w="7344" w:type="dxa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Desktop and mobile prototypes approved by leadership, marketing and implementation teams.</w:t>
            </w:r>
          </w:p>
        </w:tc>
      </w:tr>
      <w:tr w:rsidR="002471FD" w:rsidRPr="00A46EA9">
        <w:trPr>
          <w:jc w:val="center"/>
        </w:trPr>
        <w:tc>
          <w:tcPr>
            <w:tcW w:w="2736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Accessibility review</w:t>
            </w:r>
          </w:p>
        </w:tc>
        <w:tc>
          <w:tcPr>
            <w:tcW w:w="7344" w:type="dxa"/>
            <w:shd w:val="clear" w:color="auto" w:fill="F8FAFC"/>
          </w:tcPr>
          <w:p w:rsidR="002471FD" w:rsidRPr="00A46EA9" w:rsidRDefault="005410B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6EA9">
              <w:rPr>
                <w:rFonts w:ascii="Times New Roman" w:hAnsi="Times New Roman" w:cs="Times New Roman"/>
                <w:sz w:val="24"/>
                <w:szCs w:val="24"/>
              </w:rPr>
              <w:t>Contrast, focus states and responsive behaviour checked before development handoff.</w:t>
            </w:r>
          </w:p>
        </w:tc>
      </w:tr>
    </w:tbl>
    <w:p w:rsidR="002471FD" w:rsidRPr="00A46EA9" w:rsidRDefault="002471FD">
      <w:pPr>
        <w:rPr>
          <w:rFonts w:ascii="Times New Roman" w:hAnsi="Times New Roman" w:cs="Times New Roman"/>
          <w:sz w:val="24"/>
          <w:szCs w:val="24"/>
        </w:rPr>
      </w:pPr>
    </w:p>
    <w:sectPr w:rsidR="002471FD" w:rsidRPr="00A46EA9" w:rsidSect="00034616">
      <w:headerReference w:type="default" r:id="rId8"/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556A" w:rsidRDefault="0061556A">
      <w:pPr>
        <w:spacing w:after="0" w:line="240" w:lineRule="auto"/>
      </w:pPr>
      <w:r>
        <w:separator/>
      </w:r>
    </w:p>
  </w:endnote>
  <w:endnote w:type="continuationSeparator" w:id="0">
    <w:p w:rsidR="0061556A" w:rsidRDefault="00615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401005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A46EA9" w:rsidRDefault="00A46EA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471FD" w:rsidRDefault="002471F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556A" w:rsidRDefault="0061556A">
      <w:pPr>
        <w:spacing w:after="0" w:line="240" w:lineRule="auto"/>
      </w:pPr>
      <w:r>
        <w:separator/>
      </w:r>
    </w:p>
  </w:footnote>
  <w:footnote w:type="continuationSeparator" w:id="0">
    <w:p w:rsidR="0061556A" w:rsidRDefault="00615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71FD" w:rsidRDefault="00430700">
    <w:pPr>
      <w:pStyle w:val="Header"/>
      <w:jc w:val="right"/>
    </w:pPr>
    <w:r>
      <w:rPr>
        <w:b/>
        <w:noProof/>
        <w:color w:val="0B1F3A"/>
        <w:sz w:val="16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-594360</wp:posOffset>
          </wp:positionH>
          <wp:positionV relativeFrom="paragraph">
            <wp:posOffset>-457200</wp:posOffset>
          </wp:positionV>
          <wp:extent cx="1702435" cy="771525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2435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10BD">
      <w:rPr>
        <w:b/>
        <w:color w:val="0B1F3A"/>
        <w:sz w:val="16"/>
      </w:rPr>
      <w:t>In2IT EBS Website Relaunch 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1FD"/>
    <w:rsid w:val="0029639D"/>
    <w:rsid w:val="00326F90"/>
    <w:rsid w:val="00430700"/>
    <w:rsid w:val="005410BD"/>
    <w:rsid w:val="0061556A"/>
    <w:rsid w:val="007B6E63"/>
    <w:rsid w:val="00A46E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F156E3"/>
  <w14:defaultImageDpi w14:val="300"/>
  <w15:docId w15:val="{8A1B7F44-928F-4874-96CB-9BDE8BDA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0C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F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7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593E62-4674-4EAD-9C28-F93011072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1643</Words>
  <Characters>9368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In2IT-EBS-Design-Plan-Refined-Professional</vt:lpstr>
    </vt:vector>
  </TitlesOfParts>
  <Manager/>
  <Company/>
  <LinksUpToDate>false</LinksUpToDate>
  <CharactersWithSpaces>10990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In2IT-EBS-Design-Plan-Refined-Professional</dc:title>
  <dc:subject>Professional website relaunch plan</dc:subject>
  <dc:creator>In2IT EBS</dc:creator>
  <cp:keywords/>
  <dc:description>generated by python-docx</dc:description>
  <cp:lastModifiedBy>Pralay Mishra</cp:lastModifiedBy>
  <cp:revision>5</cp:revision>
  <dcterms:created xsi:type="dcterms:W3CDTF">2013-12-23T23:15:00Z</dcterms:created>
  <dcterms:modified xsi:type="dcterms:W3CDTF">2026-06-04T11:28:00Z</dcterms:modified>
  <cp:category/>
</cp:coreProperties>
</file>