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54FE" w:rsidRPr="0010595F" w:rsidRDefault="007E4152" w:rsidP="0010595F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  <w:r w:rsidRPr="0010595F">
        <w:rPr>
          <w:rFonts w:ascii="Times New Roman" w:hAnsi="Times New Roman" w:cs="Times New Roman"/>
          <w:b/>
          <w:color w:val="0B1F3A"/>
          <w:sz w:val="28"/>
          <w:szCs w:val="24"/>
        </w:rPr>
        <w:t>Website Features, Conversion &amp; Implementation Plan</w:t>
      </w:r>
    </w:p>
    <w:p w:rsidR="006B54FE" w:rsidRPr="0010595F" w:rsidRDefault="007E4152">
      <w:pPr>
        <w:spacing w:after="360" w:line="252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color w:val="5B677A"/>
          <w:sz w:val="24"/>
          <w:szCs w:val="24"/>
        </w:rPr>
        <w:t>A prioritised build plan for the features that turn the In2IT EBS website into an enterprise lead-generation and credibility platform.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B54FE" w:rsidRPr="0010595F">
        <w:tc>
          <w:tcPr>
            <w:tcW w:w="10368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SAP Gold Partner | RISE with SAP | PCE Partner | CMMI | ISO 9001 | ISO 27001</w:t>
            </w:r>
          </w:p>
        </w:tc>
      </w:tr>
    </w:tbl>
    <w:p w:rsidR="006B54FE" w:rsidRPr="0010595F" w:rsidRDefault="006B54FE">
      <w:pPr>
        <w:spacing w:after="240" w:line="252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912"/>
      </w:tblGrid>
      <w:tr w:rsidR="006B54FE" w:rsidRPr="0010595F">
        <w:tc>
          <w:tcPr>
            <w:tcW w:w="2592" w:type="dxa"/>
            <w:shd w:val="clear" w:color="auto" w:fill="EFF6FC"/>
            <w:vAlign w:val="center"/>
          </w:tcPr>
          <w:p w:rsidR="006B54FE" w:rsidRPr="0010595F" w:rsidRDefault="007E4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0B1F3A"/>
                <w:sz w:val="24"/>
                <w:szCs w:val="24"/>
              </w:rPr>
              <w:t>Document status</w:t>
            </w:r>
          </w:p>
        </w:tc>
        <w:tc>
          <w:tcPr>
            <w:tcW w:w="6912" w:type="dxa"/>
            <w:vAlign w:val="center"/>
          </w:tcPr>
          <w:p w:rsidR="006B54FE" w:rsidRPr="0010595F" w:rsidRDefault="007E4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Refined professional business-plan version</w:t>
            </w:r>
          </w:p>
        </w:tc>
      </w:tr>
      <w:tr w:rsidR="006B54FE" w:rsidRPr="0010595F">
        <w:tc>
          <w:tcPr>
            <w:tcW w:w="2592" w:type="dxa"/>
            <w:shd w:val="clear" w:color="auto" w:fill="EFF6FC"/>
            <w:vAlign w:val="center"/>
          </w:tcPr>
          <w:p w:rsidR="006B54FE" w:rsidRPr="0010595F" w:rsidRDefault="007E4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0B1F3A"/>
                <w:sz w:val="24"/>
                <w:szCs w:val="24"/>
              </w:rPr>
              <w:t>Source of truth</w:t>
            </w:r>
          </w:p>
        </w:tc>
        <w:tc>
          <w:tcPr>
            <w:tcW w:w="6912" w:type="dxa"/>
            <w:vAlign w:val="center"/>
          </w:tcPr>
          <w:p w:rsidR="006B54FE" w:rsidRPr="0010595F" w:rsidRDefault="007E4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In2IT EBS Corporate Capability deck, May 2026</w:t>
            </w:r>
          </w:p>
        </w:tc>
      </w:tr>
      <w:tr w:rsidR="006B54FE" w:rsidRPr="0010595F">
        <w:tc>
          <w:tcPr>
            <w:tcW w:w="2592" w:type="dxa"/>
            <w:shd w:val="clear" w:color="auto" w:fill="EFF6FC"/>
            <w:vAlign w:val="center"/>
          </w:tcPr>
          <w:p w:rsidR="006B54FE" w:rsidRPr="0010595F" w:rsidRDefault="007E4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0B1F3A"/>
                <w:sz w:val="24"/>
                <w:szCs w:val="24"/>
              </w:rPr>
              <w:t>Website context</w:t>
            </w:r>
          </w:p>
        </w:tc>
        <w:tc>
          <w:tcPr>
            <w:tcW w:w="6912" w:type="dxa"/>
            <w:vAlign w:val="center"/>
          </w:tcPr>
          <w:p w:rsidR="006B54FE" w:rsidRPr="0010595F" w:rsidRDefault="007E4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Relaunch of www.in2itebs.com for an SAP Gold Partner</w:t>
            </w:r>
          </w:p>
        </w:tc>
      </w:tr>
      <w:tr w:rsidR="006B54FE" w:rsidRPr="0010595F">
        <w:tc>
          <w:tcPr>
            <w:tcW w:w="2592" w:type="dxa"/>
            <w:shd w:val="clear" w:color="auto" w:fill="EFF6FC"/>
            <w:vAlign w:val="center"/>
          </w:tcPr>
          <w:p w:rsidR="006B54FE" w:rsidRPr="0010595F" w:rsidRDefault="007E4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0B1F3A"/>
                <w:sz w:val="24"/>
                <w:szCs w:val="24"/>
              </w:rPr>
              <w:t>Prepared for</w:t>
            </w:r>
          </w:p>
        </w:tc>
        <w:tc>
          <w:tcPr>
            <w:tcW w:w="6912" w:type="dxa"/>
            <w:vAlign w:val="center"/>
          </w:tcPr>
          <w:p w:rsidR="006B54FE" w:rsidRPr="0010595F" w:rsidRDefault="007E4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Leadership, marketing, sales, website design and build teams</w:t>
            </w:r>
          </w:p>
        </w:tc>
      </w:tr>
      <w:tr w:rsidR="006B54FE" w:rsidRPr="0010595F">
        <w:tc>
          <w:tcPr>
            <w:tcW w:w="2592" w:type="dxa"/>
            <w:shd w:val="clear" w:color="auto" w:fill="EFF6FC"/>
            <w:vAlign w:val="center"/>
          </w:tcPr>
          <w:p w:rsidR="006B54FE" w:rsidRPr="0010595F" w:rsidRDefault="007E4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0B1F3A"/>
                <w:sz w:val="24"/>
                <w:szCs w:val="24"/>
              </w:rPr>
              <w:t>Version</w:t>
            </w:r>
          </w:p>
        </w:tc>
        <w:tc>
          <w:tcPr>
            <w:tcW w:w="6912" w:type="dxa"/>
            <w:vAlign w:val="center"/>
          </w:tcPr>
          <w:p w:rsidR="006B54FE" w:rsidRPr="0010595F" w:rsidRDefault="007E4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v2.0 - Professional Plan</w:t>
            </w:r>
          </w:p>
        </w:tc>
      </w:tr>
    </w:tbl>
    <w:p w:rsidR="006B54FE" w:rsidRPr="0010595F" w:rsidRDefault="007E4152">
      <w:pPr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br w:type="page"/>
      </w: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8"/>
          <w:szCs w:val="24"/>
        </w:rPr>
      </w:pPr>
      <w:r w:rsidRPr="0010595F">
        <w:rPr>
          <w:rFonts w:ascii="Times New Roman" w:hAnsi="Times New Roman" w:cs="Times New Roman"/>
          <w:sz w:val="28"/>
          <w:szCs w:val="24"/>
        </w:rPr>
        <w:lastRenderedPageBreak/>
        <w:t>Contents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9360"/>
      </w:tblGrid>
      <w:tr w:rsidR="0010595F" w:rsidRPr="0010595F">
        <w:trPr>
          <w:tblHeader/>
          <w:jc w:val="center"/>
        </w:trPr>
        <w:tc>
          <w:tcPr>
            <w:tcW w:w="72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936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</w:tr>
      <w:tr w:rsidR="0010595F" w:rsidRPr="0010595F">
        <w:trPr>
          <w:jc w:val="center"/>
        </w:trPr>
        <w:tc>
          <w:tcPr>
            <w:tcW w:w="72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6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Executive feature mandate</w:t>
            </w:r>
          </w:p>
        </w:tc>
      </w:tr>
      <w:tr w:rsidR="006B54FE" w:rsidRPr="0010595F">
        <w:trPr>
          <w:jc w:val="center"/>
        </w:trPr>
        <w:tc>
          <w:tcPr>
            <w:tcW w:w="72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6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Feature prioritisation framework</w:t>
            </w:r>
          </w:p>
        </w:tc>
      </w:tr>
      <w:tr w:rsidR="0010595F" w:rsidRPr="0010595F">
        <w:trPr>
          <w:jc w:val="center"/>
        </w:trPr>
        <w:tc>
          <w:tcPr>
            <w:tcW w:w="72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6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Launch decision register</w:t>
            </w:r>
          </w:p>
        </w:tc>
      </w:tr>
      <w:tr w:rsidR="006B54FE" w:rsidRPr="0010595F">
        <w:trPr>
          <w:jc w:val="center"/>
        </w:trPr>
        <w:tc>
          <w:tcPr>
            <w:tcW w:w="72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6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Phase roadmap</w:t>
            </w:r>
          </w:p>
        </w:tc>
      </w:tr>
      <w:tr w:rsidR="0010595F" w:rsidRPr="0010595F">
        <w:trPr>
          <w:jc w:val="center"/>
        </w:trPr>
        <w:tc>
          <w:tcPr>
            <w:tcW w:w="72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6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Navigation and findability features</w:t>
            </w:r>
          </w:p>
        </w:tc>
      </w:tr>
      <w:tr w:rsidR="006B54FE" w:rsidRPr="0010595F">
        <w:trPr>
          <w:jc w:val="center"/>
        </w:trPr>
        <w:tc>
          <w:tcPr>
            <w:tcW w:w="72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6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Lead capture and conversion features</w:t>
            </w:r>
          </w:p>
        </w:tc>
      </w:tr>
      <w:tr w:rsidR="0010595F" w:rsidRPr="0010595F">
        <w:trPr>
          <w:jc w:val="center"/>
        </w:trPr>
        <w:tc>
          <w:tcPr>
            <w:tcW w:w="72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6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Signature interactive tools</w:t>
            </w:r>
          </w:p>
        </w:tc>
      </w:tr>
      <w:tr w:rsidR="006B54FE" w:rsidRPr="0010595F">
        <w:trPr>
          <w:jc w:val="center"/>
        </w:trPr>
        <w:tc>
          <w:tcPr>
            <w:tcW w:w="72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6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Proof, case-study and partner features</w:t>
            </w:r>
          </w:p>
        </w:tc>
      </w:tr>
      <w:tr w:rsidR="0010595F" w:rsidRPr="0010595F">
        <w:trPr>
          <w:jc w:val="center"/>
        </w:trPr>
        <w:tc>
          <w:tcPr>
            <w:tcW w:w="72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6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Content, insights and careers features</w:t>
            </w:r>
          </w:p>
        </w:tc>
      </w:tr>
      <w:tr w:rsidR="006B54FE" w:rsidRPr="0010595F">
        <w:trPr>
          <w:jc w:val="center"/>
        </w:trPr>
        <w:tc>
          <w:tcPr>
            <w:tcW w:w="72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6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Analytics, SEO and compliance features</w:t>
            </w:r>
          </w:p>
        </w:tc>
      </w:tr>
      <w:tr w:rsidR="0010595F" w:rsidRPr="0010595F">
        <w:trPr>
          <w:jc w:val="center"/>
        </w:trPr>
        <w:tc>
          <w:tcPr>
            <w:tcW w:w="72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36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Technical implementation standards</w:t>
            </w:r>
          </w:p>
        </w:tc>
      </w:tr>
      <w:tr w:rsidR="006B54FE" w:rsidRPr="0010595F">
        <w:trPr>
          <w:jc w:val="center"/>
        </w:trPr>
        <w:tc>
          <w:tcPr>
            <w:tcW w:w="72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6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Acceptance checklist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p w:rsidR="006B54FE" w:rsidRPr="0010595F" w:rsidRDefault="007E4152">
      <w:pPr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br w:type="page"/>
      </w: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lastRenderedPageBreak/>
        <w:t xml:space="preserve">1. Executive </w:t>
      </w:r>
      <w:r w:rsidR="00761D23" w:rsidRPr="0010595F">
        <w:rPr>
          <w:rFonts w:ascii="Times New Roman" w:hAnsi="Times New Roman" w:cs="Times New Roman"/>
          <w:sz w:val="24"/>
          <w:szCs w:val="24"/>
        </w:rPr>
        <w:t>summary</w:t>
      </w:r>
    </w:p>
    <w:p w:rsidR="006B54FE" w:rsidRPr="0010595F" w:rsidRDefault="007E4152">
      <w:pPr>
        <w:spacing w:after="100" w:line="259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t>The website feature set must serve three business goals: establish enterprise credibility, make complex SAP-led capability easy to navigate, and convert high-intent visitors into qualified conversations. Every feature must support one of those goals. Decorative or low-value functionality should be excluded from launch.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B54FE" w:rsidRPr="0010595F">
        <w:trPr>
          <w:jc w:val="center"/>
        </w:trPr>
        <w:tc>
          <w:tcPr>
            <w:tcW w:w="10368" w:type="dxa"/>
            <w:tcBorders>
              <w:top w:val="single" w:sz="10" w:space="0" w:color="0070C0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FF6FC"/>
          </w:tcPr>
          <w:p w:rsidR="006B54FE" w:rsidRPr="0010595F" w:rsidRDefault="007E4152">
            <w:pPr>
              <w:spacing w:after="4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0B1F3A"/>
                <w:sz w:val="24"/>
                <w:szCs w:val="24"/>
              </w:rPr>
              <w:t>Feature strategy</w:t>
            </w:r>
            <w:r w:rsidRPr="0010595F">
              <w:rPr>
                <w:rFonts w:ascii="Times New Roman" w:hAnsi="Times New Roman" w:cs="Times New Roman"/>
                <w:sz w:val="24"/>
                <w:szCs w:val="24"/>
              </w:rPr>
              <w:br/>
              <w:t>Launch with a focused set of conversion and proof features. Build interactive flagship tools only where they sharpen buying decisions and produce qualified leads.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t>2. Feature prioritisation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608"/>
        <w:gridCol w:w="3456"/>
      </w:tblGrid>
      <w:tr w:rsidR="006B54FE" w:rsidRPr="0010595F">
        <w:trPr>
          <w:tblHeader/>
          <w:jc w:val="center"/>
        </w:trPr>
        <w:tc>
          <w:tcPr>
            <w:tcW w:w="2016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4608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Definition</w:t>
            </w:r>
          </w:p>
        </w:tc>
        <w:tc>
          <w:tcPr>
            <w:tcW w:w="3456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Decision rule</w:t>
            </w:r>
          </w:p>
        </w:tc>
      </w:tr>
      <w:tr w:rsidR="006B54FE" w:rsidRPr="0010595F">
        <w:trPr>
          <w:jc w:val="center"/>
        </w:trPr>
        <w:tc>
          <w:tcPr>
            <w:tcW w:w="2016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460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Required for credibility, conversion, compliance, site migration or core navigation.</w:t>
            </w:r>
          </w:p>
        </w:tc>
        <w:tc>
          <w:tcPr>
            <w:tcW w:w="3456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Included in launch scope.</w:t>
            </w:r>
          </w:p>
        </w:tc>
      </w:tr>
      <w:tr w:rsidR="006B54FE" w:rsidRPr="0010595F">
        <w:trPr>
          <w:jc w:val="center"/>
        </w:trPr>
        <w:tc>
          <w:tcPr>
            <w:tcW w:w="2016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460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Strong business value and feasible near launch, but not blocking the first release.</w:t>
            </w:r>
          </w:p>
        </w:tc>
        <w:tc>
          <w:tcPr>
            <w:tcW w:w="3456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Include in launch if capacity allows; otherwise Phase 2.</w:t>
            </w:r>
          </w:p>
        </w:tc>
      </w:tr>
      <w:tr w:rsidR="006B54FE" w:rsidRPr="0010595F">
        <w:trPr>
          <w:jc w:val="center"/>
        </w:trPr>
        <w:tc>
          <w:tcPr>
            <w:tcW w:w="2016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Nice-to-have</w:t>
            </w:r>
          </w:p>
        </w:tc>
        <w:tc>
          <w:tcPr>
            <w:tcW w:w="460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Useful enhancement after the site is live and measured.</w:t>
            </w:r>
          </w:p>
        </w:tc>
        <w:tc>
          <w:tcPr>
            <w:tcW w:w="3456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Defer until traffic, content operations and ownership are stable.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064"/>
      </w:tblGrid>
      <w:tr w:rsidR="006B54FE" w:rsidRPr="0010595F">
        <w:trPr>
          <w:tblHeader/>
          <w:jc w:val="center"/>
        </w:trPr>
        <w:tc>
          <w:tcPr>
            <w:tcW w:w="2016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Effort</w:t>
            </w:r>
          </w:p>
        </w:tc>
        <w:tc>
          <w:tcPr>
            <w:tcW w:w="8064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Definition</w:t>
            </w:r>
          </w:p>
        </w:tc>
      </w:tr>
      <w:tr w:rsidR="006B54FE" w:rsidRPr="0010595F">
        <w:trPr>
          <w:jc w:val="center"/>
        </w:trPr>
        <w:tc>
          <w:tcPr>
            <w:tcW w:w="2016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80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Low complexity; mostly configuration, content, page layout or basic front-end behaviour.</w:t>
            </w:r>
          </w:p>
        </w:tc>
      </w:tr>
      <w:tr w:rsidR="006B54FE" w:rsidRPr="0010595F">
        <w:trPr>
          <w:jc w:val="center"/>
        </w:trPr>
        <w:tc>
          <w:tcPr>
            <w:tcW w:w="2016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80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New page template, filter, interactive flow, data capture or integration-light feature.</w:t>
            </w:r>
          </w:p>
        </w:tc>
      </w:tr>
      <w:tr w:rsidR="006B54FE" w:rsidRPr="0010595F">
        <w:trPr>
          <w:jc w:val="center"/>
        </w:trPr>
        <w:tc>
          <w:tcPr>
            <w:tcW w:w="2016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80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Complex logic, AI capability, advanced personalisation, integration or sustained operating process.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t>3. Launch decision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5112"/>
        <w:gridCol w:w="3096"/>
      </w:tblGrid>
      <w:tr w:rsidR="006B54FE" w:rsidRPr="0010595F">
        <w:trPr>
          <w:tblHeader/>
          <w:jc w:val="center"/>
        </w:trPr>
        <w:tc>
          <w:tcPr>
            <w:tcW w:w="2232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Decision area</w:t>
            </w:r>
          </w:p>
        </w:tc>
        <w:tc>
          <w:tcPr>
            <w:tcW w:w="5112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operating position</w:t>
            </w:r>
          </w:p>
        </w:tc>
        <w:tc>
          <w:tcPr>
            <w:tcW w:w="3096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Required owner action</w:t>
            </w:r>
          </w:p>
        </w:tc>
      </w:tr>
      <w:tr w:rsidR="006B54FE" w:rsidRPr="0010595F">
        <w:trPr>
          <w:jc w:val="center"/>
        </w:trPr>
        <w:tc>
          <w:tcPr>
            <w:tcW w:w="223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Employee count</w:t>
            </w:r>
          </w:p>
        </w:tc>
        <w:tc>
          <w:tcPr>
            <w:tcW w:w="511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Use 380+ in public headline statistics. Treat 550+ from the delivery-economics slide as a leadership-validation item until reconciled.</w:t>
            </w:r>
          </w:p>
        </w:tc>
        <w:tc>
          <w:tcPr>
            <w:tcW w:w="3096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Confirm final number before copy freeze.</w:t>
            </w:r>
          </w:p>
        </w:tc>
      </w:tr>
      <w:tr w:rsidR="006B54FE" w:rsidRPr="0010595F">
        <w:trPr>
          <w:jc w:val="center"/>
        </w:trPr>
        <w:tc>
          <w:tcPr>
            <w:tcW w:w="223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Accelerator counts</w:t>
            </w:r>
          </w:p>
        </w:tc>
        <w:tc>
          <w:tcPr>
            <w:tcW w:w="511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Use both 12+ packaged accelerators and 10+ proprietary accelerators as distinct proof points.</w:t>
            </w:r>
          </w:p>
        </w:tc>
        <w:tc>
          <w:tcPr>
            <w:tcW w:w="3096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Confirm that the two counts are separate and not double-counted.</w:t>
            </w:r>
          </w:p>
        </w:tc>
      </w:tr>
      <w:tr w:rsidR="006B54FE" w:rsidRPr="0010595F">
        <w:trPr>
          <w:jc w:val="center"/>
        </w:trPr>
        <w:tc>
          <w:tcPr>
            <w:tcW w:w="223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Project-speed claim</w:t>
            </w:r>
          </w:p>
        </w:tc>
        <w:tc>
          <w:tcPr>
            <w:tcW w:w="511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Use up to 30% faster go-live / timeline compression, aligned to the May 2026 deck.</w:t>
            </w:r>
          </w:p>
        </w:tc>
        <w:tc>
          <w:tcPr>
            <w:tcW w:w="3096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Approve wording with leadership/legal before publishing.</w:t>
            </w:r>
          </w:p>
        </w:tc>
      </w:tr>
      <w:tr w:rsidR="006B54FE" w:rsidRPr="0010595F">
        <w:trPr>
          <w:jc w:val="center"/>
        </w:trPr>
        <w:tc>
          <w:tcPr>
            <w:tcW w:w="223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Office footprint</w:t>
            </w:r>
          </w:p>
        </w:tc>
        <w:tc>
          <w:tcPr>
            <w:tcW w:w="511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 xml:space="preserve">Use 4 delivery centres and 6 sales offices. Avoid older or inconsistent claims such as 10+ delivery </w:t>
            </w:r>
            <w:r w:rsidRPr="001059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centres.</w:t>
            </w:r>
          </w:p>
        </w:tc>
        <w:tc>
          <w:tcPr>
            <w:tcW w:w="3096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Confirm final public office </w:t>
            </w:r>
            <w:r w:rsidRPr="001059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list and addresses.</w:t>
            </w:r>
          </w:p>
        </w:tc>
      </w:tr>
      <w:tr w:rsidR="006B54FE" w:rsidRPr="0010595F">
        <w:trPr>
          <w:jc w:val="center"/>
        </w:trPr>
        <w:tc>
          <w:tcPr>
            <w:tcW w:w="223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Partner count</w:t>
            </w:r>
          </w:p>
        </w:tc>
        <w:tc>
          <w:tcPr>
            <w:tcW w:w="511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Use 12+ strategic partners in headline proof, while partner-detail pages can list application, hyperscaler, data and specialised partners.</w:t>
            </w:r>
          </w:p>
        </w:tc>
        <w:tc>
          <w:tcPr>
            <w:tcW w:w="3096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Confirm logo permissions and partner categories.</w:t>
            </w:r>
          </w:p>
        </w:tc>
      </w:tr>
      <w:tr w:rsidR="006B54FE" w:rsidRPr="0010595F">
        <w:trPr>
          <w:jc w:val="center"/>
        </w:trPr>
        <w:tc>
          <w:tcPr>
            <w:tcW w:w="223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Case-study confidentiality</w:t>
            </w:r>
          </w:p>
        </w:tc>
        <w:tc>
          <w:tcPr>
            <w:tcW w:w="511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Use named case studies where cleared; otherwise label as confidential and route detailed requests through NDA.</w:t>
            </w:r>
          </w:p>
        </w:tc>
        <w:tc>
          <w:tcPr>
            <w:tcW w:w="3096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Confirm which logos/client names can appear publicly.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t>4. Phase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904"/>
        <w:gridCol w:w="2448"/>
      </w:tblGrid>
      <w:tr w:rsidR="006B54FE" w:rsidRPr="0010595F">
        <w:trPr>
          <w:tblHeader/>
          <w:jc w:val="center"/>
        </w:trPr>
        <w:tc>
          <w:tcPr>
            <w:tcW w:w="216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5904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Scope</w:t>
            </w:r>
          </w:p>
        </w:tc>
        <w:tc>
          <w:tcPr>
            <w:tcW w:w="2448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Business outcome</w:t>
            </w:r>
          </w:p>
        </w:tc>
      </w:tr>
      <w:tr w:rsidR="006B54FE" w:rsidRPr="0010595F">
        <w:trPr>
          <w:jc w:val="center"/>
        </w:trPr>
        <w:tc>
          <w:tcPr>
            <w:tcW w:w="216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Phase 1 - Launch core</w:t>
            </w:r>
          </w:p>
        </w:tc>
        <w:tc>
          <w:tcPr>
            <w:tcW w:w="590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Pillar navigation, priority pages, contact forms, case-study gallery, partner/certification proof, analytics, redirects, accessibility and performance standards.</w:t>
            </w:r>
          </w:p>
        </w:tc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Credible enterprise relaunch with protected search equity and clear conversion routes.</w:t>
            </w:r>
          </w:p>
        </w:tc>
      </w:tr>
      <w:tr w:rsidR="006B54FE" w:rsidRPr="0010595F">
        <w:trPr>
          <w:jc w:val="center"/>
        </w:trPr>
        <w:tc>
          <w:tcPr>
            <w:tcW w:w="216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Phase 2 - Conversion depth</w:t>
            </w:r>
          </w:p>
        </w:tc>
        <w:tc>
          <w:tcPr>
            <w:tcW w:w="590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 xml:space="preserve">RISE-vs-GROW chooser, Health Check </w:t>
            </w:r>
            <w:proofErr w:type="gramStart"/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360 page</w:t>
            </w:r>
            <w:proofErr w:type="gramEnd"/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, full case-study pages, interactive Converged Intelligence diagram, embedded forms and newsletter.</w:t>
            </w:r>
          </w:p>
        </w:tc>
        <w:tc>
          <w:tcPr>
            <w:tcW w:w="244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Higher-intent lead capture and stronger proof experience.</w:t>
            </w:r>
          </w:p>
        </w:tc>
      </w:tr>
      <w:tr w:rsidR="006B54FE" w:rsidRPr="0010595F">
        <w:trPr>
          <w:jc w:val="center"/>
        </w:trPr>
        <w:tc>
          <w:tcPr>
            <w:tcW w:w="216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Phase 3 - Intelligence layer</w:t>
            </w:r>
          </w:p>
        </w:tc>
        <w:tc>
          <w:tcPr>
            <w:tcW w:w="590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AI assistant, ROI calculator, downloadable guides, smarter search, region/industry personalisation and ongoing resource centre.</w:t>
            </w:r>
          </w:p>
        </w:tc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Owned differentiation and deeper buyer engagement after launch performance is known.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t>5. Navigation and findability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4464"/>
      </w:tblGrid>
      <w:tr w:rsidR="0010595F" w:rsidRPr="0010595F">
        <w:trPr>
          <w:tblHeader/>
          <w:jc w:val="center"/>
        </w:trPr>
        <w:tc>
          <w:tcPr>
            <w:tcW w:w="288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144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144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Effort</w:t>
            </w:r>
          </w:p>
        </w:tc>
        <w:tc>
          <w:tcPr>
            <w:tcW w:w="4464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Business value</w:t>
            </w:r>
          </w:p>
        </w:tc>
      </w:tr>
      <w:tr w:rsidR="0010595F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Pillar-based main menu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Matches the deck-led operating model and helps enterprise visitors reach the right service quickly.</w:t>
            </w:r>
          </w:p>
        </w:tc>
      </w:tr>
      <w:tr w:rsidR="0010595F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Persistent discovery CTA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Keeps conversion available on every page.</w:t>
            </w:r>
          </w:p>
        </w:tc>
      </w:tr>
      <w:tr w:rsidR="0010595F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Region selector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Supports India, Singapore, Middle East, Kenya and South Africa context.</w:t>
            </w:r>
          </w:p>
        </w:tc>
      </w:tr>
      <w:tr w:rsidR="0010595F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Site search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 to Large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Required because SAP content is deep and specialist.</w:t>
            </w:r>
          </w:p>
        </w:tc>
      </w:tr>
      <w:tr w:rsidR="0010595F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Breadcrumbs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Improves navigation and SEO for long, nested service pages.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p w:rsidR="006B54FE" w:rsidRPr="0010595F" w:rsidRDefault="007E4152">
      <w:pPr>
        <w:pStyle w:val="Heading2"/>
        <w:spacing w:before="4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t>5.1 Current-site migration requirement</w:t>
      </w:r>
    </w:p>
    <w:p w:rsidR="006B54FE" w:rsidRPr="0010595F" w:rsidRDefault="007E4152">
      <w:pPr>
        <w:spacing w:after="100" w:line="259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t xml:space="preserve">The current website includes legacy service paths for SAP Enterprise Solutions, RISE with SAP, SAP Concur, SAP SuccessFactors, Analytics, Cloud Infrastructure, Digital Services, Cyber Security, Data </w:t>
      </w:r>
      <w:r w:rsidRPr="0010595F">
        <w:rPr>
          <w:rFonts w:ascii="Times New Roman" w:hAnsi="Times New Roman" w:cs="Times New Roman"/>
          <w:sz w:val="24"/>
          <w:szCs w:val="24"/>
        </w:rPr>
        <w:lastRenderedPageBreak/>
        <w:t>Analytics &amp; AI, partners, industries, customer stories, careers and contact. These paths must be mapped to new URLs through a redirect plan so existing traffic and search authority are not lost.</w:t>
      </w: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t>6. Lead capture and conversion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1656"/>
        <w:gridCol w:w="4464"/>
      </w:tblGrid>
      <w:tr w:rsidR="006B54FE" w:rsidRPr="0010595F">
        <w:trPr>
          <w:tblHeader/>
          <w:jc w:val="center"/>
        </w:trPr>
        <w:tc>
          <w:tcPr>
            <w:tcW w:w="288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144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144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Effort</w:t>
            </w:r>
          </w:p>
        </w:tc>
        <w:tc>
          <w:tcPr>
            <w:tcW w:w="4464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Business value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Persistent discovery CTA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Pinned desktop CTA and mobile bottom bar shorten the path to sales conversation.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Main contact form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Standard enquiry route with name, work email, company, region, interest area and message.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Interest taxonomy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Dropdown mirrors the three pillars and key SAP offerings for clean lead routing.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Embedded service-page forms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Mini-forms on SAP, RISE vs GROW and Health Check pages capture high-intent visitors.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Talk to an expert prompt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Polite mid-page prompt on long SAP pages; desktop only and non-repetitive.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Newsletter sign-up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Nice-to-have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Small/Medium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Supports long buying cycles if ongoing insights cadence is owned.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t>7. Signature interactive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1"/>
        <w:gridCol w:w="3858"/>
        <w:gridCol w:w="2861"/>
        <w:gridCol w:w="1434"/>
      </w:tblGrid>
      <w:tr w:rsidR="006B54FE" w:rsidRPr="0010595F">
        <w:trPr>
          <w:tblHeader/>
          <w:jc w:val="center"/>
        </w:trPr>
        <w:tc>
          <w:tcPr>
            <w:tcW w:w="2448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Tool</w:t>
            </w:r>
          </w:p>
        </w:tc>
        <w:tc>
          <w:tcPr>
            <w:tcW w:w="3888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Experience</w:t>
            </w:r>
          </w:p>
        </w:tc>
        <w:tc>
          <w:tcPr>
            <w:tcW w:w="288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Lead-generation role</w:t>
            </w:r>
          </w:p>
        </w:tc>
        <w:tc>
          <w:tcPr>
            <w:tcW w:w="144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 / effort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RISE-vs-GROW guided chooser</w:t>
            </w:r>
          </w:p>
        </w:tc>
        <w:tc>
          <w:tcPr>
            <w:tcW w:w="388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A seven-question route-selection tool covering size, customisation, integration complexity, timeline, budget and regulatory constraints. Output: RISE, GROW or hybrid recommendation.</w:t>
            </w:r>
          </w:p>
        </w:tc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Qualifies SAP prospects and routes them into a Pathway Assessment conversation.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 / Medium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Health Check 360 page</w:t>
            </w:r>
          </w:p>
        </w:tc>
        <w:tc>
          <w:tcPr>
            <w:tcW w:w="388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Dedicated SuccessFactors AI diagnostic offer page with outcome metrics, benchmark credibility and request-briefing form.</w:t>
            </w:r>
          </w:p>
        </w:tc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Creates a strong HR transformation door-opener.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 / Medium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Converged Intelligence diagram</w:t>
            </w:r>
          </w:p>
        </w:tc>
        <w:tc>
          <w:tcPr>
            <w:tcW w:w="388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Layered interactive visual showing core platforms, data, AI, assistants, extensions and outcomes in one operating model.</w:t>
            </w:r>
          </w:p>
        </w:tc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Makes the company's signature point of view memorable and ownable.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 / Small-Medium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SAP delivery toolset showcase</w:t>
            </w:r>
          </w:p>
        </w:tc>
        <w:tc>
          <w:tcPr>
            <w:tcW w:w="388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Tiles for Signavio, LeanIX, Cloud ALM, Tricentis, Activate and WalkMe, each mapped to delivery confidence.</w:t>
            </w:r>
          </w:p>
        </w:tc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Signals enterprise-grade delivery governance.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 / Small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ROI / savings calculator</w:t>
            </w:r>
          </w:p>
        </w:tc>
        <w:tc>
          <w:tcPr>
            <w:tcW w:w="388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Visitor enters broad parameters and receives indicative savings/time-compression estimate.</w:t>
            </w:r>
          </w:p>
        </w:tc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Later-stage lead magnet; must be clearly labelled as estimate.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Nice-to-have / Medium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AI assistant</w:t>
            </w:r>
          </w:p>
        </w:tc>
        <w:tc>
          <w:tcPr>
            <w:tcW w:w="388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Website chatbot trained on approved site content and service taxonomy.</w:t>
            </w:r>
          </w:p>
        </w:tc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Proof of AI capability and navigation support; launch only after accuracy controls.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Nice-to-have / Large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p w:rsidR="00761D23" w:rsidRPr="0010595F" w:rsidRDefault="00761D23">
      <w:pPr>
        <w:rPr>
          <w:rFonts w:ascii="Times New Roman" w:hAnsi="Times New Roman" w:cs="Times New Roman"/>
          <w:sz w:val="24"/>
          <w:szCs w:val="24"/>
        </w:rPr>
      </w:pP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t>8. Proof, case-study and partner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4464"/>
      </w:tblGrid>
      <w:tr w:rsidR="0010595F" w:rsidRPr="0010595F">
        <w:trPr>
          <w:tblHeader/>
          <w:jc w:val="center"/>
        </w:trPr>
        <w:tc>
          <w:tcPr>
            <w:tcW w:w="288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144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144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Effort</w:t>
            </w:r>
          </w:p>
        </w:tc>
        <w:tc>
          <w:tcPr>
            <w:tcW w:w="4464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Build requirement</w:t>
            </w:r>
          </w:p>
        </w:tc>
      </w:tr>
      <w:tr w:rsidR="0010595F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Filterable case-study gallery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Filter by industry, service, SAP route and region; include named and confidential cards.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Full case-study pages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Template: client context, challenge, solution, benefits, delivery details and In2IT EBS differentiator.</w:t>
            </w:r>
          </w:p>
        </w:tc>
      </w:tr>
      <w:tr w:rsidR="0010595F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Request full story under NDA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Short form attached to confidential case studies.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Client logo band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Controlled logo carousel/grid with approved assets only.</w:t>
            </w:r>
          </w:p>
        </w:tc>
      </w:tr>
      <w:tr w:rsidR="0010595F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Partner ecosystem page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Categorise application platforms, hyperscalers, data/analytics and specialised partners.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Certification strip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SAP Gold Partner, RISE, PCE, CMMI, ISO 9001, ISO 27001 visible on Home, SAP, About and footer.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t>9. Content, insights and careers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4464"/>
      </w:tblGrid>
      <w:tr w:rsidR="006B54FE" w:rsidRPr="0010595F">
        <w:trPr>
          <w:tblHeader/>
          <w:jc w:val="center"/>
        </w:trPr>
        <w:tc>
          <w:tcPr>
            <w:tcW w:w="288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144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144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Effort</w:t>
            </w:r>
          </w:p>
        </w:tc>
        <w:tc>
          <w:tcPr>
            <w:tcW w:w="4464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Operating requirement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Insights hub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 setup / ongoing medium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Launch with selected articles and commit to a cadence around SAP, AI, data, cloud and enterprise transformation.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Downloadable guides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Nice-to-have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Create gated resources such as SAP pathway guide and HR AI readiness checklist.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Careers page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Nice-to-have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Culture, roles, office footprint and current openings or application-interest form.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Leadership profiles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 + assets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Use approved bios and real photographs; do not invent leaders.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Glossary / explainer modules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Explain SAP terms on deep pages without diluting enterprise tone.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lastRenderedPageBreak/>
        <w:t>10. Analytics, SEO and compliance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1656"/>
        <w:gridCol w:w="4464"/>
      </w:tblGrid>
      <w:tr w:rsidR="006B54FE" w:rsidRPr="0010595F">
        <w:trPr>
          <w:tblHeader/>
          <w:jc w:val="center"/>
        </w:trPr>
        <w:tc>
          <w:tcPr>
            <w:tcW w:w="288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144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1440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Effort</w:t>
            </w:r>
          </w:p>
        </w:tc>
        <w:tc>
          <w:tcPr>
            <w:tcW w:w="4464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Acceptance standard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Cookie consent and privacy controls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Consent-aware analytics and retargeting tags; privacy page linked from footer.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Analytics measurement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Track CTA clicks, form submissions, chooser completions, case-study requests, downloads and region selections.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SEO schema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Should-have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Organisation, breadcrumbs, articles, FAQ where relevant and service pages structured for search.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Redirect map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 xml:space="preserve">Every high-value old URL </w:t>
            </w:r>
            <w:proofErr w:type="gramStart"/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  <w:proofErr w:type="gramEnd"/>
            <w:r w:rsidRPr="0010595F">
              <w:rPr>
                <w:rFonts w:ascii="Times New Roman" w:hAnsi="Times New Roman" w:cs="Times New Roman"/>
                <w:sz w:val="24"/>
                <w:szCs w:val="24"/>
              </w:rPr>
              <w:t xml:space="preserve"> to the closest new URL before launch.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Small/Medium QA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WCAG 2.1 AA-aligned contrast, keyboard support, labels, alt text and focus states.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Small/Medium QA</w:t>
            </w:r>
          </w:p>
        </w:tc>
        <w:tc>
          <w:tcPr>
            <w:tcW w:w="4464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Optimised images, lazy loading, script discipline and mobile speed checks.</w:t>
            </w:r>
          </w:p>
        </w:tc>
      </w:tr>
      <w:tr w:rsidR="006B54FE" w:rsidRPr="0010595F">
        <w:trPr>
          <w:jc w:val="center"/>
        </w:trPr>
        <w:tc>
          <w:tcPr>
            <w:tcW w:w="288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1440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4464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HTTPS, spam protection on forms, data validation and limited personal-data capture.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t>11. Technical implementation standards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6B54FE" w:rsidRPr="0010595F">
        <w:trPr>
          <w:tblHeader/>
          <w:jc w:val="center"/>
        </w:trPr>
        <w:tc>
          <w:tcPr>
            <w:tcW w:w="2448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7632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Standard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CMS / content model</w:t>
            </w:r>
          </w:p>
        </w:tc>
        <w:tc>
          <w:tcPr>
            <w:tcW w:w="763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Reusable templates for pages, case studies, industries, insights and partners. Marketing must be able to update content without developer dependency.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Forms</w:t>
            </w:r>
          </w:p>
        </w:tc>
        <w:tc>
          <w:tcPr>
            <w:tcW w:w="763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Spam-protected, mobile-friendly, CRM-ready/exportable, and tagged with region and interest area.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763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Basic launch search can index approved pages. Later semantic search must be controlled by approved content only.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Data handling</w:t>
            </w:r>
          </w:p>
        </w:tc>
        <w:tc>
          <w:tcPr>
            <w:tcW w:w="763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Collect only necessary lead details. Include consent and privacy notice. Avoid recording chooser data unless submitted with explicit form intent.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Case-study permissions</w:t>
            </w:r>
          </w:p>
        </w:tc>
        <w:tc>
          <w:tcPr>
            <w:tcW w:w="763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Content model must support public, anonymised and NDA-gated case studies.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Regional content</w:t>
            </w:r>
          </w:p>
        </w:tc>
        <w:tc>
          <w:tcPr>
            <w:tcW w:w="763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Region selector should adjust contact details and proof prioritisation without creating separate websites at launch.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763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Document owner, update frequency and approval flow for every dynamic content type.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p w:rsidR="006B54FE" w:rsidRPr="0010595F" w:rsidRDefault="007E4152">
      <w:pPr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br w:type="page"/>
      </w:r>
    </w:p>
    <w:p w:rsidR="006B54FE" w:rsidRPr="0010595F" w:rsidRDefault="007E4152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0595F">
        <w:rPr>
          <w:rFonts w:ascii="Times New Roman" w:hAnsi="Times New Roman" w:cs="Times New Roman"/>
          <w:sz w:val="24"/>
          <w:szCs w:val="24"/>
        </w:rPr>
        <w:lastRenderedPageBreak/>
        <w:t>12. Acceptance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6B54FE" w:rsidRPr="0010595F">
        <w:trPr>
          <w:tblHeader/>
          <w:jc w:val="center"/>
        </w:trPr>
        <w:tc>
          <w:tcPr>
            <w:tcW w:w="2448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Checklist area</w:t>
            </w:r>
          </w:p>
        </w:tc>
        <w:tc>
          <w:tcPr>
            <w:tcW w:w="7632" w:type="dxa"/>
            <w:shd w:val="clear" w:color="auto" w:fill="0B1F3A"/>
            <w:vAlign w:val="center"/>
          </w:tcPr>
          <w:p w:rsidR="006B54FE" w:rsidRPr="0010595F" w:rsidRDefault="007E4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Acceptance criterion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Navigation</w:t>
            </w:r>
          </w:p>
        </w:tc>
        <w:tc>
          <w:tcPr>
            <w:tcW w:w="763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Pillar mega-menu, breadcrumbs, search and CTA work on desktop and mobile.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Conversion</w:t>
            </w:r>
          </w:p>
        </w:tc>
        <w:tc>
          <w:tcPr>
            <w:tcW w:w="763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 xml:space="preserve">Every form </w:t>
            </w:r>
            <w:proofErr w:type="gramStart"/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routes</w:t>
            </w:r>
            <w:proofErr w:type="gramEnd"/>
            <w:r w:rsidRPr="0010595F">
              <w:rPr>
                <w:rFonts w:ascii="Times New Roman" w:hAnsi="Times New Roman" w:cs="Times New Roman"/>
                <w:sz w:val="24"/>
                <w:szCs w:val="24"/>
              </w:rPr>
              <w:t xml:space="preserve"> correctly, thank-you states work, spam protection active and events tracked.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Proof</w:t>
            </w:r>
          </w:p>
        </w:tc>
        <w:tc>
          <w:tcPr>
            <w:tcW w:w="763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 xml:space="preserve">Metrics, logos, partner badges and case-study </w:t>
            </w:r>
            <w:proofErr w:type="gramStart"/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claims</w:t>
            </w:r>
            <w:proofErr w:type="gramEnd"/>
            <w:r w:rsidRPr="0010595F">
              <w:rPr>
                <w:rFonts w:ascii="Times New Roman" w:hAnsi="Times New Roman" w:cs="Times New Roman"/>
                <w:sz w:val="24"/>
                <w:szCs w:val="24"/>
              </w:rPr>
              <w:t xml:space="preserve"> approved and consistent.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SAP flagship</w:t>
            </w:r>
          </w:p>
        </w:tc>
        <w:tc>
          <w:tcPr>
            <w:tcW w:w="763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Sticky jump menu, trust stack, decision modules and conversion points present.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SEO migration</w:t>
            </w:r>
          </w:p>
        </w:tc>
        <w:tc>
          <w:tcPr>
            <w:tcW w:w="763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Redirect map implemented and tested for all priority legacy URLs.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</w:p>
        </w:tc>
        <w:tc>
          <w:tcPr>
            <w:tcW w:w="763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Privacy, cookie, disclaimer and accessibility requirements live.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763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Images optimised, no heavy auto sliders, acceptable mobile load behaviour.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7632" w:type="dxa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CTA, forms, chooser, case-study requests and downloads measured.</w:t>
            </w:r>
          </w:p>
        </w:tc>
      </w:tr>
      <w:tr w:rsidR="006B54FE" w:rsidRPr="0010595F">
        <w:trPr>
          <w:jc w:val="center"/>
        </w:trPr>
        <w:tc>
          <w:tcPr>
            <w:tcW w:w="2448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Ownership</w:t>
            </w:r>
          </w:p>
        </w:tc>
        <w:tc>
          <w:tcPr>
            <w:tcW w:w="7632" w:type="dxa"/>
            <w:shd w:val="clear" w:color="auto" w:fill="F8FAFC"/>
          </w:tcPr>
          <w:p w:rsidR="006B54FE" w:rsidRPr="0010595F" w:rsidRDefault="007E415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0595F">
              <w:rPr>
                <w:rFonts w:ascii="Times New Roman" w:hAnsi="Times New Roman" w:cs="Times New Roman"/>
                <w:sz w:val="24"/>
                <w:szCs w:val="24"/>
              </w:rPr>
              <w:t>Content and feature owners assigned for post-launch governance.</w:t>
            </w:r>
          </w:p>
        </w:tc>
      </w:tr>
    </w:tbl>
    <w:p w:rsidR="006B54FE" w:rsidRPr="0010595F" w:rsidRDefault="006B54FE">
      <w:pPr>
        <w:rPr>
          <w:rFonts w:ascii="Times New Roman" w:hAnsi="Times New Roman" w:cs="Times New Roman"/>
          <w:sz w:val="24"/>
          <w:szCs w:val="24"/>
        </w:rPr>
      </w:pPr>
    </w:p>
    <w:sectPr w:rsidR="006B54FE" w:rsidRPr="0010595F" w:rsidSect="00034616">
      <w:headerReference w:type="default" r:id="rId8"/>
      <w:foot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2176" w:rsidRDefault="00802176">
      <w:pPr>
        <w:spacing w:after="0" w:line="240" w:lineRule="auto"/>
      </w:pPr>
      <w:r>
        <w:separator/>
      </w:r>
    </w:p>
  </w:endnote>
  <w:endnote w:type="continuationSeparator" w:id="0">
    <w:p w:rsidR="00802176" w:rsidRDefault="00802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576725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10595F" w:rsidRDefault="0010595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B54FE" w:rsidRDefault="006B54F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2176" w:rsidRDefault="00802176">
      <w:pPr>
        <w:spacing w:after="0" w:line="240" w:lineRule="auto"/>
      </w:pPr>
      <w:r>
        <w:separator/>
      </w:r>
    </w:p>
  </w:footnote>
  <w:footnote w:type="continuationSeparator" w:id="0">
    <w:p w:rsidR="00802176" w:rsidRDefault="00802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54FE" w:rsidRDefault="0010595F">
    <w:pPr>
      <w:pStyle w:val="Header"/>
      <w:jc w:val="right"/>
    </w:pPr>
    <w:r>
      <w:rPr>
        <w:b/>
        <w:noProof/>
        <w:color w:val="0B1F3A"/>
        <w:sz w:val="16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-594360</wp:posOffset>
          </wp:positionH>
          <wp:positionV relativeFrom="paragraph">
            <wp:posOffset>-457200</wp:posOffset>
          </wp:positionV>
          <wp:extent cx="1838325" cy="87884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878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4152">
      <w:rPr>
        <w:b/>
        <w:color w:val="0B1F3A"/>
        <w:sz w:val="16"/>
      </w:rPr>
      <w:t>In2IT EBS Website Relaunch 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95F"/>
    <w:rsid w:val="0015074B"/>
    <w:rsid w:val="0029639D"/>
    <w:rsid w:val="00326F90"/>
    <w:rsid w:val="006B54FE"/>
    <w:rsid w:val="00761D23"/>
    <w:rsid w:val="007E4152"/>
    <w:rsid w:val="008021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ABFF9"/>
  <w14:defaultImageDpi w14:val="300"/>
  <w15:docId w15:val="{8A1B7F44-928F-4874-96CB-9BDE8BDA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70C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F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7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56C7EF-4D09-4B5A-8B2E-6949C1FE3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1771</Words>
  <Characters>10097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In2IT-EBS-Features-Plan-Refined-Professional</vt:lpstr>
    </vt:vector>
  </TitlesOfParts>
  <Manager/>
  <Company/>
  <LinksUpToDate>false</LinksUpToDate>
  <CharactersWithSpaces>11845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In2IT-EBS-Features-Plan-Refined-Professional</dc:title>
  <dc:subject>Professional website relaunch plan</dc:subject>
  <dc:creator>In2IT EBS</dc:creator>
  <cp:keywords/>
  <dc:description>generated by python-docx</dc:description>
  <cp:lastModifiedBy>Pralay Mishra</cp:lastModifiedBy>
  <cp:revision>3</cp:revision>
  <dcterms:created xsi:type="dcterms:W3CDTF">2013-12-23T23:15:00Z</dcterms:created>
  <dcterms:modified xsi:type="dcterms:W3CDTF">2026-06-04T11:24:00Z</dcterms:modified>
  <cp:category/>
</cp:coreProperties>
</file>