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4DC9" w:rsidRPr="00BA698C" w:rsidRDefault="00A64DC9">
      <w:pPr>
        <w:jc w:val="center"/>
        <w:rPr>
          <w:rFonts w:ascii="Times New Roman" w:hAnsi="Times New Roman" w:cs="Times New Roman"/>
          <w:b/>
          <w:color w:val="002040"/>
          <w:sz w:val="24"/>
          <w:szCs w:val="24"/>
        </w:rPr>
      </w:pPr>
    </w:p>
    <w:p w:rsidR="00626C09" w:rsidRPr="00BA698C" w:rsidRDefault="000675D4">
      <w:pPr>
        <w:jc w:val="center"/>
        <w:rPr>
          <w:rFonts w:ascii="Times New Roman" w:hAnsi="Times New Roman" w:cs="Times New Roman"/>
          <w:sz w:val="28"/>
          <w:szCs w:val="24"/>
        </w:rPr>
      </w:pPr>
      <w:r w:rsidRPr="00BA698C">
        <w:rPr>
          <w:rFonts w:ascii="Times New Roman" w:hAnsi="Times New Roman" w:cs="Times New Roman"/>
          <w:b/>
          <w:color w:val="002040"/>
          <w:sz w:val="28"/>
          <w:szCs w:val="24"/>
        </w:rPr>
        <w:t>Website Content Plan &amp; Implementation Directive</w:t>
      </w:r>
    </w:p>
    <w:p w:rsidR="00A64DC9" w:rsidRPr="00BA698C" w:rsidRDefault="00A64DC9">
      <w:pPr>
        <w:jc w:val="center"/>
        <w:rPr>
          <w:rFonts w:ascii="Times New Roman" w:hAnsi="Times New Roman" w:cs="Times New Roman"/>
          <w:color w:val="464646"/>
          <w:sz w:val="24"/>
          <w:szCs w:val="24"/>
        </w:rPr>
      </w:pPr>
      <w:r w:rsidRPr="00BA698C">
        <w:rPr>
          <w:rFonts w:ascii="Times New Roman" w:hAnsi="Times New Roman" w:cs="Times New Roman"/>
          <w:color w:val="464646"/>
          <w:sz w:val="24"/>
          <w:szCs w:val="24"/>
        </w:rPr>
        <w:t>C</w:t>
      </w:r>
      <w:r w:rsidR="000675D4" w:rsidRPr="00BA698C">
        <w:rPr>
          <w:rFonts w:ascii="Times New Roman" w:hAnsi="Times New Roman" w:cs="Times New Roman"/>
          <w:color w:val="464646"/>
          <w:sz w:val="24"/>
          <w:szCs w:val="24"/>
        </w:rPr>
        <w:t>ontent directive for the redesigned In2IT EBS corporate website</w:t>
      </w:r>
    </w:p>
    <w:p w:rsidR="00626C09" w:rsidRPr="00BA698C" w:rsidRDefault="000675D4">
      <w:pPr>
        <w:jc w:val="center"/>
        <w:rPr>
          <w:rFonts w:ascii="Times New Roman" w:hAnsi="Times New Roman" w:cs="Times New Roman"/>
          <w:sz w:val="24"/>
          <w:szCs w:val="24"/>
        </w:rPr>
      </w:pPr>
      <w:r w:rsidRPr="00BA698C">
        <w:rPr>
          <w:rFonts w:ascii="Times New Roman" w:hAnsi="Times New Roman" w:cs="Times New Roman"/>
          <w:color w:val="464646"/>
          <w:sz w:val="24"/>
          <w:szCs w:val="24"/>
        </w:rPr>
        <w:t>May 2026</w:t>
      </w:r>
    </w:p>
    <w:p w:rsidR="00626C09" w:rsidRPr="00BA698C" w:rsidRDefault="00626C09">
      <w:pPr>
        <w:rPr>
          <w:rFonts w:ascii="Times New Roman" w:hAnsi="Times New Roman" w:cs="Times New Roman"/>
          <w:sz w:val="24"/>
          <w:szCs w:val="24"/>
        </w:rPr>
      </w:pPr>
    </w:p>
    <w:tbl>
      <w:tblPr>
        <w:tblW w:w="0" w:type="auto"/>
        <w:jc w:val="center"/>
        <w:tblLook w:val="04A0" w:firstRow="1" w:lastRow="0" w:firstColumn="1" w:lastColumn="0" w:noHBand="0" w:noVBand="1"/>
      </w:tblPr>
      <w:tblGrid>
        <w:gridCol w:w="10224"/>
      </w:tblGrid>
      <w:tr w:rsidR="00626C09" w:rsidRPr="00BA698C">
        <w:trPr>
          <w:jc w:val="center"/>
        </w:trPr>
        <w:tc>
          <w:tcPr>
            <w:tcW w:w="10224" w:type="dxa"/>
            <w:shd w:val="clear" w:color="auto" w:fill="002040"/>
            <w:tcMar>
              <w:top w:w="120" w:type="dxa"/>
              <w:left w:w="160" w:type="dxa"/>
              <w:bottom w:w="120" w:type="dxa"/>
              <w:right w:w="16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Establish the website as a high-trust enterprise growth platform: AI-led, SAP-anchored, proof-driven and built around one accountable partner across Platforms, Advisory and Digital Engineering.</w:t>
            </w:r>
          </w:p>
        </w:tc>
      </w:tr>
    </w:tbl>
    <w:p w:rsidR="00626C09" w:rsidRPr="00BA698C" w:rsidRDefault="00626C09">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150"/>
        <w:gridCol w:w="8378"/>
      </w:tblGrid>
      <w:tr w:rsidR="00626C09" w:rsidRPr="00BA698C" w:rsidTr="00A64DC9">
        <w:trPr>
          <w:jc w:val="center"/>
        </w:trPr>
        <w:tc>
          <w:tcPr>
            <w:tcW w:w="215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Plan authority</w:t>
            </w:r>
          </w:p>
        </w:tc>
        <w:tc>
          <w:tcPr>
            <w:tcW w:w="837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Directive</w:t>
            </w:r>
          </w:p>
        </w:tc>
      </w:tr>
      <w:tr w:rsidR="00626C09" w:rsidRPr="00BA698C" w:rsidTr="00A64DC9">
        <w:trPr>
          <w:jc w:val="center"/>
        </w:trPr>
        <w:tc>
          <w:tcPr>
            <w:tcW w:w="215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Purpose</w:t>
            </w:r>
          </w:p>
        </w:tc>
        <w:tc>
          <w:tcPr>
            <w:tcW w:w="837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Governs website content planning, page production, copywriting, implementation briefing and launch readiness.</w:t>
            </w:r>
          </w:p>
        </w:tc>
      </w:tr>
      <w:tr w:rsidR="00A64DC9" w:rsidRPr="00BA698C" w:rsidTr="00A64DC9">
        <w:trPr>
          <w:jc w:val="center"/>
        </w:trPr>
        <w:tc>
          <w:tcPr>
            <w:tcW w:w="2150" w:type="dxa"/>
            <w:tcMar>
              <w:top w:w="80" w:type="dxa"/>
              <w:left w:w="80" w:type="dxa"/>
              <w:bottom w:w="80" w:type="dxa"/>
              <w:right w:w="80" w:type="dxa"/>
            </w:tcMar>
            <w:vAlign w:val="center"/>
          </w:tcPr>
          <w:p w:rsidR="00A64DC9" w:rsidRPr="00BA698C" w:rsidRDefault="00A64DC9">
            <w:pPr>
              <w:rPr>
                <w:rFonts w:ascii="Times New Roman" w:hAnsi="Times New Roman" w:cs="Times New Roman"/>
                <w:sz w:val="24"/>
                <w:szCs w:val="24"/>
              </w:rPr>
            </w:pPr>
            <w:r w:rsidRPr="00BA698C">
              <w:rPr>
                <w:rFonts w:ascii="Times New Roman" w:hAnsi="Times New Roman" w:cs="Times New Roman"/>
                <w:color w:val="141414"/>
                <w:sz w:val="24"/>
                <w:szCs w:val="24"/>
              </w:rPr>
              <w:t>Figure control</w:t>
            </w:r>
          </w:p>
        </w:tc>
        <w:tc>
          <w:tcPr>
            <w:tcW w:w="8378" w:type="dxa"/>
            <w:tcMar>
              <w:top w:w="80" w:type="dxa"/>
              <w:left w:w="80" w:type="dxa"/>
              <w:bottom w:w="80" w:type="dxa"/>
              <w:right w:w="80" w:type="dxa"/>
            </w:tcMar>
            <w:vAlign w:val="center"/>
          </w:tcPr>
          <w:p w:rsidR="00A64DC9" w:rsidRPr="00BA698C" w:rsidRDefault="00A64DC9">
            <w:pPr>
              <w:rPr>
                <w:rFonts w:ascii="Times New Roman" w:hAnsi="Times New Roman" w:cs="Times New Roman"/>
                <w:sz w:val="24"/>
                <w:szCs w:val="24"/>
              </w:rPr>
            </w:pPr>
            <w:r w:rsidRPr="00BA698C">
              <w:rPr>
                <w:rFonts w:ascii="Times New Roman" w:hAnsi="Times New Roman" w:cs="Times New Roman"/>
                <w:color w:val="141414"/>
                <w:sz w:val="24"/>
                <w:szCs w:val="24"/>
              </w:rPr>
              <w:t>Company metrics remain unchanged. Conflicting figures remain in the decision register until leadership issues final public approval.</w:t>
            </w:r>
          </w:p>
        </w:tc>
      </w:tr>
      <w:tr w:rsidR="00A64DC9" w:rsidRPr="00BA698C" w:rsidTr="00A64DC9">
        <w:trPr>
          <w:jc w:val="center"/>
        </w:trPr>
        <w:tc>
          <w:tcPr>
            <w:tcW w:w="2150" w:type="dxa"/>
            <w:shd w:val="clear" w:color="auto" w:fill="F3F6FA"/>
            <w:tcMar>
              <w:top w:w="80" w:type="dxa"/>
              <w:left w:w="80" w:type="dxa"/>
              <w:bottom w:w="80" w:type="dxa"/>
              <w:right w:w="80" w:type="dxa"/>
            </w:tcMar>
            <w:vAlign w:val="center"/>
          </w:tcPr>
          <w:p w:rsidR="00A64DC9" w:rsidRPr="00BA698C" w:rsidRDefault="00A64DC9">
            <w:pPr>
              <w:rPr>
                <w:rFonts w:ascii="Times New Roman" w:hAnsi="Times New Roman" w:cs="Times New Roman"/>
                <w:sz w:val="24"/>
                <w:szCs w:val="24"/>
              </w:rPr>
            </w:pPr>
            <w:r w:rsidRPr="00BA698C">
              <w:rPr>
                <w:rFonts w:ascii="Times New Roman" w:hAnsi="Times New Roman" w:cs="Times New Roman"/>
                <w:color w:val="141414"/>
                <w:sz w:val="24"/>
                <w:szCs w:val="24"/>
              </w:rPr>
              <w:t>Approval standard</w:t>
            </w:r>
          </w:p>
        </w:tc>
        <w:tc>
          <w:tcPr>
            <w:tcW w:w="8378" w:type="dxa"/>
            <w:shd w:val="clear" w:color="auto" w:fill="F3F6FA"/>
            <w:tcMar>
              <w:top w:w="80" w:type="dxa"/>
              <w:left w:w="80" w:type="dxa"/>
              <w:bottom w:w="80" w:type="dxa"/>
              <w:right w:w="80" w:type="dxa"/>
            </w:tcMar>
            <w:vAlign w:val="center"/>
          </w:tcPr>
          <w:p w:rsidR="00A64DC9" w:rsidRPr="00BA698C" w:rsidRDefault="00A64DC9">
            <w:pPr>
              <w:rPr>
                <w:rFonts w:ascii="Times New Roman" w:hAnsi="Times New Roman" w:cs="Times New Roman"/>
                <w:sz w:val="24"/>
                <w:szCs w:val="24"/>
              </w:rPr>
            </w:pPr>
            <w:r w:rsidRPr="00BA698C">
              <w:rPr>
                <w:rFonts w:ascii="Times New Roman" w:hAnsi="Times New Roman" w:cs="Times New Roman"/>
                <w:color w:val="141414"/>
                <w:sz w:val="24"/>
                <w:szCs w:val="24"/>
              </w:rPr>
              <w:t>Pages go live only after source, metric, client, partner, CTA and legal checks are complete.</w:t>
            </w:r>
          </w:p>
        </w:tc>
      </w:tr>
    </w:tbl>
    <w:p w:rsidR="00626C09" w:rsidRPr="00BA698C" w:rsidRDefault="00626C09">
      <w:pPr>
        <w:rPr>
          <w:rFonts w:ascii="Times New Roman" w:hAnsi="Times New Roman" w:cs="Times New Roman"/>
          <w:sz w:val="24"/>
          <w:szCs w:val="24"/>
        </w:rPr>
      </w:pPr>
    </w:p>
    <w:p w:rsidR="00626C09" w:rsidRPr="00BA698C" w:rsidRDefault="000675D4">
      <w:pPr>
        <w:pStyle w:val="Heading1"/>
        <w:spacing w:before="200" w:after="100"/>
        <w:rPr>
          <w:rFonts w:ascii="Times New Roman" w:hAnsi="Times New Roman" w:cs="Times New Roman"/>
          <w:sz w:val="28"/>
          <w:szCs w:val="24"/>
        </w:rPr>
      </w:pPr>
      <w:r w:rsidRPr="00BA698C">
        <w:rPr>
          <w:rFonts w:ascii="Times New Roman" w:hAnsi="Times New Roman" w:cs="Times New Roman"/>
          <w:color w:val="002040"/>
          <w:sz w:val="28"/>
          <w:szCs w:val="24"/>
        </w:rPr>
        <w:t>Contents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1. Execut</w:t>
      </w:r>
      <w:r w:rsidR="00A64DC9" w:rsidRPr="00BA698C">
        <w:rPr>
          <w:rFonts w:ascii="Times New Roman" w:hAnsi="Times New Roman" w:cs="Times New Roman"/>
          <w:sz w:val="24"/>
          <w:szCs w:val="24"/>
        </w:rPr>
        <w:t>ive context</w:t>
      </w:r>
      <w:r w:rsidRPr="00BA698C">
        <w:rPr>
          <w:rFonts w:ascii="Times New Roman" w:hAnsi="Times New Roman" w:cs="Times New Roman"/>
          <w:sz w:val="24"/>
          <w:szCs w:val="24"/>
        </w:rPr>
        <w:t xml:space="preserve"> and success definition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2. Source hierarchy, claim control and decision register</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3. Strategic positioning and message architecture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4. Audience strategy and buyer journeys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5. Information architecture and navigation action plan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6. Global content system and reusable page components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7. Page-by-page website action plan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8. Case study, industry and partner content system</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9. SEO, metadata and conversion-copy action plan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10. Content production workstreams and ownership model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11. Launch governance, QA and post-launch optimisation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Appendices: copy bank, proof register, launch checklist and glossary</w:t>
      </w:r>
    </w:p>
    <w:p w:rsidR="00626C09" w:rsidRPr="00BA698C" w:rsidRDefault="000675D4">
      <w:pPr>
        <w:rPr>
          <w:rFonts w:ascii="Times New Roman" w:hAnsi="Times New Roman" w:cs="Times New Roman"/>
          <w:sz w:val="24"/>
          <w:szCs w:val="24"/>
        </w:rPr>
      </w:pPr>
      <w:r w:rsidRPr="00BA698C">
        <w:rPr>
          <w:rFonts w:ascii="Times New Roman" w:hAnsi="Times New Roman" w:cs="Times New Roman"/>
          <w:sz w:val="24"/>
          <w:szCs w:val="24"/>
        </w:rPr>
        <w:br w:type="page"/>
      </w: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lastRenderedPageBreak/>
        <w:t>1. Executiv</w:t>
      </w:r>
      <w:r w:rsidR="00A64DC9" w:rsidRPr="00BA698C">
        <w:rPr>
          <w:rFonts w:ascii="Times New Roman" w:hAnsi="Times New Roman" w:cs="Times New Roman"/>
          <w:color w:val="002040"/>
          <w:sz w:val="24"/>
          <w:szCs w:val="24"/>
        </w:rPr>
        <w:t>e context</w:t>
      </w:r>
      <w:r w:rsidRPr="00BA698C">
        <w:rPr>
          <w:rFonts w:ascii="Times New Roman" w:hAnsi="Times New Roman" w:cs="Times New Roman"/>
          <w:color w:val="002040"/>
          <w:sz w:val="24"/>
          <w:szCs w:val="24"/>
        </w:rPr>
        <w:t xml:space="preserve"> and success definition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The relaunched In2IT EBS website operates as the company’s primary enterprise credibility platform. It establishes In2IT EBS as an AI-led transformation partner with SAP depth, adjacent platform capability, advisory credibility, digital engineering strength and a common delivery engine.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 xml:space="preserve">The website builds confidence before a sales conversation begins. Every page </w:t>
      </w:r>
      <w:proofErr w:type="gramStart"/>
      <w:r w:rsidRPr="00BA698C">
        <w:rPr>
          <w:rFonts w:ascii="Times New Roman" w:hAnsi="Times New Roman" w:cs="Times New Roman"/>
          <w:sz w:val="24"/>
          <w:szCs w:val="24"/>
        </w:rPr>
        <w:t>answers</w:t>
      </w:r>
      <w:proofErr w:type="gramEnd"/>
      <w:r w:rsidRPr="00BA698C">
        <w:rPr>
          <w:rFonts w:ascii="Times New Roman" w:hAnsi="Times New Roman" w:cs="Times New Roman"/>
          <w:sz w:val="24"/>
          <w:szCs w:val="24"/>
        </w:rPr>
        <w:t xml:space="preserve"> four questions: what In2IT EBS does, why the company is credible, where the proof sits, and what the visitor’s next commercial action is.</w:t>
      </w:r>
    </w:p>
    <w:tbl>
      <w:tblPr>
        <w:tblW w:w="0" w:type="auto"/>
        <w:jc w:val="center"/>
        <w:tblLook w:val="04A0" w:firstRow="1" w:lastRow="0" w:firstColumn="1" w:lastColumn="0" w:noHBand="0" w:noVBand="1"/>
      </w:tblPr>
      <w:tblGrid>
        <w:gridCol w:w="10224"/>
      </w:tblGrid>
      <w:tr w:rsidR="00626C09" w:rsidRPr="00BA698C">
        <w:trPr>
          <w:jc w:val="center"/>
        </w:trPr>
        <w:tc>
          <w:tcPr>
            <w:tcW w:w="10224" w:type="dxa"/>
            <w:shd w:val="clear" w:color="auto" w:fill="002040"/>
            <w:tcMar>
              <w:top w:w="120" w:type="dxa"/>
              <w:left w:w="160" w:type="dxa"/>
              <w:bottom w:w="120" w:type="dxa"/>
              <w:right w:w="16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One accountable partner for AI-led enterprise transformation across Platforms, Advisory and Digital Engineering - with SAP-led enterprise transformation at the centre and Converged Intelligence as the operating principle.</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1.1 Business outcomes the content must enable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Create instant enterprise trust by leading with SAP Gold Partner credentials, global footprint, certified capabilities and named proof points.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Make the three-pillar structure easy to understand so visitors do not experience the website as a scattered catalogue of unrelated services.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Route different buyer types - CIOs, transformation leaders, SAP programme owners, HR leaders, procurement leaders, data and AI leaders, and industry stakeholders - to the right service pages within one or two clicks.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Turn high-intent service pages into conversion points through relevant CTAs, proof cards, decision tools and direct contact routes.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Create a website content system that sales can reuse in proposals, outreach, account-based marketing and follow-up conversations.</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1.2 Launch success criteria</w:t>
      </w:r>
    </w:p>
    <w:tbl>
      <w:tblPr>
        <w:tblStyle w:val="TableGrid"/>
        <w:tblW w:w="0" w:type="auto"/>
        <w:jc w:val="center"/>
        <w:tblLook w:val="04A0" w:firstRow="1" w:lastRow="0" w:firstColumn="1" w:lastColumn="0" w:noHBand="0" w:noVBand="1"/>
      </w:tblPr>
      <w:tblGrid>
        <w:gridCol w:w="2304"/>
        <w:gridCol w:w="7056"/>
      </w:tblGrid>
      <w:tr w:rsidR="00626C09" w:rsidRPr="00BA698C">
        <w:trPr>
          <w:jc w:val="center"/>
        </w:trPr>
        <w:tc>
          <w:tcPr>
            <w:tcW w:w="230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Success area</w:t>
            </w:r>
          </w:p>
        </w:tc>
        <w:tc>
          <w:tcPr>
            <w:tcW w:w="705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Launch condition</w:t>
            </w:r>
          </w:p>
        </w:tc>
      </w:tr>
      <w:tr w:rsidR="00626C09" w:rsidRPr="00BA698C">
        <w:trPr>
          <w:jc w:val="center"/>
        </w:trPr>
        <w:tc>
          <w:tcPr>
            <w:tcW w:w="230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Clarity</w:t>
            </w:r>
          </w:p>
        </w:tc>
        <w:tc>
          <w:tcPr>
            <w:tcW w:w="70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 first-time visitor can understand the company positioning, three pillars and one-accountable-partner promise from the homepage alone.</w:t>
            </w:r>
          </w:p>
        </w:tc>
      </w:tr>
      <w:tr w:rsidR="00626C09" w:rsidRPr="00BA698C">
        <w:trPr>
          <w:jc w:val="center"/>
        </w:trPr>
        <w:tc>
          <w:tcPr>
            <w:tcW w:w="230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Credibility</w:t>
            </w:r>
          </w:p>
        </w:tc>
        <w:tc>
          <w:tcPr>
            <w:tcW w:w="70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All major proof claims are tied to the leadership deck, named clients, case-study modules or controlled source notes.</w:t>
            </w:r>
          </w:p>
        </w:tc>
      </w:tr>
      <w:tr w:rsidR="00626C09" w:rsidRPr="00BA698C">
        <w:trPr>
          <w:jc w:val="center"/>
        </w:trPr>
        <w:tc>
          <w:tcPr>
            <w:tcW w:w="230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Conversion</w:t>
            </w:r>
          </w:p>
        </w:tc>
        <w:tc>
          <w:tcPr>
            <w:tcW w:w="70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Every high-intent page has a next step: talk to an expert, book a discovery workshop, request a Pathway Assessment, request a Health Check briefing, or request the full case study.</w:t>
            </w:r>
          </w:p>
        </w:tc>
      </w:tr>
      <w:tr w:rsidR="00626C09" w:rsidRPr="00BA698C">
        <w:trPr>
          <w:jc w:val="center"/>
        </w:trPr>
        <w:tc>
          <w:tcPr>
            <w:tcW w:w="230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Consistency</w:t>
            </w:r>
          </w:p>
        </w:tc>
        <w:tc>
          <w:tcPr>
            <w:tcW w:w="70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All pages use the same pillar naming, service hierarchy, metrics, CTA language and proof vocabulary.</w:t>
            </w:r>
          </w:p>
        </w:tc>
      </w:tr>
      <w:tr w:rsidR="00626C09" w:rsidRPr="00BA698C">
        <w:trPr>
          <w:jc w:val="center"/>
        </w:trPr>
        <w:tc>
          <w:tcPr>
            <w:tcW w:w="230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Readiness</w:t>
            </w:r>
          </w:p>
        </w:tc>
        <w:tc>
          <w:tcPr>
            <w:tcW w:w="70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No page goes live with unresolved factual conflicts, missing case-study permissions, unapproved partner logos or unverified leadership/company figures.</w:t>
            </w:r>
          </w:p>
        </w:tc>
      </w:tr>
    </w:tbl>
    <w:p w:rsidR="00626C09" w:rsidRPr="00BA698C" w:rsidRDefault="00626C09">
      <w:pPr>
        <w:rPr>
          <w:rFonts w:ascii="Times New Roman" w:hAnsi="Times New Roman" w:cs="Times New Roman"/>
          <w:sz w:val="24"/>
          <w:szCs w:val="24"/>
        </w:rPr>
      </w:pP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2. Source hierarchy, claim control and decision register</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The Corporate Capability deck is the controlling source for this plan. The content team must not introduce new service claims, scale claims, client names, partner names, performance metrics or delivery statistics unless leadership has approved them and the claim can be traced to an internal source.</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2.1 Source hierarchy</w:t>
      </w:r>
    </w:p>
    <w:tbl>
      <w:tblPr>
        <w:tblStyle w:val="TableGrid"/>
        <w:tblW w:w="0" w:type="auto"/>
        <w:jc w:val="center"/>
        <w:tblLook w:val="04A0" w:firstRow="1" w:lastRow="0" w:firstColumn="1" w:lastColumn="0" w:noHBand="0" w:noVBand="1"/>
      </w:tblPr>
      <w:tblGrid>
        <w:gridCol w:w="1008"/>
        <w:gridCol w:w="3168"/>
        <w:gridCol w:w="5184"/>
      </w:tblGrid>
      <w:tr w:rsidR="00626C09" w:rsidRPr="00BA698C">
        <w:trPr>
          <w:jc w:val="center"/>
        </w:trPr>
        <w:tc>
          <w:tcPr>
            <w:tcW w:w="100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Level</w:t>
            </w:r>
          </w:p>
        </w:tc>
        <w:tc>
          <w:tcPr>
            <w:tcW w:w="316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Source</w:t>
            </w:r>
          </w:p>
        </w:tc>
        <w:tc>
          <w:tcPr>
            <w:tcW w:w="518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How it controls the website</w:t>
            </w:r>
          </w:p>
        </w:tc>
      </w:tr>
      <w:tr w:rsidR="00626C09" w:rsidRPr="00BA698C">
        <w:trPr>
          <w:jc w:val="center"/>
        </w:trPr>
        <w:tc>
          <w:tcPr>
            <w:tcW w:w="10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1</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Corporate Capability deck, Deck 2, May 2026</w:t>
            </w:r>
          </w:p>
        </w:tc>
        <w:tc>
          <w:tcPr>
            <w:tcW w:w="518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authority for positioning, pillars, services, proof metrics, case studies, partner ecosystem and delivery model.</w:t>
            </w:r>
          </w:p>
        </w:tc>
      </w:tr>
      <w:tr w:rsidR="00626C09" w:rsidRPr="00BA698C">
        <w:trPr>
          <w:jc w:val="center"/>
        </w:trPr>
        <w:tc>
          <w:tcPr>
            <w:tcW w:w="10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2</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Leadership-approved clarifications</w:t>
            </w:r>
          </w:p>
        </w:tc>
        <w:tc>
          <w:tcPr>
            <w:tcW w:w="518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Used to resolve inconsistent metrics, final leadership bios, final office details, updated case-study permissions and legal language.</w:t>
            </w:r>
          </w:p>
        </w:tc>
      </w:tr>
      <w:tr w:rsidR="00626C09" w:rsidRPr="00BA698C">
        <w:trPr>
          <w:jc w:val="center"/>
        </w:trPr>
        <w:tc>
          <w:tcPr>
            <w:tcW w:w="10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3</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Current website</w:t>
            </w:r>
          </w:p>
        </w:tc>
        <w:tc>
          <w:tcPr>
            <w:tcW w:w="518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Used only as migration context for existing pages, not as authority where it conflicts with the deck.</w:t>
            </w:r>
          </w:p>
        </w:tc>
      </w:tr>
      <w:tr w:rsidR="00626C09" w:rsidRPr="00BA698C">
        <w:trPr>
          <w:jc w:val="center"/>
        </w:trPr>
        <w:tc>
          <w:tcPr>
            <w:tcW w:w="10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4</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Marketing and SEO controls</w:t>
            </w:r>
          </w:p>
        </w:tc>
        <w:tc>
          <w:tcPr>
            <w:tcW w:w="518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Allowed only when they improve findability or conversion without altering deck-sourced claims.</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2.2 Locked proof and metric register</w:t>
      </w:r>
    </w:p>
    <w:tbl>
      <w:tblPr>
        <w:tblStyle w:val="TableGrid"/>
        <w:tblW w:w="0" w:type="auto"/>
        <w:jc w:val="center"/>
        <w:tblLook w:val="04A0" w:firstRow="1" w:lastRow="0" w:firstColumn="1" w:lastColumn="0" w:noHBand="0" w:noVBand="1"/>
      </w:tblPr>
      <w:tblGrid>
        <w:gridCol w:w="2088"/>
        <w:gridCol w:w="4320"/>
        <w:gridCol w:w="2880"/>
      </w:tblGrid>
      <w:tr w:rsidR="00626C09" w:rsidRPr="00BA698C">
        <w:trPr>
          <w:jc w:val="center"/>
        </w:trPr>
        <w:tc>
          <w:tcPr>
            <w:tcW w:w="208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Area</w:t>
            </w:r>
          </w:p>
        </w:tc>
        <w:tc>
          <w:tcPr>
            <w:tcW w:w="432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Approved figure / phrase</w:t>
            </w:r>
          </w:p>
        </w:tc>
        <w:tc>
          <w:tcPr>
            <w:tcW w:w="288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Website usage</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Corporate scale</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10+ years of experience; 380+ employees; 150+ global customers; 30+ countries delivered; 14+ industry verticals; 12+ packaged accelerators; 12+ strategic partners; 10+ proprietary accelerators.</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consistently in Home, Who We Are, Why In2IT EBS and footer proof modules.</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Footprint and credentials</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4 delivery centres: Bengaluru, Hyderabad, Delhi NCR, Bhubaneswar. 6 sales offices: Mumbai, Chennai, Singapore, Dubai, Nairobi, Johannesburg. SAP Gold Partner; RISE with SAP; PCE Partner; Salesforce Partner; Workday Services; CMMI; ISO 9001; ISO 27001.</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in About, Contact, footer, trust bands and SAP pages.</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practice</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Gold Partner; 300+ consultants; 1,000+ combined years of SAP experience; 50+ SAP clients across named industries.</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 SAP page, Platform Services page, Home trust strip and SAP mega-menu entries.</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S/4HANA programmes</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Up to 30% faster go-live vs benchmark; 25+ S/4HANA programmes delivered; 100% go-live success rate.</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 xml:space="preserve">Use in S/4HANA route section with source note: internal programme data </w:t>
            </w:r>
            <w:r w:rsidRPr="00BA698C">
              <w:rPr>
                <w:rFonts w:ascii="Times New Roman" w:hAnsi="Times New Roman" w:cs="Times New Roman"/>
                <w:color w:val="141414"/>
                <w:sz w:val="24"/>
                <w:szCs w:val="24"/>
              </w:rPr>
              <w:lastRenderedPageBreak/>
              <w:t>across 25+ S/4HANA implementations, 2019-2026.</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Migration practice</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99.5% average data migration accuracy; 3+ migration mock-load cycles per programme; 100% successful cutover rate.</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in SAP migrations section and Syniti data management section.</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SuccessFactors / HXM</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125+ projects delivered; 87+ certified HXM consultants; 10+ live proofs of concept; 100% success rate on HR transformation projects.</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in SAP HXM and SuccessFactors pages.</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Health Check 360</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 xml:space="preserve">30-40% reduction in customisation debt; 25% lift in monthly active users; 2x faster Joule/AI activation; </w:t>
            </w:r>
            <w:proofErr w:type="gramStart"/>
            <w:r w:rsidRPr="00BA698C">
              <w:rPr>
                <w:rFonts w:ascii="Times New Roman" w:hAnsi="Times New Roman" w:cs="Times New Roman"/>
                <w:color w:val="141414"/>
                <w:sz w:val="24"/>
                <w:szCs w:val="24"/>
              </w:rPr>
              <w:t>4-6 week</w:t>
            </w:r>
            <w:proofErr w:type="gramEnd"/>
            <w:r w:rsidRPr="00BA698C">
              <w:rPr>
                <w:rFonts w:ascii="Times New Roman" w:hAnsi="Times New Roman" w:cs="Times New Roman"/>
                <w:color w:val="141414"/>
                <w:sz w:val="24"/>
                <w:szCs w:val="24"/>
              </w:rPr>
              <w:t xml:space="preserve"> typical engagement; benchmark dataset of 200+ companies across 12 sectors.</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 SAP SuccessFactors diagnostic page and conversion assets.</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Concur</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25+ Concur implementations; 12-week average go-live; 4 country tax configurations.</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 SAP Concur section/page.</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Ariba</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15+ Ariba programmes delivered; 40% average P2P cycle-time cut; S/4 native integration.</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 SAP Ariba section/page.</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Joule</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10+ Joule rollouts; 2 custom Joule Studio agents and skills in production; 60+ Joule practitioners.</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 SAP Joule capability section/page.</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Clean-core extensibility</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8+ proprietary BTP-based extensions in production; extension accelerators reduce time-to-value by 40%.</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 BTP/clean-core section.</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Syniti data management</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20+ ECC-to-S/4 migrations; 99.5% data integrity at cutover; 3x faster than manual ETL.</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in Syniti practice section with careful source labelling.</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Delivery excellence</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FastForward method; 16-week AMS transition; development factory; one delivery engine.</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in Delivery Excellence page and SAP service-proof modules.</w:t>
            </w:r>
          </w:p>
        </w:tc>
      </w:tr>
    </w:tbl>
    <w:p w:rsidR="00626C09" w:rsidRPr="00BA698C" w:rsidRDefault="00626C09" w:rsidP="00E94514">
      <w:pPr>
        <w:pStyle w:val="Heading2"/>
        <w:spacing w:before="160" w:after="80"/>
        <w:rPr>
          <w:rFonts w:ascii="Times New Roman" w:hAnsi="Times New Roman" w:cs="Times New Roman"/>
          <w:szCs w:val="24"/>
        </w:rPr>
      </w:pP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3. Strategic positioning and message architecture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The content system is built around a strict hierarchy of messages. The website does not repeat generic transformation language across pages; each level carries a specific commercial role.</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lastRenderedPageBreak/>
        <w:t>3.1 Master narrative</w:t>
      </w:r>
    </w:p>
    <w:tbl>
      <w:tblPr>
        <w:tblW w:w="0" w:type="auto"/>
        <w:jc w:val="center"/>
        <w:tblLook w:val="04A0" w:firstRow="1" w:lastRow="0" w:firstColumn="1" w:lastColumn="0" w:noHBand="0" w:noVBand="1"/>
      </w:tblPr>
      <w:tblGrid>
        <w:gridCol w:w="10224"/>
      </w:tblGrid>
      <w:tr w:rsidR="00626C09" w:rsidRPr="00BA698C">
        <w:trPr>
          <w:jc w:val="center"/>
        </w:trPr>
        <w:tc>
          <w:tcPr>
            <w:tcW w:w="10224" w:type="dxa"/>
            <w:shd w:val="clear" w:color="auto" w:fill="002040"/>
            <w:tcMar>
              <w:top w:w="120" w:type="dxa"/>
              <w:left w:w="160" w:type="dxa"/>
              <w:bottom w:w="120" w:type="dxa"/>
              <w:right w:w="16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Primary website positioning</w:t>
            </w:r>
          </w:p>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An AI-led enterprise transformation company across Platforms, Advisory and Digital Engineering.</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Supporting line: A decade of enterprise transformation, delivered globally. Built for complex SAP-led programmes with adjacent capability across Salesforce, Workday, Digital, Data and AI.</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3.2 Message pillars</w:t>
      </w:r>
    </w:p>
    <w:tbl>
      <w:tblPr>
        <w:tblStyle w:val="TableGrid"/>
        <w:tblW w:w="0" w:type="auto"/>
        <w:jc w:val="center"/>
        <w:tblLook w:val="04A0" w:firstRow="1" w:lastRow="0" w:firstColumn="1" w:lastColumn="0" w:noHBand="0" w:noVBand="1"/>
      </w:tblPr>
      <w:tblGrid>
        <w:gridCol w:w="2160"/>
        <w:gridCol w:w="4752"/>
        <w:gridCol w:w="2448"/>
      </w:tblGrid>
      <w:tr w:rsidR="00626C09" w:rsidRPr="00BA698C">
        <w:trPr>
          <w:jc w:val="center"/>
        </w:trPr>
        <w:tc>
          <w:tcPr>
            <w:tcW w:w="216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Message pillar</w:t>
            </w:r>
          </w:p>
        </w:tc>
        <w:tc>
          <w:tcPr>
            <w:tcW w:w="475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What it must say</w:t>
            </w:r>
          </w:p>
        </w:tc>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Where it appears</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One Accountable Partner</w:t>
            </w:r>
          </w:p>
        </w:tc>
        <w:tc>
          <w:tcPr>
            <w:tcW w:w="475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Integrated ownership across consulting, implementation, support and ongoing transformation - never fragmented vendors.</w:t>
            </w:r>
          </w:p>
        </w:tc>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What We Do, Why In2IT EBS, Delivery Excellence, Contact CTAs.</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SAP-led credibility</w:t>
            </w:r>
          </w:p>
        </w:tc>
        <w:tc>
          <w:tcPr>
            <w:tcW w:w="475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Gold Partner credentials, 300+ SAP consultants, 1,000+ combined years of SAP experience and deep S/4HANA, SuccessFactors, Ariba, Concur, SAC, BTP and Joule capability.</w:t>
            </w:r>
          </w:p>
        </w:tc>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trust modules, Platform Services, SAP flagship, SAP sub-pages, case studies.</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Three-pillar enterprise model</w:t>
            </w:r>
          </w:p>
        </w:tc>
        <w:tc>
          <w:tcPr>
            <w:tcW w:w="475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Platforms, Advisory and Digital/Data/AI are distinct but connected through shared delivery, governance and account ownership.</w:t>
            </w:r>
          </w:p>
        </w:tc>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About, What We Do, mega-menu, footer, sales-routing content.</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Converged Intelligence</w:t>
            </w:r>
          </w:p>
        </w:tc>
        <w:tc>
          <w:tcPr>
            <w:tcW w:w="475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Clear practice ownership, common delivery engine and AI woven across every pillar.</w:t>
            </w:r>
          </w:p>
        </w:tc>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feature band, SAP page, Why In2IT EBS, Digital/Data/AI and delivery pages.</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Proof over promise</w:t>
            </w:r>
          </w:p>
        </w:tc>
        <w:tc>
          <w:tcPr>
            <w:tcW w:w="475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Named clients, measurable outcomes, partner credentials, case-study stories and decision aids must be surfaced before descriptive content becomes long.</w:t>
            </w:r>
          </w:p>
        </w:tc>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case-study pages, industry pages, service proof bands.</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3.3 Tone and copy rules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Public-facing copy uses decisive, enterprise-ready language. Prohibited wording includes: can, supports, proposed, improvement and nice to have.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Write for senior buyers first, then provide technical depth through expandable sections, jump menus and sub-pages.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Lead each page with business relevance, then proof, then service depth, then conversion action.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lastRenderedPageBreak/>
        <w:t>Use SAP, Salesforce, Workday, cloud, AI and delivery terminology accurately but always anchor technical depth to business outcomes.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Never create a new statistic by combining two figures. Each metric must appear exactly as approved and sourced.</w:t>
      </w: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4. Audience strategy and buyer journeys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The website supports multiple buying journeys without fragmenting the narrative. The top-level structure remains stable while CTAs, proof modules and page paths adapt to visitor intent.</w:t>
      </w:r>
    </w:p>
    <w:tbl>
      <w:tblPr>
        <w:tblStyle w:val="TableGrid"/>
        <w:tblW w:w="0" w:type="auto"/>
        <w:jc w:val="center"/>
        <w:tblLook w:val="04A0" w:firstRow="1" w:lastRow="0" w:firstColumn="1" w:lastColumn="0" w:noHBand="0" w:noVBand="1"/>
      </w:tblPr>
      <w:tblGrid>
        <w:gridCol w:w="2232"/>
        <w:gridCol w:w="3168"/>
        <w:gridCol w:w="2880"/>
        <w:gridCol w:w="2146"/>
      </w:tblGrid>
      <w:tr w:rsidR="00626C09" w:rsidRPr="00BA698C">
        <w:trPr>
          <w:jc w:val="center"/>
        </w:trPr>
        <w:tc>
          <w:tcPr>
            <w:tcW w:w="223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Audience</w:t>
            </w:r>
          </w:p>
        </w:tc>
        <w:tc>
          <w:tcPr>
            <w:tcW w:w="316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Primary concern</w:t>
            </w:r>
          </w:p>
        </w:tc>
        <w:tc>
          <w:tcPr>
            <w:tcW w:w="288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path</w:t>
            </w:r>
          </w:p>
        </w:tc>
        <w:tc>
          <w:tcPr>
            <w:tcW w:w="201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Conversion action</w:t>
            </w:r>
          </w:p>
        </w:tc>
      </w:tr>
      <w:tr w:rsidR="00626C09" w:rsidRPr="00BA698C">
        <w:trPr>
          <w:jc w:val="center"/>
        </w:trPr>
        <w:tc>
          <w:tcPr>
            <w:tcW w:w="223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CIO / CTO / digital transformation leader</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Can this partner manage complex transformation with accountability?</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-&gt; What We Do -&gt; Why In2IT EBS -&gt; Delivery Excellence -&gt; Contact</w:t>
            </w:r>
          </w:p>
        </w:tc>
        <w:tc>
          <w:tcPr>
            <w:tcW w:w="201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Book a discovery workshop.</w:t>
            </w:r>
          </w:p>
        </w:tc>
      </w:tr>
      <w:tr w:rsidR="00626C09" w:rsidRPr="00BA698C">
        <w:trPr>
          <w:jc w:val="center"/>
        </w:trPr>
        <w:tc>
          <w:tcPr>
            <w:tcW w:w="223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programme owner</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Can this SAP Gold Partner deliver S/4HANA, migration, data, extensions and AMS reliably?</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-&gt; Platform Services -&gt; SAP -&gt; S/4HANA / migrations / Syniti / Delivery Toolchain</w:t>
            </w:r>
          </w:p>
        </w:tc>
        <w:tc>
          <w:tcPr>
            <w:tcW w:w="201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SAP transformation discussion or Pathway Assessment.</w:t>
            </w:r>
          </w:p>
        </w:tc>
      </w:tr>
      <w:tr w:rsidR="00626C09" w:rsidRPr="00BA698C">
        <w:trPr>
          <w:jc w:val="center"/>
        </w:trPr>
        <w:tc>
          <w:tcPr>
            <w:tcW w:w="223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CHRO / HR transformation leader</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Can the firm modernise HR systems and activate AI in SuccessFactors?</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-&gt; SAP -&gt; SuccessFactors / Health Check 360</w:t>
            </w:r>
          </w:p>
        </w:tc>
        <w:tc>
          <w:tcPr>
            <w:tcW w:w="201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Health Check briefing.</w:t>
            </w:r>
          </w:p>
        </w:tc>
      </w:tr>
      <w:tr w:rsidR="00626C09" w:rsidRPr="00BA698C">
        <w:trPr>
          <w:jc w:val="center"/>
        </w:trPr>
        <w:tc>
          <w:tcPr>
            <w:tcW w:w="223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Finance / procurement leader</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Can the partner optimise travel, expense, invoicing and source-to-pay?</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-&gt; SAP -&gt; Concur / Ariba</w:t>
            </w:r>
          </w:p>
        </w:tc>
        <w:tc>
          <w:tcPr>
            <w:tcW w:w="201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Speak to SAP finance/procurement expert.</w:t>
            </w:r>
          </w:p>
        </w:tc>
      </w:tr>
      <w:tr w:rsidR="00626C09" w:rsidRPr="00BA698C">
        <w:trPr>
          <w:jc w:val="center"/>
        </w:trPr>
        <w:tc>
          <w:tcPr>
            <w:tcW w:w="223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Data / AI leader</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Can the firm build applied AI, data platforms and industrial AI outcomes?</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-&gt; Digital, Data &amp; AI -&gt; AI &amp; Automation / Data &amp; Analytics</w:t>
            </w:r>
          </w:p>
        </w:tc>
        <w:tc>
          <w:tcPr>
            <w:tcW w:w="201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Start AI opportunity mapping discussion.</w:t>
            </w:r>
          </w:p>
        </w:tc>
      </w:tr>
      <w:tr w:rsidR="00626C09" w:rsidRPr="00BA698C">
        <w:trPr>
          <w:jc w:val="center"/>
        </w:trPr>
        <w:tc>
          <w:tcPr>
            <w:tcW w:w="223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Industry stakeholder</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Has In2IT EBS worked in my sector?</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-&gt; Industries -&gt; sector page -&gt; relevant case studies</w:t>
            </w:r>
          </w:p>
        </w:tc>
        <w:tc>
          <w:tcPr>
            <w:tcW w:w="201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relevant case study / consultation.</w:t>
            </w:r>
          </w:p>
        </w:tc>
      </w:tr>
      <w:tr w:rsidR="00626C09" w:rsidRPr="00BA698C">
        <w:trPr>
          <w:jc w:val="center"/>
        </w:trPr>
        <w:tc>
          <w:tcPr>
            <w:tcW w:w="223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 / alliance stakeholder</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How does In2IT EBS fit into the technology ecosystem?</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Partners &amp; Ecosystem -&gt; relevant service page</w:t>
            </w:r>
          </w:p>
        </w:tc>
        <w:tc>
          <w:tcPr>
            <w:tcW w:w="201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Start alliance or joint solution conversation.</w:t>
            </w:r>
          </w:p>
        </w:tc>
      </w:tr>
      <w:tr w:rsidR="00626C09" w:rsidRPr="00BA698C">
        <w:trPr>
          <w:jc w:val="center"/>
        </w:trPr>
        <w:tc>
          <w:tcPr>
            <w:tcW w:w="223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Job seeker</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What does the company do and where can I fit?</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Careers -&gt; culture -&gt; openings</w:t>
            </w:r>
          </w:p>
        </w:tc>
        <w:tc>
          <w:tcPr>
            <w:tcW w:w="201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Apply / submit interest.</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4.1 Buyer journey rules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Every service page must include at least one proof element within the first screen or immediately after the hero section.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Every long page must include contextual CTAs, not only a generic Contact link at the end.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lastRenderedPageBreak/>
        <w:t>Every case-study page must link back to the relevant service page and industry page, so the proof supports commercial navigation.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SAP flagship page must serve both skimmers and deep technical evaluators through a sticky jump menu and modular sections.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Industry pages remain proof-led and must not become generic sector descriptions.</w:t>
      </w: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5. Information architecture and navigation action plan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The information architecture must mirror the enterprise structure in the leadership deck. This makes the website, sales deck and leadership narrative work as one system.</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5.1 Launch site map</w:t>
      </w:r>
    </w:p>
    <w:tbl>
      <w:tblPr>
        <w:tblStyle w:val="TableGrid"/>
        <w:tblW w:w="0" w:type="auto"/>
        <w:jc w:val="center"/>
        <w:tblLook w:val="04A0" w:firstRow="1" w:lastRow="0" w:firstColumn="1" w:lastColumn="0" w:noHBand="0" w:noVBand="1"/>
      </w:tblPr>
      <w:tblGrid>
        <w:gridCol w:w="1944"/>
        <w:gridCol w:w="5184"/>
        <w:gridCol w:w="2808"/>
      </w:tblGrid>
      <w:tr w:rsidR="00626C09" w:rsidRPr="00BA698C">
        <w:trPr>
          <w:jc w:val="center"/>
        </w:trPr>
        <w:tc>
          <w:tcPr>
            <w:tcW w:w="194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Top-level area</w:t>
            </w:r>
          </w:p>
        </w:tc>
        <w:tc>
          <w:tcPr>
            <w:tcW w:w="518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Launch pages</w:t>
            </w:r>
          </w:p>
        </w:tc>
        <w:tc>
          <w:tcPr>
            <w:tcW w:w="280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Purpose</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w:t>
            </w:r>
          </w:p>
        </w:tc>
        <w:tc>
          <w:tcPr>
            <w:tcW w:w="518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positioning, proof, pillar routing and conversion.</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Who We Are</w:t>
            </w:r>
          </w:p>
        </w:tc>
        <w:tc>
          <w:tcPr>
            <w:tcW w:w="518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About / Who We Are</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Company structure, footprint, credentials and leadership trust.</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What We Do</w:t>
            </w:r>
          </w:p>
        </w:tc>
        <w:tc>
          <w:tcPr>
            <w:tcW w:w="518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Hub page; Platform Services; SAP; RISE vs GROW; Salesforce; Workday; Advisory Services; Digital, Data &amp; AI; Application Engineering; AI &amp; Automation; Data &amp; Analytics; Integration &amp; Cloud; Delivery Excellence</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Service hierarchy and commercial routes into the three pillars.</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Industries</w:t>
            </w:r>
          </w:p>
        </w:tc>
        <w:tc>
          <w:tcPr>
            <w:tcW w:w="518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Industry index; sector pages for key served industries</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Sector-specific relevance and case-study routing.</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Clients &amp; Case Studies</w:t>
            </w:r>
          </w:p>
        </w:tc>
        <w:tc>
          <w:tcPr>
            <w:tcW w:w="518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Case-study index; individual case-study pages; confidential case-study request path</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Proof library and high-intent lead capture.</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Partners &amp; Ecosystem</w:t>
            </w:r>
          </w:p>
        </w:tc>
        <w:tc>
          <w:tcPr>
            <w:tcW w:w="518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 ecosystem page</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Trust through certified alliances and technology ecosystem.</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Why In2IT EBS</w:t>
            </w:r>
          </w:p>
        </w:tc>
        <w:tc>
          <w:tcPr>
            <w:tcW w:w="518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Differentiation page</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Four-reason enterprise buying argument.</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Insights</w:t>
            </w:r>
          </w:p>
        </w:tc>
        <w:tc>
          <w:tcPr>
            <w:tcW w:w="518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Insights index; article templates</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Thought leadership and search-led discovery.</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Careers</w:t>
            </w:r>
          </w:p>
        </w:tc>
        <w:tc>
          <w:tcPr>
            <w:tcW w:w="518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Careers / opportunities</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Talent credibility and recruitment support.</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Contact</w:t>
            </w:r>
          </w:p>
        </w:tc>
        <w:tc>
          <w:tcPr>
            <w:tcW w:w="518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Contact; thank-you page; legal pages</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Conversion, routing, compliance and trust closure.</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lastRenderedPageBreak/>
        <w:t>5.2 Primary navigation actions</w:t>
      </w:r>
    </w:p>
    <w:tbl>
      <w:tblPr>
        <w:tblStyle w:val="TableGrid"/>
        <w:tblW w:w="0" w:type="auto"/>
        <w:jc w:val="center"/>
        <w:tblLook w:val="04A0" w:firstRow="1" w:lastRow="0" w:firstColumn="1" w:lastColumn="0" w:noHBand="0" w:noVBand="1"/>
      </w:tblPr>
      <w:tblGrid>
        <w:gridCol w:w="2160"/>
        <w:gridCol w:w="4320"/>
        <w:gridCol w:w="2880"/>
      </w:tblGrid>
      <w:tr w:rsidR="00626C09" w:rsidRPr="00BA698C">
        <w:trPr>
          <w:jc w:val="center"/>
        </w:trPr>
        <w:tc>
          <w:tcPr>
            <w:tcW w:w="216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Navigation component</w:t>
            </w:r>
          </w:p>
        </w:tc>
        <w:tc>
          <w:tcPr>
            <w:tcW w:w="432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Action required</w:t>
            </w:r>
          </w:p>
        </w:tc>
        <w:tc>
          <w:tcPr>
            <w:tcW w:w="288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rule</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Mega-menu</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Group all services under Platform Services, Advisory Services, Digital/Data/AI and Delivery Excellence.</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Do not list services alphabetically; structure must reinforce the three-pillar story.</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Gold Partner badge</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Place in the top bar and approved SAP page trust zones.</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official badge only after usage approval.</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CTA button</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one persistent action: Book a discovery workshop / Let us talk about your transformation.</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Button links to Contact with area-of-interest tracking enabled wherever the build supports it.</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Region selector</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Support India, Singapore, Middle East, Kenya and South Africa routing.</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Region selection influences office and contact emphasis without creating separate or inconsistent copy.</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Footer</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Repeat pillars, SAP service depth, industries, case studies, partner ecosystem, credentials, offices, legal and contact.</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Footer must reinforce trust and utility, not become a dumping ground.</w:t>
            </w:r>
          </w:p>
        </w:tc>
      </w:tr>
    </w:tbl>
    <w:p w:rsidR="00626C09" w:rsidRPr="00BA698C" w:rsidRDefault="00626C09">
      <w:pPr>
        <w:rPr>
          <w:rFonts w:ascii="Times New Roman" w:hAnsi="Times New Roman" w:cs="Times New Roman"/>
          <w:sz w:val="24"/>
          <w:szCs w:val="24"/>
        </w:rPr>
      </w:pP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6. Global content system and reusable page components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The website build uses a controlled library of reusable content modules. These modules preserve consistency, accelerate production and give the design and development teams clear components to implement.</w:t>
      </w:r>
    </w:p>
    <w:tbl>
      <w:tblPr>
        <w:tblStyle w:val="TableGrid"/>
        <w:tblW w:w="0" w:type="auto"/>
        <w:jc w:val="center"/>
        <w:tblLook w:val="04A0" w:firstRow="1" w:lastRow="0" w:firstColumn="1" w:lastColumn="0" w:noHBand="0" w:noVBand="1"/>
      </w:tblPr>
      <w:tblGrid>
        <w:gridCol w:w="1944"/>
        <w:gridCol w:w="2808"/>
        <w:gridCol w:w="4608"/>
      </w:tblGrid>
      <w:tr w:rsidR="00626C09" w:rsidRPr="00BA698C">
        <w:trPr>
          <w:jc w:val="center"/>
        </w:trPr>
        <w:tc>
          <w:tcPr>
            <w:tcW w:w="194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Module</w:t>
            </w:r>
          </w:p>
        </w:tc>
        <w:tc>
          <w:tcPr>
            <w:tcW w:w="280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Purpose</w:t>
            </w:r>
          </w:p>
        </w:tc>
        <w:tc>
          <w:tcPr>
            <w:tcW w:w="460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Build directive</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banner</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State page promise and route action.</w:t>
            </w:r>
          </w:p>
        </w:tc>
        <w:tc>
          <w:tcPr>
            <w:tcW w:w="46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Every hero must include a one-line business promise, proof or credential when available, and one primary CTA.</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Proof band</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Surface deck metrics early.</w:t>
            </w:r>
          </w:p>
        </w:tc>
        <w:tc>
          <w:tcPr>
            <w:tcW w:w="46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approved figures only. Pair each number with a short label and a source note where needed.</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Pillar cards</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Create repeated navigation across the three-pillar system.</w:t>
            </w:r>
          </w:p>
        </w:tc>
        <w:tc>
          <w:tcPr>
            <w:tcW w:w="46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the same labels: Platform Services, Advisory Services, Digital, Data &amp; AI, Delivery Excellence.</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Case-study cards</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Turn proof into navigation.</w:t>
            </w:r>
          </w:p>
        </w:tc>
        <w:tc>
          <w:tcPr>
            <w:tcW w:w="46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Include client/sector, service, challenge, delivery and result. Use anonymised labels when required.</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 strip</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Show alliance credibility.</w:t>
            </w:r>
          </w:p>
        </w:tc>
        <w:tc>
          <w:tcPr>
            <w:tcW w:w="46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 xml:space="preserve">Group partners by Application Platforms, </w:t>
            </w:r>
            <w:r w:rsidRPr="00BA698C">
              <w:rPr>
                <w:rFonts w:ascii="Times New Roman" w:hAnsi="Times New Roman" w:cs="Times New Roman"/>
                <w:color w:val="141414"/>
                <w:sz w:val="24"/>
                <w:szCs w:val="24"/>
              </w:rPr>
              <w:lastRenderedPageBreak/>
              <w:t>Hyperscalers, Data &amp; Analytics and Specialised Partners.</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CTA band</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Convert interest into lead.</w:t>
            </w:r>
          </w:p>
        </w:tc>
        <w:tc>
          <w:tcPr>
            <w:tcW w:w="46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Tailor CTA language by page type: SAP expert, Pathway Assessment, Health Check briefing, full case study, discovery workshop.</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FAQ blocks</w:t>
            </w:r>
          </w:p>
        </w:tc>
        <w:tc>
          <w:tcPr>
            <w:tcW w:w="28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Remove buying friction.</w:t>
            </w:r>
          </w:p>
        </w:tc>
        <w:tc>
          <w:tcPr>
            <w:tcW w:w="460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on technical pages to answer fit, timeline, migration path, support and engagement questions.</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Source note</w:t>
            </w:r>
          </w:p>
        </w:tc>
        <w:tc>
          <w:tcPr>
            <w:tcW w:w="28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Protect credibility.</w:t>
            </w:r>
          </w:p>
        </w:tc>
        <w:tc>
          <w:tcPr>
            <w:tcW w:w="460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Add short source notes for internal programme data, case-study availability and confidential stories.</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6.1 CTA hierarchy</w:t>
      </w:r>
    </w:p>
    <w:tbl>
      <w:tblPr>
        <w:tblStyle w:val="TableGrid"/>
        <w:tblW w:w="0" w:type="auto"/>
        <w:jc w:val="center"/>
        <w:tblLook w:val="04A0" w:firstRow="1" w:lastRow="0" w:firstColumn="1" w:lastColumn="0" w:noHBand="0" w:noVBand="1"/>
      </w:tblPr>
      <w:tblGrid>
        <w:gridCol w:w="2448"/>
        <w:gridCol w:w="3168"/>
        <w:gridCol w:w="3744"/>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CTA type</w:t>
            </w:r>
          </w:p>
        </w:tc>
        <w:tc>
          <w:tcPr>
            <w:tcW w:w="316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Use where</w:t>
            </w:r>
          </w:p>
        </w:tc>
        <w:tc>
          <w:tcPr>
            <w:tcW w:w="374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Copy direction</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enterprise CTA</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 What We Do, Why In2IT EBS, Contact</w:t>
            </w:r>
          </w:p>
        </w:tc>
        <w:tc>
          <w:tcPr>
            <w:tcW w:w="37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Let us talk about your transformation / Book a discovery workshop.</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CTA</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Platform Services, SAP, S/4HANA, migrations, Syniti, Joule</w:t>
            </w:r>
          </w:p>
        </w:tc>
        <w:tc>
          <w:tcPr>
            <w:tcW w:w="37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Speak to an SAP transformation expert.</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Decision-tool CTA</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RISE vs GROW page</w:t>
            </w:r>
          </w:p>
        </w:tc>
        <w:tc>
          <w:tcPr>
            <w:tcW w:w="37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Start the 2-week Pathway Assessment.</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HR CTA</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SuccessFactors / Health Check 360</w:t>
            </w:r>
          </w:p>
        </w:tc>
        <w:tc>
          <w:tcPr>
            <w:tcW w:w="37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your Health Check 360 briefing.</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Case-study CTA</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 studies and industry pages</w:t>
            </w:r>
          </w:p>
        </w:tc>
        <w:tc>
          <w:tcPr>
            <w:tcW w:w="37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the full case study under NDA.</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Industry CTA</w:t>
            </w:r>
          </w:p>
        </w:tc>
        <w:tc>
          <w:tcPr>
            <w:tcW w:w="31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Industry pages</w:t>
            </w:r>
          </w:p>
        </w:tc>
        <w:tc>
          <w:tcPr>
            <w:tcW w:w="37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Discuss your sector transformation priorities.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 CTA</w:t>
            </w:r>
          </w:p>
        </w:tc>
        <w:tc>
          <w:tcPr>
            <w:tcW w:w="31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Partners page</w:t>
            </w:r>
          </w:p>
        </w:tc>
        <w:tc>
          <w:tcPr>
            <w:tcW w:w="37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Explore partnership-led transformation.</w:t>
            </w:r>
          </w:p>
        </w:tc>
      </w:tr>
    </w:tbl>
    <w:p w:rsidR="00626C09" w:rsidRPr="00BA698C" w:rsidRDefault="00626C09">
      <w:pPr>
        <w:rPr>
          <w:rFonts w:ascii="Times New Roman" w:hAnsi="Times New Roman" w:cs="Times New Roman"/>
          <w:sz w:val="24"/>
          <w:szCs w:val="24"/>
        </w:rPr>
      </w:pP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7. Page-by-page website action plan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This section defines content directives for every website page. Each page carries a clear business role, proof logic, CTA path, required source inputs and launch approval criteria.</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 Home page</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 xml:space="preserve">Act as the enterprise front door: establish AI-led positioning, SAP-led credibility, global scale and one-accountable-partner promise within </w:t>
            </w:r>
            <w:r w:rsidRPr="00BA698C">
              <w:rPr>
                <w:rFonts w:ascii="Times New Roman" w:hAnsi="Times New Roman" w:cs="Times New Roman"/>
                <w:color w:val="141414"/>
                <w:sz w:val="24"/>
                <w:szCs w:val="24"/>
              </w:rPr>
              <w:lastRenderedPageBreak/>
              <w:t>seconds.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C-suite buyers, transformation leaders, SAP stakeholders, alliance partners and prospects arriving from search, referrals or campaigns.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An AI-led enterprise transformation company across Platforms, Advisory and Digital Engineering. A decade of enterprise transformation, delivered globally.</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Book a discovery workshop / Explore what we do.</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transformation partner, SAP Gold Partner, AI-led transformation company, SAP services partner.</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Hero with positioning, two CTAs and a concise proof line.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At-a-glance proof band: 10+ years, 380+ employees, 150+ global customers, 30+ countries, 14+ industries, 12+ packaged accelerators, 12+ strategic partners and 10+ proprietary accelerators.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Three pillars plus Delivery Excellence cards.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Converged Intelligence feature band.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Signature strengths: Converged Intelligence Stack, Health Check 360 and FastForward.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Why In2IT EBS teaser with four reasons.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Client proof band, partner ecosystem strip, credentials strip and final contact band.</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Approved logo list, hero graphic direction, final headline sign-off, proof-band confirmation, featured case-study permissions.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homepage explains the company in one scroll.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proof metric differs from the approved register.</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At least one route exists to SAP, case studies and Contact.</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7.2 Who We Are</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Build institutional trust: structure, scale, footprint, credentials and leadership.</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buyers, procurement evaluators, partners, recruits and leadership stakeholders.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Three pillars. One converged enterprise.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Talk to us about your transformation agenda.</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 xml:space="preserve">About In2IT EBS, SAP Gold Partner India, enterprise transformation </w:t>
            </w:r>
            <w:r w:rsidRPr="00BA698C">
              <w:rPr>
                <w:rFonts w:ascii="Times New Roman" w:hAnsi="Times New Roman" w:cs="Times New Roman"/>
                <w:color w:val="141414"/>
                <w:sz w:val="24"/>
                <w:szCs w:val="24"/>
              </w:rPr>
              <w:lastRenderedPageBreak/>
              <w:t>company.</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Company structure diagram showing Platform Services, Advisory Services, Digital/Data/AI and shared delivery.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At-a-glance metrics and credentials.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Footprint block: 4 delivery centres and 6 sales offices.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Leadership section with Rudra Shankar Shatapathy and Parichay Joshi only unless leadership approves additional profiles.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Why the structure wins: alignment, enterprise positioning, cross-sell and AI-led future readiness.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Approved leadership headshots and bios, final office list, certification/logo approvals.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unapproved executive names appear.</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Office footprint matches the locked register.</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Company narrative reinforces the three-pillar model.</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7.3 What We Do hub</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Translate the company structure into a clear commercial service architecture.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Visitors who know they need transformation support but are still choosing where to start.</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Three pillars. One continuous engagement.</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Choose your transformation starting point.</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transformation services, SAP Salesforce Workday advisory digital AI services.</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Hero with one-accountable-partner message.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Three engagement tiers: Advisory, Build, Run.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Four cards: Platform Services, Advisory Services, Digital/Data/AI and Delivery Excellence.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Partner ecosystem strip and cross-links to proof pages.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Plain but confident explanation of how clients can enter at any stage.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service taxonomy, deck-aligned service descriptions, links to all service pages.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lastRenderedPageBreak/>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service pages are reachable from the hub.</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old service naming conflicts with the new pillar structure.</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7.4 Platform Services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Present the platform-led transformation pillar with SAP as the flagship and Salesforce/Workday as adjacent capability.</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CIOs, platform owners, ERP programme leaders, HR technology leaders and CRM/workforce stakeholders.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Platform-led transformation across SAP, Salesforce and Workday - with one accountable partner for the full lifecycle.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Discuss your platform transformation.</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Platform services SAP Salesforce Workday implementation partner.</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Lifecycle band: consulting, implementation, rollout, upgrades, migrations, enhancements, AMS, support and hypercare.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Three platform cards: SAP, Salesforce and Workday.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Future platforms note: Oracle, ServiceNow, Microsoft and Adobe, positioned as future roadmap capability without overpromising.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Shared delivery proof connecting Platform Services to Delivery Excellence.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SAP, Salesforce and Workday offering descriptions, approved platform logos and confirmed certifications.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SAP is visibly the deepest sub-practice.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Future platforms are labelled clearly as future, not current primary capability.</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7.5 SAP flagship page</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Act as the most detailed and commercially important service page, proving SAP depth while keeping the page navigable.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decision-makers, CIOs, transformation directors, programme managers, procurement evaluators and technical stakeholders.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Services - SAP Gold Partner. 300+ consultants. 1,000+ combined years of SAP experience.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Speak to an SAP transformation expert.</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Gold Partner, SAP S/4HANA implementation, RISE with SAP, GROW with SAP, SAP migration partner.</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Sticky jump menu for Practice at a Glance, S/4HANA paths, RISE vs GROW, migrations, Advisory, SuccessFactors, Health Check 360, Concur, Ariba, Joule, Clean Core, Syniti, Analytics Cloud, ABAP Factory, Toolchain and Converged Intelligence.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Practice proof: 300+ consultants, 1,000+ combined years, 50+ SAP clients and SAP Gold/RISE/PCE credentials.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S/4HANA paths: RISE, GROW and Private Cloud Edition with 30% faster go-live, 25+ programmes and 100% go-live success rate.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Migration proof: 99.5% data accuracy, 3+ mock-load cycles and 100% successful cutover rate.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Detailed modules for SuccessFactors/HXM, Health Check 360, Concur, Ariba, Joule, clean-core extensibility, Syniti data management, SAC, ABAP Factory and SAP toolchain.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Closing SAP-specific form and proof-linked CTA.</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SAP badge usage approval, SAP sub-practice owner review, proof source notes, case-study links, partner/tool logos.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SAP metrics match the proof register.</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page has jump navigation.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Each deep SAP module has a clear business outcome and CTA.</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7.6 RISE vs GROW decision page</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Provide a credible, vendor-neutral decision aid that creates trust and routes qualified buyers into the Pathway Assessment.</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CIOs, CFOs, ERP transformation leaders and SAP programme owners deciding between private cloud and public cloud paths.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Which path fits your business? An honest decision-aid.</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Start the 2-week Pathway Assessment.</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RISE with SAP vs GROW with SAP, SAP pathway assessment, S/4HANA cloud decision.</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lastRenderedPageBreak/>
        <w:t>Side-by-side comparison of RISE with SAP and GROW with SAP using deck criteria: best fit, customisation, integration, innovation cadence, time-to-value, cost model and In2IT credential.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How In2IT EBS guides the decision: 2-week Pathway Assessment, process mapping, customisation gap, integration complexity, TCO modelling, regulatory constraints and evidence-based guidance.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Optional interactive questionnaire framed as indicative guidance, not a binding quote.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Neutrality statement: guidance depends on the client business profile, not vendor convenience.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comparison copy, legal/leadership sign-off on advisory language, form-routing logic.</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page remains balanced and does not push one route universally.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Guidance language remains evidence-based and advisory.</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7.7 Salesforce page</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Show Salesforce as part of the broader platform-led transformation capability, connected to customer, CRM and integration outcomes.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CRM leaders, sales operations leaders, CIOs and customer-experience stakeholders.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Salesforce services integrated into a broader enterprise transformation agenda.</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Discuss your Salesforce transformation requirements.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Salesforce implementation partner enterprise CRM integration.</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Capability overview with implementation, integration, optimisation and support.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Connection to SAP, data, integration and cloud capability.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Approved proof or client examples.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CTA linked to Platform Services enquiry.</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Salesforce service catalogue, Salesforce partner credential usage approval, client proof if public.</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page does not appear as an isolated offering.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It links back to Platform Services and Digital/Data/AI where relevant.</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7.8 Workday page</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Position Workday capability across workforce transformation, implementation, integration, HR analytics and managed services.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CHROs, HRIS leaders, people analytics leaders and enterprise architecture teams.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Five engagement types, one Workday delivery team.</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Talk to us about Workday transformation.</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Workday services implementation managed services HR analytics.</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Workforce transformation advisory.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Implementation: phased deployment, configuration, data migration, parallel testing and hypercare.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Integration: Workday Studio, EIB, Core Connectors and integrations with SAP, Salesforce, payroll and identity systems.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HR Analytics: Prism Analytics, dashboards and reporting.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Managed Services: tenant management, release support, L1-L3 support and continuous optimisation.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Workday credential confirmation, service owner review, approved integration examples.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Workday appears as a credible platform capability but does not overtake SAP as the flagship.</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7.9 Advisory Services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Make the consulting layer credible and commercially valuable by showing that In2IT EBS can define the transformation before building it.</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CIOs, transformation sponsors, boards, PMO heads and enterprise architecture leaders.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Consulting-led transformation - executive advisory, enterprise architecture, AI strategy and programme governance.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Shape your transformation roadmap.</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Transformation advisory services CIO advisory enterprise architecture AI strategy.</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Four capability groups: Transformation Advisory, Strategy &amp; Governance, Enterprise Architecture, Change &amp; Assurance.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Connection to downstream platform and engineering delivery.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Three-tier engagement model: advise, build, run.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lastRenderedPageBreak/>
        <w:t>Proof of advisory value through roadmap, business case, process re-engineering and governance outputs.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Advisory service owner review, final advisory offer names, governance artefact examples.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Advisory is not presented as generic consulting; it must lead into platform and engineering opportunities.</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7.10 Digital, Data &amp; AI</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Establish the engineering-led pillar as future-facing, AI-first and commercially connected to enterprise outcomes.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Digital leaders, data leaders, AI sponsors, CIOs, innovation leaders and heavy-industry transformation teams.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Engineering-led, AI-first transformation across applications, automation, data, integration and cloud.</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Identify your AI and digital transformation opportunities.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Digital data AI services, GenAI automation enterprise AI, industrial AI transformation.</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 xml:space="preserve">Four sub-practice </w:t>
      </w:r>
      <w:proofErr w:type="gramStart"/>
      <w:r w:rsidRPr="00BA698C">
        <w:rPr>
          <w:rFonts w:ascii="Times New Roman" w:hAnsi="Times New Roman" w:cs="Times New Roman"/>
          <w:sz w:val="24"/>
          <w:szCs w:val="24"/>
        </w:rPr>
        <w:t>overview</w:t>
      </w:r>
      <w:proofErr w:type="gramEnd"/>
      <w:r w:rsidRPr="00BA698C">
        <w:rPr>
          <w:rFonts w:ascii="Times New Roman" w:hAnsi="Times New Roman" w:cs="Times New Roman"/>
          <w:sz w:val="24"/>
          <w:szCs w:val="24"/>
        </w:rPr>
        <w:t>: Application Engineering, AI &amp; Automation, Data &amp; Analytics, Integration &amp; Cloud.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AI &amp; Automation capability map: industrial IoT, digital twins, computer vision, safety AI, applied AI, GenAI, integration, cloud and ESG.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Phased AI delivery approach: Discover/Frame/Architect, Pilot &amp; Prove, Scale &amp; Sustain.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Cross-links to SAP, advisory and delivery to reinforce converged enterprise ownership.</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AI capability owner review, approved industrial examples, architecture diagram inputs, case-study links.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AI language remains outcome-driven and avoids hype.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page clearly links AI to platforms, data, cloud and delivery.</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7.11 Application Engineering</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Show depth in custom, legacy and packaged application engineering across design, build, support and optimisation.</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Application owners, CTO teams, transformation managers and enterprise architecture teams.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An application lifecycle with every layer covered.</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Modernise your application landscape.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Application engineering services custom application development legacy modernisation.</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Lifecycle stages: Design &amp; Architecture, Development &amp; Testing, Maintenance &amp; Support, Optimisation.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Technology estate coverage: bespoke applications, legacy applications and packaged application integration.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Support and optimisation services connected to AMS and development factory.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Cross-links to Integration &amp; Cloud and Delivery Excellence.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Technology list validation, service examples, application portfolio rationalisation examples.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outdated technology list is left unsupported by current capability owners.</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7.12 AI &amp; Automation</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Create a distinct high-value AI offering while showing practical delivery discipline and industry relevance.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AI sponsors, heavy-industry leaders, CIOs, data leaders and operations transformation teams.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From edge sensing to enterprise outcomes.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Start with opportunity mapping and value sizing.</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AI automation services industrial AI GenAI computer vision digital twins.</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Industrial IoT &amp; Digital Twins.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Computer Vision &amp; Safety AI.</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Applied AI &amp; GenAI.</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Integration, Cloud &amp; ESG.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lastRenderedPageBreak/>
        <w:t>Delivery approach: shared foundations before scaled use cases.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Approved AI use cases, client anonymity rules, visual examples, technical owner review.</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page uses practical AI outcomes, not generic AI claims.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It routes to advisory for strategy and delivery for implementation confidence.</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7.13 Data &amp; Analytics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Show that the data layer supports SAP transformation, enterprise reporting, planning, governance and AI readiness.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Data leaders, finance leaders, SAP analytics stakeholders, CIOs and enterprise architecture teams.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Data platforms, analytics, governance and predictive intelligence for enterprise decision-making.</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Turn enterprise data into measurable decisions.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data analytics services SAP analytics cloud data governance.</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Data platforms and lakehouses.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Analytics and visualisation.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Master data and governance.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ML/MLOps and predictive models.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Cross-links to SAP Analytics Cloud and Syniti data management.</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Analytics platform list validation, SAC/Syniti linkage, proof examples.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page connects analytics to business functions and SAP landscape rather than generic dashboards.</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7.14 Integration &amp; Cloud</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Position integration and cloud as the connective layer across SAP, Salesforce, Workday, AI, applications and data.</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architects, integration leaders, cloud platform teams and CIO offices.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 xml:space="preserve">Hero copy / page </w:t>
            </w:r>
            <w:r w:rsidRPr="00BA698C">
              <w:rPr>
                <w:rFonts w:ascii="Times New Roman" w:hAnsi="Times New Roman" w:cs="Times New Roman"/>
                <w:color w:val="141414"/>
                <w:sz w:val="24"/>
                <w:szCs w:val="24"/>
              </w:rPr>
              <w:lastRenderedPageBreak/>
              <w:t>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 xml:space="preserve">API-led integration, middleware, cloud engineering and event-driven </w:t>
            </w:r>
            <w:r w:rsidRPr="00BA698C">
              <w:rPr>
                <w:rFonts w:ascii="Times New Roman" w:hAnsi="Times New Roman" w:cs="Times New Roman"/>
                <w:color w:val="141414"/>
                <w:sz w:val="24"/>
                <w:szCs w:val="24"/>
              </w:rPr>
              <w:lastRenderedPageBreak/>
              <w:t>enterprise architecture.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Build a connected enterprise architecture.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Integration cloud services API middleware AWS Azure Google Cloud enterprise architecture.</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API-led integration and middleware.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Cloud engineering across AWS, Microsoft Azure and Google Cloud.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Event-driven architectures.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OT-to-ERP convergence for industrial transformation.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Partner ecosystem cross-links.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Cloud alliance review, integration tool list, architecture patterns.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Partner logos and cloud claims are approved before launch.</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7.15 Delivery Excellence</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Prove that In2IT EBS has a repeatable delivery engine, not just a list of services.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Risk-conscious enterprise buyers, procurement teams, programme sponsors and delivery evaluators.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Methodology, transition approach and factory model behind every engagement.</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See how we deliver with control and speed.</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Delivery excellence SAP Activate AMS transition development factory FastForward.</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FastForward method with four accelerating layers: pre-built assets, single delivery team, quality gates and outcome-linked pricing.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16-week AMS transition with five phases from pre-transition planning to service commencement.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Development factory with standardised, repeatable and automated delivery model.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One continuous engagement across Advisory, Build and Run.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Delivery owner review, method visuals, transition artefact examples, governance language.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lastRenderedPageBreak/>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Delivery language is specific enough to reduce risk perception.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Delivery proof cross-links to SAP and managed services.</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7.16 Industries index</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Help buyers quickly identify sector relevance and move into proof-led stories.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Industry executives, procurement evaluators and visitors seeking relevant experience.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150+ global enterprises across regulated, complex industries.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Explore relevant industry experience.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partner for manufacturing utilities pharma BFSI mining public sector transformation.</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Industry grid: Food &amp; Beverages, Health &amp; Pharma, Apparel &amp; Fashion, Metals &amp; Mining, IT &amp; Professional Services, Infrastructure &amp; Housing, Automotive, Chemicals, PSUs, Services &amp; BFSI, Real Estate and Others.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Short sector-intent copy for each industry.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Client logo wall grouped by sector where permissions allow.</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Related case-study cards and CTA.</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Approved industry labels, client logo permissions, sector imagery, case-study mapping.</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sector page claims experience without proof or leadership approval.</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7.17 Individual industry pages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Turn broad sector presence into relevant buyer confidence.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Sector-specific executives, IT leaders and transformation sponsors.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Built for the operating realities of [industry name].</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Discuss your sector transformation priorities.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Industry-specific SAP and digital transformation services.</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lastRenderedPageBreak/>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Sector-specific challenge statement.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Relevant In2IT EBS capabilities mapped to the sector.</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Relevant proof metrics and case-study cards.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Client logo strip after approval.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CTA to discuss sector transformation priorities.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Sector SME input, approved client names/logos, relevant proof stories, imagery.</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Each page feels specific, not templated.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Every sector page includes at least one proof route or clear confidential-case-study request option.</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7.18 Clients &amp; Case Studies index</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Create a credible proof library that turns deck case studies into website lead-generation assets.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All buyers, especially those evaluating credibility, relevance and delivery proof.</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150+ global enterprises. Across regulated, complex industries.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Explore relevant success stories / Request the full case study.</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case studies enterprise transformation case studies SAP implementation examples.</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Filterable case-study grid by industry, service, SAP path and region.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Named and anonymised cards with consistent structure: client/sector, challenge, solution, result and service link.</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Approved logo wall.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Request full story under NDA path for confidential case studies.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Account-owner approvals, client permissions, anonymisation rules, case-study assets.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Every card has an approved visibility status.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confidential client name appears publicly without permission.</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7.19 Individual case-study pages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Convert proof into persuasion by showing challenge, solution, outcome and In2IT EBS differentiation.</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Prospects comparing vendors, sales teams, account-based marketing and procurement evaluators.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 specific outcome-led title based on the client story.</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a discussion based on this case study / Request full story under NDA.</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Client-specific and sector-specific keywords; avoid over-optimised generic wording.</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Client context or anonymised label.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Business challenge.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Solution delivered.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Benefits and measurable results.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What made In2IT EBS different.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Related services, related case studies and CTA.</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Case-study source text, approved metrics, legal/client approval, logo/photo permission.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Case study has a source owner.</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Outcome metrics are traceable.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Public/anonymised status is explicit.</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7.20 Partners &amp; Ecosystem</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Reinforce trust through certified alliances and a credible enterprise technology ecosystem.</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buyers, alliance stakeholders, platform owners and procurement evaluators.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alliances that extend our reach.</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Explore partnership-led transformation.</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Gold Partner Salesforce Workday AWS Azure Google Cloud partner ecosystem.</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lastRenderedPageBreak/>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Partner groups: Application Platforms, Hyperscalers, Data &amp; Analytics, Specialised Partners.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SAP Gold, RISE and PCE credentials prominently placed.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AWS, Microsoft Azure, Google Cloud, SAP, Salesforce and Workday strip.</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Short explanation of how partnerships translate into certified delivery, joint roadmaps and pre-built integration patterns.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Partner logo approvals, credential usage rules, final partner list.</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partner logo is used without approval.</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 xml:space="preserve">12+ strategic partners </w:t>
      </w:r>
      <w:proofErr w:type="gramStart"/>
      <w:r w:rsidRPr="00BA698C">
        <w:rPr>
          <w:rFonts w:ascii="Times New Roman" w:hAnsi="Times New Roman" w:cs="Times New Roman"/>
          <w:sz w:val="24"/>
          <w:szCs w:val="24"/>
        </w:rPr>
        <w:t>remains</w:t>
      </w:r>
      <w:proofErr w:type="gramEnd"/>
      <w:r w:rsidRPr="00BA698C">
        <w:rPr>
          <w:rFonts w:ascii="Times New Roman" w:hAnsi="Times New Roman" w:cs="Times New Roman"/>
          <w:sz w:val="24"/>
          <w:szCs w:val="24"/>
        </w:rPr>
        <w:t xml:space="preserve"> the headline figure.</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7.21 Why In2IT EBS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sz w:val="24"/>
                <w:szCs w:val="24"/>
              </w:rPr>
              <w:t>Turn differentiation into a concise buying argument with four reasons enterprises choose In2IT EBS.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Senior buyers, procurement evaluators and internal champions needing justification.</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Four reasons enterprises choose In2IT EBS.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Book a discovery workshop.</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Why choose In2IT EBS enterprise transformation SAP Gold Partner.</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Reason 1: Converged Intelligence.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Reason 2: Partnership Depth.</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Reason 3: Delivery Economics.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Reason 4: Accelerated Outcomes.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Proof callouts: SAP depth, delivery footprint, accelerators, FastForward and up to 30% faster go-live where appropriate.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differentiation proof, leadership approval of four reasons, metric checks.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page has four reasons, not three or seven.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Each reason has proof, not just claim language.</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lastRenderedPageBreak/>
        <w:t>7.22 Insights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Support thought leadership, search discovery and long-cycle nurturing.</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Prospects researching SAP, AI, digital transformation, HR technology and enterprise architecture topics.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Practical thinking on enterprise transformation, SAP, AI, data and delivery.</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Subscribe / Talk to an expert about this topic.</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transformation insights enterprise AI thought leadership.</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Insights index with categories aligned to the pillars.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Article templates with author, date, topic, related services and CTA.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Launch with a small set of high-quality pillar-aligned articles rather than many thin posts.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Reuse deck topics: RISE vs GROW, Health Check 360, data migration risk, clean core, Joule, FastForward and Converged Intelligence.</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Editorial calendar, author approvals, SEO keyword list, review process.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Insights do not introduce unapproved claims.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Every article links to a relevant service or contact path.</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7.23 Careers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Support recruitment and employer credibility while reinforcing the company's enterprise transformation positioning.</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Potential employees, lateral hires, delivery talent and certified consultants.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Build the future of enterprise transformation with In2IT EBS.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Explore opportunities / Submit your profile.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careers enterprise transformation jobs digital AI careers.</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Company mission and transformation positioning.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lastRenderedPageBreak/>
        <w:t>Capability areas: SAP, Salesforce, Workday, Advisory, Digital, Data &amp; AI and Delivery Excellence.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Open roles or enquiry path.</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Approved culture, learning and certification emphasis.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HR owner input, job feed approach, employee imagery, culture copy approvals.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employment benefits are promised without HR approval.</w:t>
      </w:r>
    </w:p>
    <w:p w:rsidR="00626C09" w:rsidRPr="00BA698C" w:rsidRDefault="000675D4">
      <w:pPr>
        <w:pStyle w:val="Heading3"/>
        <w:spacing w:before="120" w:after="40"/>
        <w:rPr>
          <w:rFonts w:ascii="Times New Roman" w:hAnsi="Times New Roman" w:cs="Times New Roman"/>
          <w:sz w:val="24"/>
          <w:szCs w:val="24"/>
        </w:rPr>
      </w:pPr>
      <w:r w:rsidRPr="00BA698C">
        <w:rPr>
          <w:rFonts w:ascii="Times New Roman" w:hAnsi="Times New Roman" w:cs="Times New Roman"/>
          <w:color w:val="002040"/>
          <w:sz w:val="24"/>
          <w:szCs w:val="24"/>
        </w:rPr>
        <w:t>7.24 Contact and thank-you pages</w:t>
      </w:r>
    </w:p>
    <w:tbl>
      <w:tblPr>
        <w:tblStyle w:val="TableGrid"/>
        <w:tblW w:w="0" w:type="auto"/>
        <w:jc w:val="center"/>
        <w:tblLook w:val="04A0" w:firstRow="1" w:lastRow="0" w:firstColumn="1" w:lastColumn="0" w:noHBand="0" w:noVBand="1"/>
      </w:tblPr>
      <w:tblGrid>
        <w:gridCol w:w="2448"/>
        <w:gridCol w:w="6912"/>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decision</w:t>
            </w:r>
          </w:p>
        </w:tc>
        <w:tc>
          <w:tcPr>
            <w:tcW w:w="691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Content directive</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Strategic role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Convert intent into routed enquiries while reinforcing global presence and trust.</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audience</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All visitors ready for next action.</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Hero copy / page promise</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Let us talk about your transformation.</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Primary CTA</w:t>
            </w:r>
          </w:p>
        </w:tc>
        <w:tc>
          <w:tcPr>
            <w:tcW w:w="691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Submit enquiry.</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intent</w:t>
            </w:r>
          </w:p>
        </w:tc>
        <w:tc>
          <w:tcPr>
            <w:tcW w:w="691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Contact In2IT EBS SAP transformation partner.</w:t>
            </w:r>
          </w:p>
        </w:tc>
      </w:tr>
    </w:tbl>
    <w:p w:rsidR="00626C09" w:rsidRPr="00BA698C" w:rsidRDefault="00626C09">
      <w:pPr>
        <w:rPr>
          <w:rFonts w:ascii="Times New Roman" w:hAnsi="Times New Roman" w:cs="Times New Roman"/>
          <w:sz w:val="24"/>
          <w:szCs w:val="24"/>
        </w:rPr>
      </w:pP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Mandatory content modules: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Short enquiry form: name, work email, company, region, area of interest and message.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Area-of-interest dropdown aligned to pillars and high-intent SAP offerings.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Office and regional contact blocks.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Credentials strip and LinkedIn/contact channels.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Thank-you page that confirms next step and presents relevant next-step pages.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Required source inputs: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contact routing, privacy/legal copy, regional office details, form field approvals.</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Launch approval criteria:</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The form is short and business-focused.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 xml:space="preserve">Every service CTA </w:t>
      </w:r>
      <w:proofErr w:type="gramStart"/>
      <w:r w:rsidRPr="00BA698C">
        <w:rPr>
          <w:rFonts w:ascii="Times New Roman" w:hAnsi="Times New Roman" w:cs="Times New Roman"/>
          <w:sz w:val="24"/>
          <w:szCs w:val="24"/>
        </w:rPr>
        <w:t>routes</w:t>
      </w:r>
      <w:proofErr w:type="gramEnd"/>
      <w:r w:rsidRPr="00BA698C">
        <w:rPr>
          <w:rFonts w:ascii="Times New Roman" w:hAnsi="Times New Roman" w:cs="Times New Roman"/>
          <w:sz w:val="24"/>
          <w:szCs w:val="24"/>
        </w:rPr>
        <w:t xml:space="preserve"> to the relevant area of interest using available form-routing logic.</w:t>
      </w: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8. Case study, industry and partner content system</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Proof is the strongest website asset. The case-study system must be treated as a controlled library, not as a loose collection of success stories.</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8.1 Case-study production template</w:t>
      </w:r>
    </w:p>
    <w:tbl>
      <w:tblPr>
        <w:tblStyle w:val="TableGrid"/>
        <w:tblW w:w="0" w:type="auto"/>
        <w:jc w:val="center"/>
        <w:tblLook w:val="04A0" w:firstRow="1" w:lastRow="0" w:firstColumn="1" w:lastColumn="0" w:noHBand="0" w:noVBand="1"/>
      </w:tblPr>
      <w:tblGrid>
        <w:gridCol w:w="1944"/>
        <w:gridCol w:w="4896"/>
        <w:gridCol w:w="2520"/>
      </w:tblGrid>
      <w:tr w:rsidR="00626C09" w:rsidRPr="00BA698C">
        <w:trPr>
          <w:jc w:val="center"/>
        </w:trPr>
        <w:tc>
          <w:tcPr>
            <w:tcW w:w="194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Section</w:t>
            </w:r>
          </w:p>
        </w:tc>
        <w:tc>
          <w:tcPr>
            <w:tcW w:w="489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Required content</w:t>
            </w:r>
          </w:p>
        </w:tc>
        <w:tc>
          <w:tcPr>
            <w:tcW w:w="252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Approval owner</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Headline</w:t>
            </w:r>
          </w:p>
        </w:tc>
        <w:tc>
          <w:tcPr>
            <w:tcW w:w="489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 xml:space="preserve">Outcome-led title using approved client name or </w:t>
            </w:r>
            <w:r w:rsidRPr="00BA698C">
              <w:rPr>
                <w:rFonts w:ascii="Times New Roman" w:hAnsi="Times New Roman" w:cs="Times New Roman"/>
                <w:color w:val="141414"/>
                <w:sz w:val="24"/>
                <w:szCs w:val="24"/>
              </w:rPr>
              <w:lastRenderedPageBreak/>
              <w:t>anonymised sector label.</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 xml:space="preserve">Marketing + account </w:t>
            </w:r>
            <w:r w:rsidRPr="00BA698C">
              <w:rPr>
                <w:rFonts w:ascii="Times New Roman" w:hAnsi="Times New Roman" w:cs="Times New Roman"/>
                <w:color w:val="141414"/>
                <w:sz w:val="24"/>
                <w:szCs w:val="24"/>
              </w:rPr>
              <w:lastRenderedPageBreak/>
              <w:t>owner</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Client context</w:t>
            </w:r>
          </w:p>
        </w:tc>
        <w:tc>
          <w:tcPr>
            <w:tcW w:w="489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Industry, region, business type and relevant scale where public.</w:t>
            </w:r>
          </w:p>
        </w:tc>
        <w:tc>
          <w:tcPr>
            <w:tcW w:w="25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Account owner</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Business challenge</w:t>
            </w:r>
          </w:p>
        </w:tc>
        <w:tc>
          <w:tcPr>
            <w:tcW w:w="489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What made the transformation urgent or complex.</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Sales / delivery owner</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In2IT EBS solution</w:t>
            </w:r>
          </w:p>
        </w:tc>
        <w:tc>
          <w:tcPr>
            <w:tcW w:w="489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Services delivered, platforms involved and delivery approach.</w:t>
            </w:r>
          </w:p>
        </w:tc>
        <w:tc>
          <w:tcPr>
            <w:tcW w:w="25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Service owner</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Measurable results</w:t>
            </w:r>
          </w:p>
        </w:tc>
        <w:tc>
          <w:tcPr>
            <w:tcW w:w="489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Only approved results from deck or client-approved source.</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Leadership / legal</w:t>
            </w:r>
          </w:p>
        </w:tc>
      </w:tr>
      <w:tr w:rsidR="00626C09" w:rsidRPr="00BA698C">
        <w:trPr>
          <w:jc w:val="center"/>
        </w:trPr>
        <w:tc>
          <w:tcPr>
            <w:tcW w:w="194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What made In2IT EBS different</w:t>
            </w:r>
          </w:p>
        </w:tc>
        <w:tc>
          <w:tcPr>
            <w:tcW w:w="489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Converged Intelligence, SAP depth, delivery model, accelerators or industry knowledge.</w:t>
            </w:r>
          </w:p>
        </w:tc>
        <w:tc>
          <w:tcPr>
            <w:tcW w:w="25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Marketing + service owner</w:t>
            </w:r>
          </w:p>
        </w:tc>
      </w:tr>
      <w:tr w:rsidR="00626C09" w:rsidRPr="00BA698C">
        <w:trPr>
          <w:jc w:val="center"/>
        </w:trPr>
        <w:tc>
          <w:tcPr>
            <w:tcW w:w="194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CTA</w:t>
            </w:r>
          </w:p>
        </w:tc>
        <w:tc>
          <w:tcPr>
            <w:tcW w:w="489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similar discussion, request full story under NDA or speak to expert.</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Marketing</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8.2 Case-study visibility control</w:t>
      </w:r>
    </w:p>
    <w:tbl>
      <w:tblPr>
        <w:tblStyle w:val="TableGrid"/>
        <w:tblW w:w="0" w:type="auto"/>
        <w:jc w:val="center"/>
        <w:tblLook w:val="04A0" w:firstRow="1" w:lastRow="0" w:firstColumn="1" w:lastColumn="0" w:noHBand="0" w:noVBand="1"/>
      </w:tblPr>
      <w:tblGrid>
        <w:gridCol w:w="2160"/>
        <w:gridCol w:w="4320"/>
        <w:gridCol w:w="2880"/>
      </w:tblGrid>
      <w:tr w:rsidR="00626C09" w:rsidRPr="00BA698C">
        <w:trPr>
          <w:jc w:val="center"/>
        </w:trPr>
        <w:tc>
          <w:tcPr>
            <w:tcW w:w="216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Visibility level</w:t>
            </w:r>
          </w:p>
        </w:tc>
        <w:tc>
          <w:tcPr>
            <w:tcW w:w="432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Website treatment</w:t>
            </w:r>
          </w:p>
        </w:tc>
        <w:tc>
          <w:tcPr>
            <w:tcW w:w="288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Use case</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Public named</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Client name, logo, result and story can be published.</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Strongest proof; use on homepage, case-study index and relevant service pages.</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Public anonymised</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sector, geography and challenge without client name/logo.</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Useful when proof is valuable but client identity is confidential.</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under NDA</w:t>
            </w:r>
          </w:p>
        </w:tc>
        <w:tc>
          <w:tcPr>
            <w:tcW w:w="43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Publish a short teaser and request form only.</w:t>
            </w:r>
          </w:p>
        </w:tc>
        <w:tc>
          <w:tcPr>
            <w:tcW w:w="288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For high-value enterprise proof that cannot be publicly disclosed.</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Internal sales only</w:t>
            </w:r>
          </w:p>
        </w:tc>
        <w:tc>
          <w:tcPr>
            <w:tcW w:w="43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Do not publish. Use only in sales decks or private follow-up.</w:t>
            </w:r>
          </w:p>
        </w:tc>
        <w:tc>
          <w:tcPr>
            <w:tcW w:w="288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When approval is not available or relationship risk exists.</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8.3 Partner content requirements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Create one partner ecosystem page grouped by Application Platforms, Hyperscalers, Data &amp; Analytics and Specialised Partners.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Use SAP Gold, RISE with SAP and PCE Partner credentials as primary trust signals after usage rights are confirmed.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Use official partner logos only, with correct clear space and no unauthorised colour changes.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Avoid creating separate partner pages unless there is enough approved content and joint-market value.</w:t>
      </w: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lastRenderedPageBreak/>
        <w:t>9. SEO, metadata and conversion-copy action plan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SEO supports enterprise discoverability without weakening the brand voice. The first priority is controlled, relevant search visibility for SAP Gold Partner capability, S/4HANA transformation, RISE/GROW decision support, SAP SuccessFactors, Joule, Syniti data migration and enterprise AI services.</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9.1 Metadata template</w:t>
      </w:r>
    </w:p>
    <w:tbl>
      <w:tblPr>
        <w:tblStyle w:val="TableGrid"/>
        <w:tblW w:w="0" w:type="auto"/>
        <w:jc w:val="center"/>
        <w:tblLook w:val="04A0" w:firstRow="1" w:lastRow="0" w:firstColumn="1" w:lastColumn="0" w:noHBand="0" w:noVBand="1"/>
      </w:tblPr>
      <w:tblGrid>
        <w:gridCol w:w="2016"/>
        <w:gridCol w:w="3456"/>
        <w:gridCol w:w="3888"/>
      </w:tblGrid>
      <w:tr w:rsidR="00626C09" w:rsidRPr="00BA698C">
        <w:trPr>
          <w:jc w:val="center"/>
        </w:trPr>
        <w:tc>
          <w:tcPr>
            <w:tcW w:w="201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Page type</w:t>
            </w:r>
          </w:p>
        </w:tc>
        <w:tc>
          <w:tcPr>
            <w:tcW w:w="345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Title tag direction</w:t>
            </w:r>
          </w:p>
        </w:tc>
        <w:tc>
          <w:tcPr>
            <w:tcW w:w="388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Meta description direction</w:t>
            </w:r>
          </w:p>
        </w:tc>
      </w:tr>
      <w:tr w:rsidR="00626C09" w:rsidRPr="00BA698C">
        <w:trPr>
          <w:jc w:val="center"/>
        </w:trPr>
        <w:tc>
          <w:tcPr>
            <w:tcW w:w="201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In2IT EBS | AI-led Enterprise Transformation &amp; SAP Gold Partner</w:t>
            </w:r>
          </w:p>
        </w:tc>
        <w:tc>
          <w:tcPr>
            <w:tcW w:w="38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Position In2IT EBS as an AI-led enterprise transformation company across Platforms, Advisory and Digital Engineering.</w:t>
            </w:r>
          </w:p>
        </w:tc>
      </w:tr>
      <w:tr w:rsidR="00626C09" w:rsidRPr="00BA698C">
        <w:trPr>
          <w:jc w:val="center"/>
        </w:trPr>
        <w:tc>
          <w:tcPr>
            <w:tcW w:w="201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flagship</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Services | SAP Gold Partner | In2IT EBS</w:t>
            </w:r>
          </w:p>
        </w:tc>
        <w:tc>
          <w:tcPr>
            <w:tcW w:w="38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Highlight SAP Gold Partner credentials, 300+ consultants, S/4HANA, RISE, GROW, SuccessFactors, Ariba, Concur, Joule and data migration capability.</w:t>
            </w:r>
          </w:p>
        </w:tc>
      </w:tr>
      <w:tr w:rsidR="00626C09" w:rsidRPr="00BA698C">
        <w:trPr>
          <w:jc w:val="center"/>
        </w:trPr>
        <w:tc>
          <w:tcPr>
            <w:tcW w:w="201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RISE vs GROW</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RISE vs GROW with SAP | Pathway Assessment | In2IT EBS</w:t>
            </w:r>
          </w:p>
        </w:tc>
        <w:tc>
          <w:tcPr>
            <w:tcW w:w="38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Explain how In2IT EBS helps enterprises choose the right S/4HANA Cloud path through an evidence-based Pathway Assessment.</w:t>
            </w:r>
          </w:p>
        </w:tc>
      </w:tr>
      <w:tr w:rsidR="00626C09" w:rsidRPr="00BA698C">
        <w:trPr>
          <w:jc w:val="center"/>
        </w:trPr>
        <w:tc>
          <w:tcPr>
            <w:tcW w:w="201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Health Check 360</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SuccessFactors Health Check 360 | In2IT EBS</w:t>
            </w:r>
          </w:p>
        </w:tc>
        <w:tc>
          <w:tcPr>
            <w:tcW w:w="38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Present the AI-powered diagnostic for SuccessFactors configuration, adoption, benchmarking and AI readiness.</w:t>
            </w:r>
          </w:p>
        </w:tc>
      </w:tr>
      <w:tr w:rsidR="00626C09" w:rsidRPr="00BA698C">
        <w:trPr>
          <w:jc w:val="center"/>
        </w:trPr>
        <w:tc>
          <w:tcPr>
            <w:tcW w:w="201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Delivery Excellence</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FastForward Delivery Method &amp; AMS Transition | In2IT EBS</w:t>
            </w:r>
          </w:p>
        </w:tc>
        <w:tc>
          <w:tcPr>
            <w:tcW w:w="38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Show the delivery method, 16-week AMS transition and development factory behind enterprise transformation programmes.</w:t>
            </w:r>
          </w:p>
        </w:tc>
      </w:tr>
      <w:tr w:rsidR="00626C09" w:rsidRPr="00BA698C">
        <w:trPr>
          <w:jc w:val="center"/>
        </w:trPr>
        <w:tc>
          <w:tcPr>
            <w:tcW w:w="201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 studies</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Enterprise Transformation Case Studies | In2IT EBS</w:t>
            </w:r>
          </w:p>
        </w:tc>
        <w:tc>
          <w:tcPr>
            <w:tcW w:w="38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Explore SAP, platform, digital and AI success stories across regulated and complex industries.</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9.2 SEO action rules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Every page must have one primary keyword theme and two to three secondary themes.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Do not keyword-stuff hero copy; use SEO terms in headings, metadata, FAQ, image alt text and supporting sections.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Use internal linking deliberately: SAP sub-pages links to the SAP flagship, relevant case studies, Delivery Excellence and Contact.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Create schema-ready content for organisation, breadcrumbs, FAQs, case studies and articles where the build supports it.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Use search snippets that match enterprise buyer intent rather than broad consumer language.</w:t>
      </w: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lastRenderedPageBreak/>
        <w:t>10. Content production workstreams and ownership model</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Production ownership is mandatory. Workstreams control page copy, proof, approvals, images, forms and implementation as one coordinated delivery system.</w:t>
      </w:r>
    </w:p>
    <w:tbl>
      <w:tblPr>
        <w:tblStyle w:val="TableGrid"/>
        <w:tblW w:w="0" w:type="auto"/>
        <w:jc w:val="center"/>
        <w:tblLook w:val="04A0" w:firstRow="1" w:lastRow="0" w:firstColumn="1" w:lastColumn="0" w:noHBand="0" w:noVBand="1"/>
      </w:tblPr>
      <w:tblGrid>
        <w:gridCol w:w="2088"/>
        <w:gridCol w:w="2520"/>
        <w:gridCol w:w="4752"/>
      </w:tblGrid>
      <w:tr w:rsidR="00626C09" w:rsidRPr="00BA698C">
        <w:trPr>
          <w:jc w:val="center"/>
        </w:trPr>
        <w:tc>
          <w:tcPr>
            <w:tcW w:w="208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Workstream</w:t>
            </w:r>
          </w:p>
        </w:tc>
        <w:tc>
          <w:tcPr>
            <w:tcW w:w="252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Owner type</w:t>
            </w:r>
          </w:p>
        </w:tc>
        <w:tc>
          <w:tcPr>
            <w:tcW w:w="475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Output</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Narrative and copy</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Marketing / content lead</w:t>
            </w:r>
          </w:p>
        </w:tc>
        <w:tc>
          <w:tcPr>
            <w:tcW w:w="475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Final page copy, headlines, CTAs, metadata and proof labels.</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Source and claims control</w:t>
            </w:r>
          </w:p>
        </w:tc>
        <w:tc>
          <w:tcPr>
            <w:tcW w:w="25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Leadership / legal / business owner</w:t>
            </w:r>
          </w:p>
        </w:tc>
        <w:tc>
          <w:tcPr>
            <w:tcW w:w="475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Approved metrics, final decision register, source notes and public wording approvals.</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Service accuracy</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Practice owners</w:t>
            </w:r>
          </w:p>
        </w:tc>
        <w:tc>
          <w:tcPr>
            <w:tcW w:w="475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Approved service descriptions, capability maps, offer names and technical terminology.</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 studies and clients</w:t>
            </w:r>
          </w:p>
        </w:tc>
        <w:tc>
          <w:tcPr>
            <w:tcW w:w="25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Sales / account owners / legal</w:t>
            </w:r>
          </w:p>
        </w:tc>
        <w:tc>
          <w:tcPr>
            <w:tcW w:w="475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Case-study approval status, logo permissions, anonymisation decisions and NDA request process.</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 ecosystem</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Alliance owner</w:t>
            </w:r>
          </w:p>
        </w:tc>
        <w:tc>
          <w:tcPr>
            <w:tcW w:w="475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Partner names, logo files, credential usage and grouping.</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Design integration</w:t>
            </w:r>
          </w:p>
        </w:tc>
        <w:tc>
          <w:tcPr>
            <w:tcW w:w="25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Design lead</w:t>
            </w:r>
          </w:p>
        </w:tc>
        <w:tc>
          <w:tcPr>
            <w:tcW w:w="475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Page modules, visual hierarchy, image strategy and accessibility-aligned layouts.</w:t>
            </w:r>
          </w:p>
        </w:tc>
      </w:tr>
      <w:tr w:rsidR="00626C09" w:rsidRPr="00BA698C">
        <w:trPr>
          <w:jc w:val="center"/>
        </w:trPr>
        <w:tc>
          <w:tcPr>
            <w:tcW w:w="208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Build and conversion</w:t>
            </w:r>
          </w:p>
        </w:tc>
        <w:tc>
          <w:tcPr>
            <w:tcW w:w="252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Development / web team</w:t>
            </w:r>
          </w:p>
        </w:tc>
        <w:tc>
          <w:tcPr>
            <w:tcW w:w="475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Page templates, forms, routing, analytics, search, redirects and launch deployment.</w:t>
            </w:r>
          </w:p>
        </w:tc>
      </w:tr>
      <w:tr w:rsidR="00626C09" w:rsidRPr="00BA698C">
        <w:trPr>
          <w:jc w:val="center"/>
        </w:trPr>
        <w:tc>
          <w:tcPr>
            <w:tcW w:w="208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and analytics</w:t>
            </w:r>
          </w:p>
        </w:tc>
        <w:tc>
          <w:tcPr>
            <w:tcW w:w="252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 growth owner</w:t>
            </w:r>
          </w:p>
        </w:tc>
        <w:tc>
          <w:tcPr>
            <w:tcW w:w="475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Metadata, keyword map, technical SEO requirements and measurement plan.</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10.1 Production workflow</w:t>
      </w:r>
    </w:p>
    <w:tbl>
      <w:tblPr>
        <w:tblStyle w:val="TableGrid"/>
        <w:tblW w:w="0" w:type="auto"/>
        <w:jc w:val="center"/>
        <w:tblLook w:val="04A0" w:firstRow="1" w:lastRow="0" w:firstColumn="1" w:lastColumn="0" w:noHBand="0" w:noVBand="1"/>
      </w:tblPr>
      <w:tblGrid>
        <w:gridCol w:w="2304"/>
        <w:gridCol w:w="7056"/>
      </w:tblGrid>
      <w:tr w:rsidR="00626C09" w:rsidRPr="00BA698C">
        <w:trPr>
          <w:jc w:val="center"/>
        </w:trPr>
        <w:tc>
          <w:tcPr>
            <w:tcW w:w="2304"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Step</w:t>
            </w:r>
          </w:p>
        </w:tc>
        <w:tc>
          <w:tcPr>
            <w:tcW w:w="705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Action</w:t>
            </w:r>
          </w:p>
        </w:tc>
      </w:tr>
      <w:tr w:rsidR="00626C09" w:rsidRPr="00BA698C">
        <w:trPr>
          <w:jc w:val="center"/>
        </w:trPr>
        <w:tc>
          <w:tcPr>
            <w:tcW w:w="230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Content inventory</w:t>
            </w:r>
          </w:p>
        </w:tc>
        <w:tc>
          <w:tcPr>
            <w:tcW w:w="70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Map existing website pages to the new architecture and identify migrate, merge, retire or rewrite decisions.</w:t>
            </w:r>
          </w:p>
        </w:tc>
      </w:tr>
      <w:tr w:rsidR="00626C09" w:rsidRPr="00BA698C">
        <w:trPr>
          <w:jc w:val="center"/>
        </w:trPr>
        <w:tc>
          <w:tcPr>
            <w:tcW w:w="230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Source lock</w:t>
            </w:r>
          </w:p>
        </w:tc>
        <w:tc>
          <w:tcPr>
            <w:tcW w:w="70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Freeze approved figures, case studies, partner names, office details and leadership bios.</w:t>
            </w:r>
          </w:p>
        </w:tc>
      </w:tr>
      <w:tr w:rsidR="00626C09" w:rsidRPr="00BA698C">
        <w:trPr>
          <w:jc w:val="center"/>
        </w:trPr>
        <w:tc>
          <w:tcPr>
            <w:tcW w:w="230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Wireframe copy</w:t>
            </w:r>
          </w:p>
        </w:tc>
        <w:tc>
          <w:tcPr>
            <w:tcW w:w="70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Write page-level narrative, modules, proof cards and CTA logic in a format that design and build can implement.</w:t>
            </w:r>
          </w:p>
        </w:tc>
      </w:tr>
      <w:tr w:rsidR="00626C09" w:rsidRPr="00BA698C">
        <w:trPr>
          <w:jc w:val="center"/>
        </w:trPr>
        <w:tc>
          <w:tcPr>
            <w:tcW w:w="230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Practice review</w:t>
            </w:r>
          </w:p>
        </w:tc>
        <w:tc>
          <w:tcPr>
            <w:tcW w:w="70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Send each service page to its owner for technical accuracy and claim approval.</w:t>
            </w:r>
          </w:p>
        </w:tc>
      </w:tr>
      <w:tr w:rsidR="00626C09" w:rsidRPr="00BA698C">
        <w:trPr>
          <w:jc w:val="center"/>
        </w:trPr>
        <w:tc>
          <w:tcPr>
            <w:tcW w:w="230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Legal/brand review</w:t>
            </w:r>
          </w:p>
        </w:tc>
        <w:tc>
          <w:tcPr>
            <w:tcW w:w="70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Approve public claims, client names, partner marks, privacy language and disclaimers.</w:t>
            </w:r>
          </w:p>
        </w:tc>
      </w:tr>
      <w:tr w:rsidR="00626C09" w:rsidRPr="00BA698C">
        <w:trPr>
          <w:jc w:val="center"/>
        </w:trPr>
        <w:tc>
          <w:tcPr>
            <w:tcW w:w="2304"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CMS entry</w:t>
            </w:r>
          </w:p>
        </w:tc>
        <w:tc>
          <w:tcPr>
            <w:tcW w:w="70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Load copy, images, links, metadata, alt text and forms into the build system.</w:t>
            </w:r>
          </w:p>
        </w:tc>
      </w:tr>
      <w:tr w:rsidR="00626C09" w:rsidRPr="00BA698C">
        <w:trPr>
          <w:jc w:val="center"/>
        </w:trPr>
        <w:tc>
          <w:tcPr>
            <w:tcW w:w="2304"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lastRenderedPageBreak/>
              <w:t>QA and launch gate</w:t>
            </w:r>
          </w:p>
        </w:tc>
        <w:tc>
          <w:tcPr>
            <w:tcW w:w="70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Check every page against acceptance criteria before publishing.</w:t>
            </w:r>
          </w:p>
        </w:tc>
      </w:tr>
    </w:tbl>
    <w:p w:rsidR="00626C09" w:rsidRPr="00BA698C" w:rsidRDefault="00626C09">
      <w:pPr>
        <w:rPr>
          <w:rFonts w:ascii="Times New Roman" w:hAnsi="Times New Roman" w:cs="Times New Roman"/>
          <w:sz w:val="24"/>
          <w:szCs w:val="24"/>
        </w:rPr>
      </w:pP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11. Launch governance, QA and post-launch optimisation</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11.1 Page-level QA checklist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Page title, URL, H1, meta title and meta description are present and aligned.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Hero copy is approved and matches the page strategic role.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figures match the locked proof register exactly.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 xml:space="preserve">All client names, logos and case-study </w:t>
      </w:r>
      <w:proofErr w:type="gramStart"/>
      <w:r w:rsidRPr="00BA698C">
        <w:rPr>
          <w:rFonts w:ascii="Times New Roman" w:hAnsi="Times New Roman" w:cs="Times New Roman"/>
          <w:sz w:val="24"/>
          <w:szCs w:val="24"/>
        </w:rPr>
        <w:t>claims</w:t>
      </w:r>
      <w:proofErr w:type="gramEnd"/>
      <w:r w:rsidRPr="00BA698C">
        <w:rPr>
          <w:rFonts w:ascii="Times New Roman" w:hAnsi="Times New Roman" w:cs="Times New Roman"/>
          <w:sz w:val="24"/>
          <w:szCs w:val="24"/>
        </w:rPr>
        <w:t xml:space="preserve"> have approval status recorded.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CTAs work and route to the correct form or page.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internal links are correct and no page leads to the old service structure.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Alt text is present for meaningful images and logos.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Mobile view preserves readability, CTA access and page hierarchy.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No placeholder text, speculative claims or unapproved future capability statements remain.</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 xml:space="preserve">Legal, privacy and form-consent language </w:t>
      </w:r>
      <w:proofErr w:type="gramStart"/>
      <w:r w:rsidRPr="00BA698C">
        <w:rPr>
          <w:rFonts w:ascii="Times New Roman" w:hAnsi="Times New Roman" w:cs="Times New Roman"/>
          <w:sz w:val="24"/>
          <w:szCs w:val="24"/>
        </w:rPr>
        <w:t>is</w:t>
      </w:r>
      <w:proofErr w:type="gramEnd"/>
      <w:r w:rsidRPr="00BA698C">
        <w:rPr>
          <w:rFonts w:ascii="Times New Roman" w:hAnsi="Times New Roman" w:cs="Times New Roman"/>
          <w:sz w:val="24"/>
          <w:szCs w:val="24"/>
        </w:rPr>
        <w:t xml:space="preserve"> active wherever data is collected.</w:t>
      </w: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11.2 Launch risk register</w:t>
      </w:r>
    </w:p>
    <w:tbl>
      <w:tblPr>
        <w:tblStyle w:val="TableGrid"/>
        <w:tblW w:w="0" w:type="auto"/>
        <w:jc w:val="center"/>
        <w:tblLook w:val="04A0" w:firstRow="1" w:lastRow="0" w:firstColumn="1" w:lastColumn="0" w:noHBand="0" w:noVBand="1"/>
      </w:tblPr>
      <w:tblGrid>
        <w:gridCol w:w="2448"/>
        <w:gridCol w:w="3456"/>
        <w:gridCol w:w="3456"/>
      </w:tblGrid>
      <w:tr w:rsidR="00626C09" w:rsidRPr="00BA698C">
        <w:trPr>
          <w:jc w:val="center"/>
        </w:trPr>
        <w:tc>
          <w:tcPr>
            <w:tcW w:w="244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Risk</w:t>
            </w:r>
          </w:p>
        </w:tc>
        <w:tc>
          <w:tcPr>
            <w:tcW w:w="345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Impact</w:t>
            </w:r>
          </w:p>
        </w:tc>
        <w:tc>
          <w:tcPr>
            <w:tcW w:w="3456"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Mitigation</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Unresolved metric conflict</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Public inconsistency weakens credibility.</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Keep decision register active; do not publish conflicting figures.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Client/logo approval gaps</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Legal or relationship risk.</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anonymised proof or NDA-request CTA until written approval exists.</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Overlong SAP page</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sz w:val="24"/>
                <w:szCs w:val="24"/>
              </w:rPr>
              <w:t>Users can miss critical sections.</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sticky jump menu, proof cards and contextual CTAs.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Generic industry copy</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Sector pages fail to persuade.</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Anchor every sector page to relevant capability and proof.</w:t>
            </w:r>
          </w:p>
        </w:tc>
      </w:tr>
      <w:tr w:rsidR="00626C09" w:rsidRPr="00BA698C">
        <w:trPr>
          <w:jc w:val="center"/>
        </w:trPr>
        <w:tc>
          <w:tcPr>
            <w:tcW w:w="244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Weak form routing</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High-intent leads become generic inbox enquiries.</w:t>
            </w:r>
          </w:p>
        </w:tc>
        <w:tc>
          <w:tcPr>
            <w:tcW w:w="3456"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Align form area-of-interest values to pillars and high-intent offerings.</w:t>
            </w:r>
          </w:p>
        </w:tc>
      </w:tr>
      <w:tr w:rsidR="00626C09" w:rsidRPr="00BA698C">
        <w:trPr>
          <w:jc w:val="center"/>
        </w:trPr>
        <w:tc>
          <w:tcPr>
            <w:tcW w:w="244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SEO content drift</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Pages become keyword-heavy and lose enterprise tone.</w:t>
            </w:r>
          </w:p>
        </w:tc>
        <w:tc>
          <w:tcPr>
            <w:tcW w:w="3456"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Use metadata and structured sections for SEO; keep hero copy premium.</w:t>
            </w:r>
          </w:p>
        </w:tc>
      </w:tr>
    </w:tbl>
    <w:p w:rsidR="00626C09" w:rsidRPr="00BA698C" w:rsidRDefault="00626C09">
      <w:pPr>
        <w:rPr>
          <w:rFonts w:ascii="Times New Roman" w:hAnsi="Times New Roman" w:cs="Times New Roman"/>
          <w:sz w:val="24"/>
          <w:szCs w:val="24"/>
        </w:rPr>
      </w:pPr>
    </w:p>
    <w:p w:rsidR="00626C09" w:rsidRPr="00BA698C" w:rsidRDefault="000675D4">
      <w:pPr>
        <w:pStyle w:val="Heading2"/>
        <w:spacing w:before="160" w:after="80"/>
        <w:rPr>
          <w:rFonts w:ascii="Times New Roman" w:hAnsi="Times New Roman" w:cs="Times New Roman"/>
          <w:szCs w:val="24"/>
        </w:rPr>
      </w:pPr>
      <w:r w:rsidRPr="00BA698C">
        <w:rPr>
          <w:rFonts w:ascii="Times New Roman" w:hAnsi="Times New Roman" w:cs="Times New Roman"/>
          <w:color w:val="002040"/>
          <w:szCs w:val="24"/>
        </w:rPr>
        <w:t>11.3 Post-launch optimisation</w:t>
      </w:r>
    </w:p>
    <w:p w:rsidR="00626C09" w:rsidRPr="00BA698C" w:rsidRDefault="000675D4">
      <w:pPr>
        <w:spacing w:after="100" w:line="259" w:lineRule="auto"/>
        <w:rPr>
          <w:rFonts w:ascii="Times New Roman" w:hAnsi="Times New Roman" w:cs="Times New Roman"/>
          <w:sz w:val="24"/>
          <w:szCs w:val="24"/>
        </w:rPr>
      </w:pPr>
      <w:r w:rsidRPr="00BA698C">
        <w:rPr>
          <w:rFonts w:ascii="Times New Roman" w:hAnsi="Times New Roman" w:cs="Times New Roman"/>
          <w:sz w:val="24"/>
          <w:szCs w:val="24"/>
        </w:rPr>
        <w:t>After launch, the content team reviews performance by page type, not only by total website traffic. The priority signals are enquiry quality, CTA engagement, SAP page depth, case-study engagement, RISE vs GROW interaction, Health Check interest and contact-form routing accuracy.</w:t>
      </w:r>
    </w:p>
    <w:tbl>
      <w:tblPr>
        <w:tblStyle w:val="TableGrid"/>
        <w:tblW w:w="0" w:type="auto"/>
        <w:jc w:val="center"/>
        <w:tblLook w:val="04A0" w:firstRow="1" w:lastRow="0" w:firstColumn="1" w:lastColumn="0" w:noHBand="0" w:noVBand="1"/>
      </w:tblPr>
      <w:tblGrid>
        <w:gridCol w:w="2160"/>
        <w:gridCol w:w="3600"/>
        <w:gridCol w:w="3600"/>
      </w:tblGrid>
      <w:tr w:rsidR="00626C09" w:rsidRPr="00BA698C">
        <w:trPr>
          <w:jc w:val="center"/>
        </w:trPr>
        <w:tc>
          <w:tcPr>
            <w:tcW w:w="216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lastRenderedPageBreak/>
              <w:t>Content area</w:t>
            </w:r>
          </w:p>
        </w:tc>
        <w:tc>
          <w:tcPr>
            <w:tcW w:w="360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What to monitor</w:t>
            </w:r>
          </w:p>
        </w:tc>
        <w:tc>
          <w:tcPr>
            <w:tcW w:w="3600"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Optimisation action</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Home</w:t>
            </w:r>
          </w:p>
        </w:tc>
        <w:tc>
          <w:tcPr>
            <w:tcW w:w="360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CTA clicks, scroll depth, pillar-card clicks.</w:t>
            </w:r>
          </w:p>
        </w:tc>
        <w:tc>
          <w:tcPr>
            <w:tcW w:w="360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Adjust proof order and CTA labels based on user behaviour.</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flagship</w:t>
            </w:r>
          </w:p>
        </w:tc>
        <w:tc>
          <w:tcPr>
            <w:tcW w:w="360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Jump-menu clicks, time on page, SAP form submissions.</w:t>
            </w:r>
          </w:p>
        </w:tc>
        <w:tc>
          <w:tcPr>
            <w:tcW w:w="360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Promote high-performing SAP modules and improve weak sections.</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RISE vs GROW</w:t>
            </w:r>
          </w:p>
        </w:tc>
        <w:tc>
          <w:tcPr>
            <w:tcW w:w="360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Completion rate and Pathway Assessment clicks.</w:t>
            </w:r>
          </w:p>
        </w:tc>
        <w:tc>
          <w:tcPr>
            <w:tcW w:w="360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Shorten or clarify questions if drop-off is high.</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Health Check 360</w:t>
            </w:r>
          </w:p>
        </w:tc>
        <w:tc>
          <w:tcPr>
            <w:tcW w:w="360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Briefing requests and HR traffic sources.</w:t>
            </w:r>
          </w:p>
        </w:tc>
        <w:tc>
          <w:tcPr>
            <w:tcW w:w="360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Create supporting insight articles and campaign landing paths.</w:t>
            </w:r>
          </w:p>
        </w:tc>
      </w:tr>
      <w:tr w:rsidR="00626C09" w:rsidRPr="00BA698C">
        <w:trPr>
          <w:jc w:val="center"/>
        </w:trPr>
        <w:tc>
          <w:tcPr>
            <w:tcW w:w="216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Case studies</w:t>
            </w:r>
          </w:p>
        </w:tc>
        <w:tc>
          <w:tcPr>
            <w:tcW w:w="360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Filters used, story views and full-case-study requests.</w:t>
            </w:r>
          </w:p>
        </w:tc>
        <w:tc>
          <w:tcPr>
            <w:tcW w:w="3600"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Add more stories in high-demand industries.</w:t>
            </w:r>
          </w:p>
        </w:tc>
      </w:tr>
      <w:tr w:rsidR="00626C09" w:rsidRPr="00BA698C">
        <w:trPr>
          <w:jc w:val="center"/>
        </w:trPr>
        <w:tc>
          <w:tcPr>
            <w:tcW w:w="216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Industries</w:t>
            </w:r>
          </w:p>
        </w:tc>
        <w:tc>
          <w:tcPr>
            <w:tcW w:w="360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Sector page visits and case-study click-through.</w:t>
            </w:r>
          </w:p>
        </w:tc>
        <w:tc>
          <w:tcPr>
            <w:tcW w:w="3600"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Strengthen sectors with relevant proof and tailored CTAs.</w:t>
            </w:r>
          </w:p>
        </w:tc>
      </w:tr>
    </w:tbl>
    <w:p w:rsidR="00626C09" w:rsidRDefault="00626C09">
      <w:pPr>
        <w:rPr>
          <w:rFonts w:ascii="Times New Roman" w:hAnsi="Times New Roman" w:cs="Times New Roman"/>
          <w:sz w:val="24"/>
          <w:szCs w:val="24"/>
        </w:rPr>
      </w:pPr>
    </w:p>
    <w:p w:rsidR="00BA698C" w:rsidRPr="00BA698C" w:rsidRDefault="00BA698C">
      <w:pPr>
        <w:rPr>
          <w:rFonts w:ascii="Times New Roman" w:hAnsi="Times New Roman" w:cs="Times New Roman"/>
          <w:sz w:val="24"/>
          <w:szCs w:val="24"/>
        </w:rPr>
      </w:pP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Appendix A - Approved copy bank</w:t>
      </w:r>
    </w:p>
    <w:tbl>
      <w:tblPr>
        <w:tblStyle w:val="TableGrid"/>
        <w:tblW w:w="0" w:type="auto"/>
        <w:jc w:val="center"/>
        <w:tblLook w:val="04A0" w:firstRow="1" w:lastRow="0" w:firstColumn="1" w:lastColumn="0" w:noHBand="0" w:noVBand="1"/>
      </w:tblPr>
      <w:tblGrid>
        <w:gridCol w:w="2592"/>
        <w:gridCol w:w="6768"/>
      </w:tblGrid>
      <w:tr w:rsidR="00626C09" w:rsidRPr="00BA698C">
        <w:trPr>
          <w:jc w:val="center"/>
        </w:trPr>
        <w:tc>
          <w:tcPr>
            <w:tcW w:w="259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Use case</w:t>
            </w:r>
          </w:p>
        </w:tc>
        <w:tc>
          <w:tcPr>
            <w:tcW w:w="676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Approved copy direction</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Master headline</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An AI-led enterprise transformation company across Platforms, Advisory and Digital Engineering.</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Supporting line</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 decade of enterprise transformation, delivered globally.</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Structure line</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Three pillars. One converged enterprise.</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Accountability line</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One accountable partner across consulting, implementation, support and ongoing transformation - never fragmented vendors.</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Operating principle</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Converged Intelligence - clear practice ownership, common delivery engine and AI woven across every pillar.</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hero</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Gold Partner. 300+ consultants. 1,000+ combined years of SAP experience.</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CTA</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Let us talk about your transformation.</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Discovery CTA</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Book a discovery workshop.</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SAP CTA</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Speak to an SAP transformation expert.</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Health Check CTA</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Request your Health Check 360 briefing.</w:t>
            </w:r>
          </w:p>
        </w:tc>
      </w:tr>
    </w:tbl>
    <w:p w:rsidR="00626C09" w:rsidRPr="00BA698C" w:rsidRDefault="00626C09">
      <w:pPr>
        <w:rPr>
          <w:rFonts w:ascii="Times New Roman" w:hAnsi="Times New Roman" w:cs="Times New Roman"/>
          <w:sz w:val="24"/>
          <w:szCs w:val="24"/>
        </w:rPr>
      </w:pPr>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lastRenderedPageBreak/>
        <w:t>Appendix B - Content launch checklist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leadership sign-off on 380+ employee headline figure or source update if leadership changes it.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Confirmation that 12+ packaged accelerators and 10+ proprietary accelerators are separate categories.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Approval to publish 12+ strategic partners and final partner logo list.</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approval for all SAP, RISE, PCE, Salesforce, Workday and ISO/CMMI credential usage.</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Case-study visibility status recorded for every story: public named, public anonymised, request under NDA or internal only.</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office locations and regional contact routes verified.</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service pages reviewed by relevant practice owners.</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forms tested with the correct recipient, subject line and area-of-interest routing.</w:t>
      </w:r>
    </w:p>
    <w:p w:rsidR="00626C09" w:rsidRPr="00BA698C"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All metadata, titles, alt text, links and redirects reviewed.</w:t>
      </w:r>
    </w:p>
    <w:p w:rsidR="00626C09" w:rsidRDefault="000675D4">
      <w:pPr>
        <w:pStyle w:val="ListBullet"/>
        <w:spacing w:after="60"/>
        <w:rPr>
          <w:rFonts w:ascii="Times New Roman" w:hAnsi="Times New Roman" w:cs="Times New Roman"/>
          <w:sz w:val="24"/>
          <w:szCs w:val="24"/>
        </w:rPr>
      </w:pPr>
      <w:r w:rsidRPr="00BA698C">
        <w:rPr>
          <w:rFonts w:ascii="Times New Roman" w:hAnsi="Times New Roman" w:cs="Times New Roman"/>
          <w:sz w:val="24"/>
          <w:szCs w:val="24"/>
        </w:rPr>
        <w:t>Final website reviewed against this plan before launch.</w:t>
      </w:r>
    </w:p>
    <w:p w:rsidR="00BA698C" w:rsidRPr="00BA698C" w:rsidRDefault="00BA698C" w:rsidP="00BA698C">
      <w:pPr>
        <w:pStyle w:val="ListBullet"/>
        <w:numPr>
          <w:ilvl w:val="0"/>
          <w:numId w:val="0"/>
        </w:numPr>
        <w:spacing w:after="60"/>
        <w:rPr>
          <w:rFonts w:ascii="Times New Roman" w:hAnsi="Times New Roman" w:cs="Times New Roman"/>
          <w:sz w:val="24"/>
          <w:szCs w:val="24"/>
        </w:rPr>
      </w:pPr>
      <w:bookmarkStart w:id="0" w:name="_GoBack"/>
      <w:bookmarkEnd w:id="0"/>
    </w:p>
    <w:p w:rsidR="00626C09" w:rsidRPr="00BA698C" w:rsidRDefault="000675D4">
      <w:pPr>
        <w:pStyle w:val="Heading1"/>
        <w:spacing w:before="200" w:after="100"/>
        <w:rPr>
          <w:rFonts w:ascii="Times New Roman" w:hAnsi="Times New Roman" w:cs="Times New Roman"/>
          <w:sz w:val="24"/>
          <w:szCs w:val="24"/>
        </w:rPr>
      </w:pPr>
      <w:r w:rsidRPr="00BA698C">
        <w:rPr>
          <w:rFonts w:ascii="Times New Roman" w:hAnsi="Times New Roman" w:cs="Times New Roman"/>
          <w:color w:val="002040"/>
          <w:sz w:val="24"/>
          <w:szCs w:val="24"/>
        </w:rPr>
        <w:t>Appendix C - Glossary for implementation teams</w:t>
      </w:r>
    </w:p>
    <w:tbl>
      <w:tblPr>
        <w:tblStyle w:val="TableGrid"/>
        <w:tblW w:w="0" w:type="auto"/>
        <w:jc w:val="center"/>
        <w:tblLook w:val="04A0" w:firstRow="1" w:lastRow="0" w:firstColumn="1" w:lastColumn="0" w:noHBand="0" w:noVBand="1"/>
      </w:tblPr>
      <w:tblGrid>
        <w:gridCol w:w="2592"/>
        <w:gridCol w:w="6768"/>
      </w:tblGrid>
      <w:tr w:rsidR="00626C09" w:rsidRPr="00BA698C">
        <w:trPr>
          <w:jc w:val="center"/>
        </w:trPr>
        <w:tc>
          <w:tcPr>
            <w:tcW w:w="2592"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Term</w:t>
            </w:r>
          </w:p>
        </w:tc>
        <w:tc>
          <w:tcPr>
            <w:tcW w:w="6768" w:type="dxa"/>
            <w:shd w:val="clear" w:color="auto" w:fill="002040"/>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t>Website meaning</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Converged Intelligence</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In2IT EBS operating principle: clear practice ownership, common delivery engine and AI woven across every pillar.</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Platform Services</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The platform-led transformation pillar covering SAP, Salesforce and Workday.</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Advisory Services</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The consulting-led transformation pillar covering strategy, governance, enterprise architecture, change and assurance.</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Digital, Data &amp; AI</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The engineering-led pillar covering applications, AI, data, analytics, integration and cloud.</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Delivery Excellence</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The shared delivery model, including FastForward, development factory, AMS bench and account governance.</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RISE with SAP</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S/4HANA Cloud path suited to larger and more complex enterprise transformations requiring flexibility and private-cloud depth.</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GROW with SAP</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S/4HANA Public Cloud path suited to faster-moving, best-practice-led mid-market or new-unit transformations.</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Clean core</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Extending SAP without modifying the standard core, so upgrades and future innovation remain easier.</w:t>
            </w:r>
          </w:p>
        </w:tc>
      </w:tr>
      <w:tr w:rsidR="00626C09" w:rsidRPr="00BA698C">
        <w:trPr>
          <w:jc w:val="center"/>
        </w:trPr>
        <w:tc>
          <w:tcPr>
            <w:tcW w:w="2592"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Health Check 360</w:t>
            </w:r>
          </w:p>
        </w:tc>
        <w:tc>
          <w:tcPr>
            <w:tcW w:w="6768" w:type="dx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AI-powered SuccessFactors diagnostic and roadmap offering.</w:t>
            </w:r>
          </w:p>
        </w:tc>
      </w:tr>
      <w:tr w:rsidR="00626C09" w:rsidRPr="00BA698C">
        <w:trPr>
          <w:jc w:val="center"/>
        </w:trPr>
        <w:tc>
          <w:tcPr>
            <w:tcW w:w="2592"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AMS</w:t>
            </w:r>
          </w:p>
        </w:tc>
        <w:tc>
          <w:tcPr>
            <w:tcW w:w="6768" w:type="dxa"/>
            <w:shd w:val="clear" w:color="auto" w:fill="F3F6FA"/>
            <w:tcMar>
              <w:top w:w="80" w:type="dxa"/>
              <w:left w:w="80" w:type="dxa"/>
              <w:bottom w:w="80" w:type="dxa"/>
              <w:right w:w="8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color w:val="141414"/>
                <w:sz w:val="24"/>
                <w:szCs w:val="24"/>
              </w:rPr>
              <w:t>Application Management Services: run, support, optimise and continuously improve live systems.</w:t>
            </w:r>
          </w:p>
        </w:tc>
      </w:tr>
    </w:tbl>
    <w:p w:rsidR="00626C09" w:rsidRDefault="00626C09">
      <w:pPr>
        <w:rPr>
          <w:rFonts w:ascii="Times New Roman" w:hAnsi="Times New Roman" w:cs="Times New Roman"/>
          <w:sz w:val="24"/>
          <w:szCs w:val="24"/>
        </w:rPr>
      </w:pPr>
    </w:p>
    <w:p w:rsidR="00BA698C" w:rsidRPr="00BA698C" w:rsidRDefault="00BA698C">
      <w:pPr>
        <w:rPr>
          <w:rFonts w:ascii="Times New Roman" w:hAnsi="Times New Roman" w:cs="Times New Roman"/>
          <w:sz w:val="24"/>
          <w:szCs w:val="24"/>
        </w:rPr>
      </w:pPr>
    </w:p>
    <w:tbl>
      <w:tblPr>
        <w:tblW w:w="0" w:type="auto"/>
        <w:jc w:val="center"/>
        <w:tblLook w:val="04A0" w:firstRow="1" w:lastRow="0" w:firstColumn="1" w:lastColumn="0" w:noHBand="0" w:noVBand="1"/>
      </w:tblPr>
      <w:tblGrid>
        <w:gridCol w:w="10224"/>
      </w:tblGrid>
      <w:tr w:rsidR="00626C09" w:rsidRPr="00BA698C">
        <w:trPr>
          <w:jc w:val="center"/>
        </w:trPr>
        <w:tc>
          <w:tcPr>
            <w:tcW w:w="10224" w:type="dxa"/>
            <w:shd w:val="clear" w:color="auto" w:fill="002040"/>
            <w:tcMar>
              <w:top w:w="120" w:type="dxa"/>
              <w:left w:w="160" w:type="dxa"/>
              <w:bottom w:w="120" w:type="dxa"/>
              <w:right w:w="160" w:type="dxa"/>
            </w:tcMar>
            <w:vAlign w:val="center"/>
          </w:tcPr>
          <w:p w:rsidR="00626C09" w:rsidRPr="00BA698C" w:rsidRDefault="000675D4">
            <w:pPr>
              <w:rPr>
                <w:rFonts w:ascii="Times New Roman" w:hAnsi="Times New Roman" w:cs="Times New Roman"/>
                <w:sz w:val="24"/>
                <w:szCs w:val="24"/>
              </w:rPr>
            </w:pPr>
            <w:r w:rsidRPr="00BA698C">
              <w:rPr>
                <w:rFonts w:ascii="Times New Roman" w:hAnsi="Times New Roman" w:cs="Times New Roman"/>
                <w:b/>
                <w:color w:val="FFFFFF"/>
                <w:sz w:val="24"/>
                <w:szCs w:val="24"/>
              </w:rPr>
              <w:lastRenderedPageBreak/>
              <w:t>Build the website from this plan as a source-controlled content system. Every page must establish trust, explain a capability, prove delivery, route a buyer or convert interest. Any page that does not perform one of these roles is excluded from the launch scope.</w:t>
            </w:r>
          </w:p>
        </w:tc>
      </w:tr>
    </w:tbl>
    <w:p w:rsidR="00626C09" w:rsidRPr="00BA698C" w:rsidRDefault="00626C09">
      <w:pPr>
        <w:rPr>
          <w:rFonts w:ascii="Times New Roman" w:hAnsi="Times New Roman" w:cs="Times New Roman"/>
          <w:sz w:val="24"/>
          <w:szCs w:val="24"/>
        </w:rPr>
      </w:pPr>
    </w:p>
    <w:sectPr w:rsidR="00626C09" w:rsidRPr="00BA698C" w:rsidSect="00034616">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4248" w:rsidRDefault="004E4248">
      <w:pPr>
        <w:spacing w:after="0" w:line="240" w:lineRule="auto"/>
      </w:pPr>
      <w:r>
        <w:separator/>
      </w:r>
    </w:p>
  </w:endnote>
  <w:endnote w:type="continuationSeparator" w:id="0">
    <w:p w:rsidR="004E4248" w:rsidRDefault="004E4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4779438"/>
      <w:docPartObj>
        <w:docPartGallery w:val="Page Numbers (Bottom of Page)"/>
        <w:docPartUnique/>
      </w:docPartObj>
    </w:sdtPr>
    <w:sdtContent>
      <w:sdt>
        <w:sdtPr>
          <w:id w:val="-1769616900"/>
          <w:docPartObj>
            <w:docPartGallery w:val="Page Numbers (Top of Page)"/>
            <w:docPartUnique/>
          </w:docPartObj>
        </w:sdtPr>
        <w:sdtContent>
          <w:p w:rsidR="00BA698C" w:rsidRDefault="00BA698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0675D4" w:rsidRDefault="000675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4248" w:rsidRDefault="004E4248">
      <w:pPr>
        <w:spacing w:after="0" w:line="240" w:lineRule="auto"/>
      </w:pPr>
      <w:r>
        <w:separator/>
      </w:r>
    </w:p>
  </w:footnote>
  <w:footnote w:type="continuationSeparator" w:id="0">
    <w:p w:rsidR="004E4248" w:rsidRDefault="004E4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5D4" w:rsidRDefault="00A64DC9">
    <w:pPr>
      <w:pStyle w:val="Header"/>
      <w:jc w:val="right"/>
    </w:pPr>
    <w:r>
      <w:rPr>
        <w:noProof/>
        <w:color w:val="464646"/>
        <w:sz w:val="16"/>
      </w:rPr>
      <w:drawing>
        <wp:anchor distT="0" distB="0" distL="114300" distR="114300" simplePos="0" relativeHeight="251658240" behindDoc="1" locked="0" layoutInCell="1" allowOverlap="1">
          <wp:simplePos x="0" y="0"/>
          <wp:positionH relativeFrom="column">
            <wp:posOffset>-594360</wp:posOffset>
          </wp:positionH>
          <wp:positionV relativeFrom="paragraph">
            <wp:posOffset>-600075</wp:posOffset>
          </wp:positionV>
          <wp:extent cx="1514475" cy="724535"/>
          <wp:effectExtent l="0" t="0" r="0" b="0"/>
          <wp:wrapTight wrapText="bothSides">
            <wp:wrapPolygon edited="0">
              <wp:start x="2989" y="5679"/>
              <wp:lineTo x="2989" y="9087"/>
              <wp:lineTo x="4347" y="14766"/>
              <wp:lineTo x="17389" y="14766"/>
              <wp:lineTo x="18747" y="9087"/>
              <wp:lineTo x="17660" y="7383"/>
              <wp:lineTo x="4075" y="5679"/>
              <wp:lineTo x="2989" y="567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724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75D4">
      <w:rPr>
        <w:color w:val="464646"/>
        <w:sz w:val="16"/>
      </w:rPr>
      <w:t>In2IT EBS | Website Content Plan &amp; Implementation Directive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5D4"/>
    <w:rsid w:val="0015074B"/>
    <w:rsid w:val="001D53FE"/>
    <w:rsid w:val="002615C3"/>
    <w:rsid w:val="0029639D"/>
    <w:rsid w:val="00326F90"/>
    <w:rsid w:val="004E4248"/>
    <w:rsid w:val="00626C09"/>
    <w:rsid w:val="00A64DC9"/>
    <w:rsid w:val="00AA1D8D"/>
    <w:rsid w:val="00B47730"/>
    <w:rsid w:val="00BA698C"/>
    <w:rsid w:val="00CB0664"/>
    <w:rsid w:val="00E945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39759"/>
  <w14:defaultImageDpi w14:val="300"/>
  <w15:docId w15:val="{8A1B7F44-928F-4874-96CB-9BDE8BDA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9FEEE-E419-44A1-9750-673884863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32</Pages>
  <Words>8461</Words>
  <Characters>48234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In2IT EBS Website Content Action Plan</vt:lpstr>
    </vt:vector>
  </TitlesOfParts>
  <Manager/>
  <Company/>
  <LinksUpToDate>false</LinksUpToDate>
  <CharactersWithSpaces>56582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In2IT EBS Website Content Action Plan</dc:title>
  <dc:subject>Expanded professional website content action plan</dc:subject>
  <dc:creator>OpenAI</dc:creator>
  <cp:keywords>In2IT EBS, SAP Gold Partner, website content plan, action plan, Converged Intelligence</cp:keywords>
  <dc:description>Expanded from the provided content plan with figures preserved from the leadership deck.</dc:description>
  <cp:lastModifiedBy>Pralay Mishra</cp:lastModifiedBy>
  <cp:revision>4</cp:revision>
  <dcterms:created xsi:type="dcterms:W3CDTF">2013-12-23T23:15:00Z</dcterms:created>
  <dcterms:modified xsi:type="dcterms:W3CDTF">2026-06-04T11:26:00Z</dcterms:modified>
  <cp:category/>
</cp:coreProperties>
</file>