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0A9" w:rsidRPr="00A92F8E" w:rsidRDefault="00676B4B">
      <w:pPr>
        <w:jc w:val="center"/>
        <w:rPr>
          <w:rFonts w:ascii="Times New Roman" w:hAnsi="Times New Roman" w:cs="Times New Roman"/>
          <w:color w:val="17365D" w:themeColor="text2" w:themeShade="BF"/>
          <w:sz w:val="28"/>
          <w:szCs w:val="24"/>
        </w:rPr>
      </w:pPr>
      <w:r w:rsidRPr="00A92F8E">
        <w:rPr>
          <w:rFonts w:ascii="Times New Roman" w:hAnsi="Times New Roman" w:cs="Times New Roman"/>
          <w:b/>
          <w:color w:val="17365D" w:themeColor="text2" w:themeShade="BF"/>
          <w:sz w:val="28"/>
          <w:szCs w:val="24"/>
        </w:rPr>
        <w:t>Website Section Content Blueprint</w:t>
      </w:r>
    </w:p>
    <w:p w:rsidR="009600A9" w:rsidRPr="00A92F8E" w:rsidRDefault="00676B4B">
      <w:pPr>
        <w:jc w:val="center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color w:val="666666"/>
          <w:sz w:val="24"/>
          <w:szCs w:val="24"/>
        </w:rPr>
        <w:t>Expanded website copy and placement plan for the main corporate website</w:t>
      </w:r>
    </w:p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580"/>
        <w:gridCol w:w="8292"/>
      </w:tblGrid>
      <w:tr w:rsidR="009600A9" w:rsidRPr="00A92F8E">
        <w:trPr>
          <w:jc w:val="center"/>
        </w:trPr>
        <w:tc>
          <w:tcPr>
            <w:tcW w:w="259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Document control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Directive</w:t>
            </w:r>
          </w:p>
        </w:tc>
      </w:tr>
      <w:tr w:rsidR="009600A9" w:rsidRPr="00A92F8E">
        <w:trPr>
          <w:jc w:val="center"/>
        </w:trPr>
        <w:tc>
          <w:tcPr>
            <w:tcW w:w="25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Define the exact content that belongs on each website page and in each major section, using the Corporate Capability Deck 2, May 2026 as the controlling source.</w:t>
            </w:r>
          </w:p>
        </w:tc>
      </w:tr>
      <w:tr w:rsidR="009600A9" w:rsidRPr="00A92F8E">
        <w:trPr>
          <w:jc w:val="center"/>
        </w:trPr>
        <w:tc>
          <w:tcPr>
            <w:tcW w:w="25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Output type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 section-by-section content blueprint for copywriters, designers, developers, business owners and leadership reviewers.</w:t>
            </w:r>
          </w:p>
        </w:tc>
      </w:tr>
      <w:tr w:rsidR="009600A9" w:rsidRPr="00A92F8E">
        <w:trPr>
          <w:jc w:val="center"/>
        </w:trPr>
        <w:tc>
          <w:tcPr>
            <w:tcW w:w="25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Source discipline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No new service lines, proof claims, partner claims or statistics are introduced. Every content block is tied to the deck structure or a page already present in the approved website plan.</w:t>
            </w:r>
          </w:p>
        </w:tc>
      </w:tr>
      <w:tr w:rsidR="009600A9" w:rsidRPr="00A92F8E">
        <w:trPr>
          <w:jc w:val="center"/>
        </w:trPr>
        <w:tc>
          <w:tcPr>
            <w:tcW w:w="25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Primary website narrative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An AI-led enterprise transformation company across Platforms, Advisory and Digital Engineering.</w:t>
            </w:r>
          </w:p>
        </w:tc>
      </w:tr>
      <w:tr w:rsidR="009600A9" w:rsidRPr="00A92F8E">
        <w:trPr>
          <w:jc w:val="center"/>
        </w:trPr>
        <w:tc>
          <w:tcPr>
            <w:tcW w:w="25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Core conversion line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Let us talk about your transformation.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1"/>
        <w:rPr>
          <w:rFonts w:ascii="Times New Roman" w:hAnsi="Times New Roman" w:cs="Times New Roman"/>
          <w:sz w:val="28"/>
          <w:szCs w:val="24"/>
        </w:rPr>
      </w:pPr>
      <w:r w:rsidRPr="00A92F8E">
        <w:rPr>
          <w:rFonts w:ascii="Times New Roman" w:hAnsi="Times New Roman" w:cs="Times New Roman"/>
          <w:b w:val="0"/>
          <w:sz w:val="28"/>
          <w:szCs w:val="24"/>
        </w:rPr>
        <w:t>Contents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1. Site-wide content rules and proof register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2. Header, mega-menu and footer content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3. Home page expanded content blueprint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4. Corporate and service pages expanded content blueprint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5. SAP flagship page expanded content blueprint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6. SAP deep-dive sub-page content blueprints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7. Salesforce, Workday, Advisory, Digital/Data/AI and Delivery content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8. Industries, clients, case studies, partners, Why In2IT EBS and Contact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9. Page-level source map and launch copy checks</w:t>
      </w:r>
      <w:bookmarkStart w:id="0" w:name="_GoBack"/>
      <w:bookmarkEnd w:id="0"/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lastRenderedPageBreak/>
        <w:t>1. Site-wide content rules and proof register</w:t>
      </w: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The website content is built around one master proposition: In2IT EBS is an AI-led enterprise transformation company structured around Platforms, Advisory and Digital Engineering, with SAP-led transformation as the deepest visible proof point and Converged Intelligence as the operating principle.</w:t>
      </w: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Non-negotiable content rules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Lead with enterprise credibility before service detail: SAP Gold Partner, scale, footprint, certifications and proof must appear early on key pages.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Use the three-pillar language consistently: Platform Services, Advisory Services, Digital, Data &amp; AI Services, supported by Delivery Excellence.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Use SAP as the flagship service area and maintain separate page depth for RISE/GROW, migrations, SuccessFactors/HXM, Health Check 360, Concur, Ariba, Joule, Clean Core, Syniti, SAP Analytics Cloud and ABAP Factory.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Keep Salesforce and Workday as credible platform capabilities connected to the broader enterprise transformation story, without making them appear deeper than SAP.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Use “Converged Intelligence” as a strategic idea, not a decorative slogan: it connects practice ownership, common delivery engine and AI across every pillar.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Use case studies as proof modules. Public naming must follow account-owner approval; confidential stories use request-under-NDA treatment.</w:t>
      </w: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Reusable proof points and where they belong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310"/>
        <w:gridCol w:w="5108"/>
        <w:gridCol w:w="3454"/>
      </w:tblGrid>
      <w:tr w:rsidR="009600A9" w:rsidRPr="00A92F8E">
        <w:trPr>
          <w:jc w:val="center"/>
        </w:trPr>
        <w:tc>
          <w:tcPr>
            <w:tcW w:w="223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Proof area</w:t>
            </w:r>
          </w:p>
        </w:tc>
        <w:tc>
          <w:tcPr>
            <w:tcW w:w="511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Exact content to use</w:t>
            </w:r>
          </w:p>
        </w:tc>
        <w:tc>
          <w:tcPr>
            <w:tcW w:w="3456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Primary website placement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Corporate scale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10+ years of experience; 380+ employees; 150+ global customers; 30+ countries delivered; 14+ industry verticals; 12+ packaged accelerators; 12+ strategic partners; 10+ proprietary accelerators.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Home proof strip; Who We Are; Why In2IT EBS; footer trust zone.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Footprint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4 delivery centres: Bengaluru, Hyderabad, Delhi NCR, Bhubaneswar. 6 sales offices: Mumbai, Chennai, Singapore, Dubai, Nairobi, Johannesburg.</w:t>
            </w:r>
          </w:p>
        </w:tc>
        <w:tc>
          <w:tcPr>
            <w:tcW w:w="34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Who We Are; Contact; footer; regional contact blocks.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Credentials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Gold Partner; RISE with SAP; PCE Partner; Salesforce Partner; Workday Services; CMMI; ISO 9001; ISO 27001.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Header trust badge where allowed; footer; About; SAP page; partner ecosystem.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depth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Gold Partner. 300+ consultants. 1,000+ combined years of SAP experience. 50+ SAP clients across manufacturing, infrastructure, professional services, metals &amp; mining and utilities.</w:t>
            </w:r>
          </w:p>
        </w:tc>
        <w:tc>
          <w:tcPr>
            <w:tcW w:w="34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Home trust module; Platform Services; SAP flagship hero; SAP practice at a glance.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S/4HANA proof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30% faster go-live vs benchmark; 25+ S/4HANA programs delivered; 100% go-live success rate. Source note: internal program data across 25+ S/4HANA implementations, 2019-2026.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S/4HANA section; RISE/GROW decision page.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Migrations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99.5% average data migration accuracy; 3+ migration mock-load cycles per program; 100% successful cutover rate.</w:t>
            </w:r>
          </w:p>
        </w:tc>
        <w:tc>
          <w:tcPr>
            <w:tcW w:w="34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migrations section; Syniti data management.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SuccessFactors/HXM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125+ projects delivered; 87+ certified HXM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consultants; 10+ live proofs of concept; 100% success rate on HR transformation projects.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SAP HXM page/section; Health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Check 360 bridge.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Health Check 360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30-40% reduction in customization debt; 25% lift in monthly active users; 2x faster Joule/AI activation; </w:t>
            </w:r>
            <w:proofErr w:type="gramStart"/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4-6 week</w:t>
            </w:r>
            <w:proofErr w:type="gramEnd"/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 typical engagement; benchmark dataset of 200+ companies across 12 sectors.</w:t>
            </w:r>
          </w:p>
        </w:tc>
        <w:tc>
          <w:tcPr>
            <w:tcW w:w="34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SuccessFactors AI Diagnostic Extension / Health Check 360 page.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Concur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25+ Concur implementations; 12-week average go-live; 4 country tax configurations.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Concur section/page.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Ariba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15+ Ariba programs delivered; 40% average P2P cycle-time cut; S/4 native integration.</w:t>
            </w:r>
          </w:p>
        </w:tc>
        <w:tc>
          <w:tcPr>
            <w:tcW w:w="34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Ariba section/page.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Joule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10+ Joule rollouts; 2 custom Joule Studio agents and skills in production; 60+ Joule practitioners.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Joule section/page.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Clean core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8+ proprietary BTP-based extensions in production; extension accelerators reduce time-to-value by 40%.</w:t>
            </w:r>
          </w:p>
        </w:tc>
        <w:tc>
          <w:tcPr>
            <w:tcW w:w="34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Clean Core / BTP Extensions section.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Syniti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20+ ECC-to-S/4 migrations; 99.5% data integrity at cutover; 3x faster than manual ETL.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Syniti Data Management section.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SAC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First dashboard in 3 weeks; cross-functional BI, planning and prediction across Finance, Sales, Operations, HR, Supply Chain, Procurement and Executive reporting.</w:t>
            </w:r>
          </w:p>
        </w:tc>
        <w:tc>
          <w:tcPr>
            <w:tcW w:w="34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Analytics Cloud section.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ABAP Factory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5,000+ RICEFW objects delivered; 30+ enterprise clients served; average 40 objects per sprint.</w:t>
            </w:r>
          </w:p>
        </w:tc>
        <w:tc>
          <w:tcPr>
            <w:tcW w:w="34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ABAP Factory section.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lastRenderedPageBreak/>
        <w:t>2. Header, mega-menu and footer content</w:t>
      </w: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The header, mega-menu and footer carry the full site architecture. They are not generic navigation elements; they reinforce the three-pillar model and route visitors to proof-led service depth.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33"/>
        <w:gridCol w:w="3149"/>
        <w:gridCol w:w="5290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Area</w:t>
            </w:r>
          </w:p>
        </w:tc>
        <w:tc>
          <w:tcPr>
            <w:tcW w:w="316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to place</w:t>
            </w:r>
          </w:p>
        </w:tc>
        <w:tc>
          <w:tcPr>
            <w:tcW w:w="532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Detailed content direction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Header logo zone</w:t>
            </w:r>
          </w:p>
        </w:tc>
        <w:tc>
          <w:tcPr>
            <w:tcW w:w="316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In2IT EBS logo with primary navigation.</w:t>
            </w:r>
          </w:p>
        </w:tc>
        <w:tc>
          <w:tcPr>
            <w:tcW w:w="53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a clean top bar with the logo on the left, the main navigation in the centre and a persistent conversion CTA on the right. Add SAP Gold Partner badge where official usage is approved.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Primary navigation</w:t>
            </w:r>
          </w:p>
        </w:tc>
        <w:tc>
          <w:tcPr>
            <w:tcW w:w="316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Home; Who We Are; What We Do; Industries; Clients &amp; Case Studies; Partners &amp; Ecosystem; Why In2IT EBS; Insights; Careers; Contact.</w:t>
            </w:r>
          </w:p>
        </w:tc>
        <w:tc>
          <w:tcPr>
            <w:tcW w:w="53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Keep navigation stable across all pages. “What We Do” opens the pillar-based mega-menu. “Contact” remains visible as a direct route for all conversion journeys.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 button</w:t>
            </w:r>
          </w:p>
        </w:tc>
        <w:tc>
          <w:tcPr>
            <w:tcW w:w="316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Book a discovery workshop / Let us talk about your transformation.</w:t>
            </w:r>
          </w:p>
        </w:tc>
        <w:tc>
          <w:tcPr>
            <w:tcW w:w="53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one primary CTA language across the site. Contextual service CTAs feed into the same Contact route with relevant area-of-interest preselection where possible.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Region selector</w:t>
            </w:r>
          </w:p>
        </w:tc>
        <w:tc>
          <w:tcPr>
            <w:tcW w:w="316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India; Singapore; Middle East; Kenya; South Africa.</w:t>
            </w:r>
          </w:p>
        </w:tc>
        <w:tc>
          <w:tcPr>
            <w:tcW w:w="53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for contact emphasis and regional routing. Do not create different claims by region unless leadership approves localised content.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What We Do mega-menu</w:t>
            </w:r>
          </w:p>
        </w:tc>
        <w:tc>
          <w:tcPr>
            <w:tcW w:w="316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Platform Services; Advisory Services; Digital, Data &amp; AI; Delivery Excellence.</w:t>
            </w:r>
          </w:p>
        </w:tc>
        <w:tc>
          <w:tcPr>
            <w:tcW w:w="53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Organise by pillar, not alphabetical service listing. Platform Services expands into SAP, Salesforce and Workday. SAP expands into RISE/GROW, migrations, SuccessFactors/HXM, Health Check 360, Concur, Ariba, Joule, Clean Core, Syniti, SAC, ABAP Factory and Toolchain.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316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About summary; pillars; SAP deep links; industries; case studies; partner ecosystem; offices; credentials; contact.</w:t>
            </w:r>
          </w:p>
        </w:tc>
        <w:tc>
          <w:tcPr>
            <w:tcW w:w="53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footer as trust closure: include the master positioning line, credentials, delivery centres, sales offices, info@in2itebs.com, www.in2itebs.com and LinkedIn route.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3. Home page expanded content blueprint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208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field</w:t>
            </w:r>
          </w:p>
        </w:tc>
        <w:tc>
          <w:tcPr>
            <w:tcW w:w="820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content directive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Page role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Establish In2IT EBS as an AI-led enterprise transformation partner, prove credibility immediately and route visitors into the three-pillar architecture, SAP depth, case studies and Contact.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 message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An AI-led enterprise transformation company across Platforms, Advisory and Digital Engineering. A decade of enterprise transformation, delivered globally.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Primary conversion action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Book a discovery workshop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Source deck reference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1-6, 18, 26, 45, 49-64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lastRenderedPageBreak/>
        <w:t>Section-by-section content to place on the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1944"/>
        <w:gridCol w:w="4752"/>
        <w:gridCol w:w="2232"/>
        <w:gridCol w:w="1800"/>
      </w:tblGrid>
      <w:tr w:rsidR="009600A9" w:rsidRPr="00A92F8E">
        <w:trPr>
          <w:jc w:val="center"/>
        </w:trPr>
        <w:tc>
          <w:tcPr>
            <w:tcW w:w="194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section</w:t>
            </w:r>
          </w:p>
        </w:tc>
        <w:tc>
          <w:tcPr>
            <w:tcW w:w="47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to include on the page</w:t>
            </w:r>
          </w:p>
        </w:tc>
        <w:tc>
          <w:tcPr>
            <w:tcW w:w="223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Proof / assets</w:t>
            </w:r>
          </w:p>
        </w:tc>
        <w:tc>
          <w:tcPr>
            <w:tcW w:w="1800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CTA / link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Place the primary headline, supporting line and two actions. The copy must communicate AI-led enterprise transformation, SAP-led complexity and global delivery. Hero subcopy: “Built for complex SAP-led programs with adjacent capability across Salesforce, Workday, Digital, Data &amp; AI.”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SAP Gold Partner badge and a short proof line from a featured case study where approved.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Book a discovery workshop; Explore what we do.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At-a-glance proof strip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Display the corporate scale metrics as a horizontal strip: 10+ years, 380+ employees, 150+ global customers, 30+ countries delivered, 14+ industry verticals, 12+ packaged accelerators, 12+ strategic partners and 10+ proprietary accelerators.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Corporate Capability deck slide 2.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None; this is trust-building content.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pillars + delivery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four cards: Platform Services, Advisory Services, Digital, Data &amp; AI Services and Delivery Excellence. Each card carries a short role statement. Platform: SAP/Salesforce/Workday full lifecycle. Advisory: transformation strategy and governance. Digital/Data/AI: engineering-led innovation. Delivery: FastForward, factory model and AMS bench.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3-6.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Link each card to its page.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Converged Intelligence band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Explain the operating principle: clear practice ownership, common delivery engine and AI woven across every pillar. Present it as the reason clients get one accountable partner rather than fragmented vendors.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3-4 and 26.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Link to Why In2IT EBS.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Signature strengths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cards: Converged Intelligence Stack, Health Check 360 and FastForward. Keep each card outcome-led: operating model for SAP investments; AI-powered SuccessFactors diagnostic; proprietary delivery method for compressed timelines.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18, 26, 45.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Link to SAP, Health Check 360 and Delivery Excellence.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Why In2IT EBS teaser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the four reasons exactly: Converged Intelligence, Partnership Depth, Delivery Economics, Accelerated Outcomes. Each reason gets one line and one proof point.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63.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View why enterprises choose us.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Client proof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Show client logo wall and 3-4 featured case cards. Prioritise TGNPDCL, Wipro Infrastructure Engineering, WayCool Foods, Triveni Turbines, VAHDAM India or others based on approval.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49-62.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View case studies / Request full story under NDA.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Partner ecosystem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Show application platforms, hyperscalers, data &amp; analytics and specialised partners. Use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grouped explanation rather than a simple logo dump.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Deck slide 5.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View all partners.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Final CTA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Close with the transformation line from the deck: “Let us talk about your transformation.”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64.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Contact.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4. Who We Are page expanded content blueprint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208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field</w:t>
            </w:r>
          </w:p>
        </w:tc>
        <w:tc>
          <w:tcPr>
            <w:tcW w:w="820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content directive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Page role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Build institutional trust through company structure, scale, footprint, credentials and leadership.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 message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pillars. One converged enterprise.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Primary conversion action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Talk to us about your transformation agenda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Source deck reference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2-6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Section-by-section content to place on the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1944"/>
        <w:gridCol w:w="4752"/>
        <w:gridCol w:w="2232"/>
        <w:gridCol w:w="1800"/>
      </w:tblGrid>
      <w:tr w:rsidR="009600A9" w:rsidRPr="00A92F8E">
        <w:trPr>
          <w:jc w:val="center"/>
        </w:trPr>
        <w:tc>
          <w:tcPr>
            <w:tcW w:w="194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section</w:t>
            </w:r>
          </w:p>
        </w:tc>
        <w:tc>
          <w:tcPr>
            <w:tcW w:w="47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to include on the page</w:t>
            </w:r>
          </w:p>
        </w:tc>
        <w:tc>
          <w:tcPr>
            <w:tcW w:w="223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Proof / assets</w:t>
            </w:r>
          </w:p>
        </w:tc>
        <w:tc>
          <w:tcPr>
            <w:tcW w:w="1800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CTA / link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Open with the three-pillar model and one-accountable-partner promise. The first screen must make clear that the company is structured for Platforms, Advisory and Digital Engineering under shared delivery, governance and account ownership.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3-4.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Talk to us about your transformation agenda.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At-a-glance metrics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Repeat the corporate proof strip from the deck. Keep 380+ as the operating figure unless leadership confirms otherwise.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10+ years; 380+ employees; 150+ customers; 30+ countries; 14+ industries; 12+ packaged accelerators; 12+ strategic partners; 10+ proprietary accelerators.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None.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Enterprise structure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Show the three pillars and delivery layer as a visual structure. Include Platform Services, Advisory Services, Digital/Data/AI and one delivery engine. Explain that each pillar has distinct ownership but a common delivery and governance foundation.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3-6.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what we do.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Why this structure wins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the deck’s four points: alignment between consulting, platform and engineering services; stronger enterprise positioning; cross-sell across pillars; future-ready for AI-led enterprise transformation.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4.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Converged Intelligence.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Footprint and credentials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List delivery centres and sales offices exactly as deck states, followed by SAP Gold Partner,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RISE with SAP, PCE Partner, Salesforce Partner, Workday Services, CMMI, ISO 9001 and ISO 27001.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Deck slide 2.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Contact regional team.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Leadership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only approved leadership profiles. For each leader, include name, role, one credibility statement and photo. Do not add unverified names.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Leadership approval required.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Connect with us.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5. What We Do hub expanded content blueprint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208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field</w:t>
            </w:r>
          </w:p>
        </w:tc>
        <w:tc>
          <w:tcPr>
            <w:tcW w:w="820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content directive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Page role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Translate the three-pillar structure into a clear service architecture and guide visitors into the right entry point: advise, build or run.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 message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tiers. One continuous engagement.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Primary conversion action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Choose your transformation starting point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Source deck reference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3-6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Section-by-section content to place on the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1944"/>
        <w:gridCol w:w="4752"/>
        <w:gridCol w:w="2232"/>
        <w:gridCol w:w="1800"/>
      </w:tblGrid>
      <w:tr w:rsidR="009600A9" w:rsidRPr="00A92F8E">
        <w:trPr>
          <w:jc w:val="center"/>
        </w:trPr>
        <w:tc>
          <w:tcPr>
            <w:tcW w:w="194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section</w:t>
            </w:r>
          </w:p>
        </w:tc>
        <w:tc>
          <w:tcPr>
            <w:tcW w:w="47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to include on the page</w:t>
            </w:r>
          </w:p>
        </w:tc>
        <w:tc>
          <w:tcPr>
            <w:tcW w:w="223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Proof / assets</w:t>
            </w:r>
          </w:p>
        </w:tc>
        <w:tc>
          <w:tcPr>
            <w:tcW w:w="1800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CTA / link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Frame the page around a continuous engagement model. Clients can enter through Advisory, Platforms &amp; Engineering, or Managed Services &amp; Sustenance, with the same delivery engine underneath.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6.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Choose your transformation starting point.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engagement tiers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Tier 01 Advisory as transformation strategy, business case, process re-engineering, change management and digital roadmap. Present Tier 02 Platforms &amp; Engineering as SAP S/4HANA &amp; modules, Workday, Salesforce, custom engineering and digital transformation. Present Tier 03 Managed Services &amp; Sustenance as AMS, application support, technical operations and continuous improvement.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6.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Start at the tier that matches your need.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Pillar routing cards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Create cards for Platform Services, Advisory Services, Digital/Data/AI and Delivery Excellence. Each card must describe what the pillar does and when a buyer chooses that route.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3-6.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Link to pillar pages.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One delivery engine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the exact deck components: FastForward methodology, Development factory, Global AMS bench and Account-level governance.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6.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See Delivery Excellence.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Partner strip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Show strategic cloud alliances: AWS, Microsoft Azure, Google Cloud, SAP, Salesforce and Workday.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3.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View partner ecosystem.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6. Platform Services page expanded content blueprint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208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field</w:t>
            </w:r>
          </w:p>
        </w:tc>
        <w:tc>
          <w:tcPr>
            <w:tcW w:w="820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content directive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Page role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platform-led transformation across SAP, Salesforce and Workday, with SAP as the flagship capability and the full lifecycle clearly visible.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 message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Platform-led transformation across SAP, Salesforce and Workday - with one accountable partner for the full lifecycle.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Primary conversion action</w:t>
            </w:r>
          </w:p>
        </w:tc>
        <w:tc>
          <w:tcPr>
            <w:tcW w:w="820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Discuss your platform transformation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Source deck reference</w:t>
            </w:r>
          </w:p>
        </w:tc>
        <w:tc>
          <w:tcPr>
            <w:tcW w:w="820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3-4, 7-32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Section-by-section content to place on the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1944"/>
        <w:gridCol w:w="4752"/>
        <w:gridCol w:w="2232"/>
        <w:gridCol w:w="1800"/>
      </w:tblGrid>
      <w:tr w:rsidR="009600A9" w:rsidRPr="00A92F8E">
        <w:trPr>
          <w:jc w:val="center"/>
        </w:trPr>
        <w:tc>
          <w:tcPr>
            <w:tcW w:w="194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section</w:t>
            </w:r>
          </w:p>
        </w:tc>
        <w:tc>
          <w:tcPr>
            <w:tcW w:w="47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to include on the page</w:t>
            </w:r>
          </w:p>
        </w:tc>
        <w:tc>
          <w:tcPr>
            <w:tcW w:w="223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Proof / assets</w:t>
            </w:r>
          </w:p>
        </w:tc>
        <w:tc>
          <w:tcPr>
            <w:tcW w:w="1800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CTA / link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State that Platform Services covers consulting, implementation, rollout, upgrade, AMS and ongoing enhancement across SAP, Salesforce and Workday.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7.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Discuss your platform transformation.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Lifecycle band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Show full lifecycle: consulting, implementation, rollouts, upgrades &amp; migrations, enhancements, AMS, application support, hypercare and integration.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 4 and 7.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Link to Delivery Excellence.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card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SAP as the deepest sub-practice with SAP Gold Partner status, 300+ consultants, 1,000+ combined years of SAP experience and capabilities across S/4HANA, SuccessFactors, Ariba, Concur, SAC, Datasphere, BTP and Joule.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8-12.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SAP Services.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Salesforce card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Salesforce as customer-experience transformation across Sales, Service, Marketing, Commerce and Industry Clouds.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27-29.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Salesforce Services.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Workday card</w:t>
            </w:r>
          </w:p>
        </w:tc>
        <w:tc>
          <w:tcPr>
            <w:tcW w:w="47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Workday as HR and finance cloud transformation covering advisory, implementation, integration, analytics and managed services.</w:t>
            </w:r>
          </w:p>
        </w:tc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30-32.</w:t>
            </w:r>
          </w:p>
        </w:tc>
        <w:tc>
          <w:tcPr>
            <w:tcW w:w="180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Workday Services.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Future platforms note</w:t>
            </w:r>
          </w:p>
        </w:tc>
        <w:tc>
          <w:tcPr>
            <w:tcW w:w="47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Mention Oracle, ServiceNow, Microsoft and Adobe only as future platform expansion from the deck. Keep the wording clear so it does not imply current flagship practice depth.</w:t>
            </w:r>
          </w:p>
        </w:tc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Deck slides 3-4.</w:t>
            </w:r>
          </w:p>
        </w:tc>
        <w:tc>
          <w:tcPr>
            <w:tcW w:w="180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None.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lastRenderedPageBreak/>
        <w:t>7. SAP flagship page expanded content blueprint</w:t>
      </w:r>
    </w:p>
    <w:p w:rsidR="009600A9" w:rsidRPr="00A92F8E" w:rsidRDefault="00676B4B">
      <w:pPr>
        <w:pStyle w:val="SubtitleSmall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This is the deepest website page. It must provide executive credibility, technical depth and clear navigation for SAP buyers.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376"/>
        <w:gridCol w:w="8352"/>
      </w:tblGrid>
      <w:tr w:rsidR="009600A9" w:rsidRPr="00A92F8E">
        <w:trPr>
          <w:jc w:val="center"/>
        </w:trPr>
        <w:tc>
          <w:tcPr>
            <w:tcW w:w="2376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field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content directive</w:t>
            </w:r>
          </w:p>
        </w:tc>
      </w:tr>
      <w:tr w:rsidR="009600A9" w:rsidRPr="00A92F8E">
        <w:trPr>
          <w:jc w:val="center"/>
        </w:trPr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Page role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Serve as the flagship proof page for In2IT EBS. Establish SAP Gold Partner credibility, show breadth across the SAP portfolio, and route visitors into decision-specific sections such as RISE/GROW, migrations, Health Check 360, Syniti and Joule.</w:t>
            </w:r>
          </w:p>
        </w:tc>
      </w:tr>
      <w:tr w:rsidR="009600A9" w:rsidRPr="00A92F8E">
        <w:trPr>
          <w:jc w:val="center"/>
        </w:trPr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 message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Services - SAP Gold Partner. 300+ consultants. 1,000+ combined years of SAP experience.</w:t>
            </w:r>
          </w:p>
        </w:tc>
      </w:tr>
      <w:tr w:rsidR="009600A9" w:rsidRPr="00A92F8E">
        <w:trPr>
          <w:jc w:val="center"/>
        </w:trPr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Primary 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Speak to an SAP transformation expert.</w:t>
            </w:r>
          </w:p>
        </w:tc>
      </w:tr>
      <w:tr w:rsidR="009600A9" w:rsidRPr="00A92F8E">
        <w:trPr>
          <w:jc w:val="center"/>
        </w:trPr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Navigation requirement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sticky jump navigation: Practice at a Glance, Advanced Transformation, Toolchain, Solutions Catalogue, S/4HANA Paths, RISE vs GROW, Migrations, SAP Advisory, HXM, Health Check 360, Concur, Ariba, Joule, Clean Core, Syniti, SAC, ABAP Factory, Converged Intelligence Stack.</w:t>
            </w:r>
          </w:p>
        </w:tc>
      </w:tr>
      <w:tr w:rsidR="009600A9" w:rsidRPr="00A92F8E">
        <w:trPr>
          <w:jc w:val="center"/>
        </w:trPr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Source deck references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8-26.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1944"/>
        <w:gridCol w:w="5112"/>
        <w:gridCol w:w="2088"/>
        <w:gridCol w:w="1656"/>
      </w:tblGrid>
      <w:tr w:rsidR="009600A9" w:rsidRPr="00A92F8E">
        <w:trPr>
          <w:jc w:val="center"/>
        </w:trPr>
        <w:tc>
          <w:tcPr>
            <w:tcW w:w="194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SAP section</w:t>
            </w:r>
          </w:p>
        </w:tc>
        <w:tc>
          <w:tcPr>
            <w:tcW w:w="511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content to include</w:t>
            </w:r>
          </w:p>
        </w:tc>
        <w:tc>
          <w:tcPr>
            <w:tcW w:w="208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Proof / source</w:t>
            </w:r>
          </w:p>
        </w:tc>
        <w:tc>
          <w:tcPr>
            <w:tcW w:w="1656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CTA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 and trust bar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Open with SAP Gold Partner status and the three proof figures: 300+ consultants, 1,000+ combined years of SAP experience and 50+ SAP clients. Reinforce that capability spans S/4HANA, SuccessFactors, Ariba, Concur, SAC, Datasphere, BTP and Joule.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Gold Partner; RISE with SAP; PCE &amp; Co-Innovation Partner.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Speak to SAP expert.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Practice at a Glance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four content blocks: Partnership Depth, Industry Experience, Specialized Skills, Solutions &amp; IP. Each block contains the deck’s actual phrases and metrics. This section must show why In2IT EBS is credible before describing services.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9 metrics and partner credentials.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Link to case studies.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Advanced Transformation &amp; Managed Services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four columns: Advisory &amp; Transformation, S/4HANA &amp; Modernisation, Managed Services &amp; Cloud, AI Analytics &amp; Governance. Tie each to outcomes: roadmap clarity, technical excellence, always-on operations, security, risk and audit resilience.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10.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Discuss SAP roadmap.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SAP-native toolchain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Show the six SAP-native tools in four grouped tiles: SAP Signavio Process Intelligence; SAP LeanIX; SAP Cloud ALM + Tricentis; SAP Activate + WalkMe. Explain each tool’s role in discovery, architecture, governance, testing and adoption.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11.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See delivery method.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Solutions catalogue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Organise content into three lenses: Solutions, Services and Industries. Avoid burying the SAP portfolio in paragraphs; use a structured catalogue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 buyers can scan the exact platform or service they need.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Slide 12.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SAP capability.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S/4HANA routes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Explain that In2IT EBS runs all three routes: RISE with SAP, GROW with SAP and S/4HANA Private Cloud. Each route gets a </w:t>
            </w:r>
            <w:proofErr w:type="gramStart"/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short fit</w:t>
            </w:r>
            <w:proofErr w:type="gramEnd"/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 statement, delivery model and business use case.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30% faster go-live; 25+ S/4HANA programs; 100% go-live success rate.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Compare RISE and GROW.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RISE vs GROW decision entry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a teaser that leads into the full decision page. State that both are valid paths and that In2IT EBS recommends based on business profile, not convenience.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Vendor-agnostic line from slide 14.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Start Pathway Assessment.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Migrations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Explain greenfield, brownfield and selective data transition. The copy must say migration approach is chosen by complexity, risk profile, regulatory constraints and timeline, not by convenience.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99.5% average data migration accuracy; 3+ mock-load cycles; 100% successful cutover.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Plan migration path.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Advisory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the six advisory engagements as decision support before commitment: product assessment, proof of concept, business process advisory, readiness assessment, maturity roadmap and discovery/design for transformation.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16.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Book advisory discussion.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SuccessFactors / HXM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Describe full-suite SuccessFactors across Core HR &amp; Talent, Payroll &amp; Compensation, Time &amp; Attendance, Learning &amp; Talent Intelligence, Employee Experience, People Analytics &amp; Planning.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125+ projects; 87+ certified HXM consultants; 10+ live POCs; 100% HR transformation success.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HXM.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Health Check 360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as an AI-powered SuccessFactors diagnostic extension. It evaluates configuration, RBP, business rules, usage, audit logs, Joule readiness and Talent Intelligence readiness, then benchmarks against peers and creates a quantified roadmap.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30-40% customization debt reduction; 25% lift in MAU; 2x faster Joule/AI activation; 4-6 weeks.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Request Health Check 360 briefing.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Concur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Show the three Concur pillars: Expense, Travel and Invoice. Mention integration with ERP/Finance, HR/Workforce and travel/card systems.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25+ implementations; 12-week average go-live; 4 country tax configs.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Speak to Concur expert.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Ariba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Show end-to-end Source-to-Pay: Source, Contract, Procure, Invoice and Pay. Make supplier network, guided buying and AP automation visible.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15+ Ariba programs; 40% avg P2P cycle-time cut; S/4 native integration.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Discuss source-to-pay.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Joule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Present Joule across four use areas: business users, Joule Studio, Joule agents and developers. Include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responsible AI guardrails, prompt governance and adoption playbook.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10+ Joule rollouts; 2 custom Joule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Studio agents; 60+ practitioners.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Plan Joule activation.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Clean Core / BTP Extensions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Explain extending SAP without modifying the core. Split content into SuccessFactors extensions and S/4HANA extensions. Include Workzone, visa/permit, rostering, iTAM and side-by-side apps on BTP.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8+ BTP-based extensions; 40% reduced time-to-value.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Explore extensions.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Syniti Data Management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the strong headline: “Data migration is the real risk in S/4HANA.” Explain the five-stage approach: Profile, Cleanse, Construct, Migrate, Govern. Cover data migration, data quality &amp; MDG, and information governance.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20+ ECC-to-S/4 migrations; 99.5% data integrity at cutover; 3x faster than manual ETL.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Assess data readiness.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Analytics Cloud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Explain SAC as the front door to enterprise data for finance, sales, operations, HR, supply chain, procurement and executive reporting. Include BI, planning and prediction on one platform.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First dashboard in 3 weeks; pre-built dashboard accelerators.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Plan analytics roadmap.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ABAP Factory</w:t>
            </w:r>
          </w:p>
        </w:tc>
        <w:tc>
          <w:tcPr>
            <w:tcW w:w="511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Explain RICEFW industrialisation: Reports, Interfaces, Conversions, Enhancements, Forms and Workflow. Show factory throughput and predictable sprint delivery.</w:t>
            </w:r>
          </w:p>
        </w:tc>
        <w:tc>
          <w:tcPr>
            <w:tcW w:w="208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5,000+ RICEFW objects; 30+ clients; avg. 40 objects per sprint.</w:t>
            </w:r>
          </w:p>
        </w:tc>
        <w:tc>
          <w:tcPr>
            <w:tcW w:w="165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Discuss ABAP backlog.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Converged Intelligence Stack</w:t>
            </w:r>
          </w:p>
        </w:tc>
        <w:tc>
          <w:tcPr>
            <w:tcW w:w="511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End the SAP page with the point of view: data &amp; process core, intelligence fabric, assisted experience and business outcomes. Use the quote: “Convergence is where SAP investments turn into measurable business outcomes.”</w:t>
            </w:r>
          </w:p>
        </w:tc>
        <w:tc>
          <w:tcPr>
            <w:tcW w:w="208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26.</w:t>
            </w:r>
          </w:p>
        </w:tc>
        <w:tc>
          <w:tcPr>
            <w:tcW w:w="165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Talk about SAP outcomes.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lastRenderedPageBreak/>
        <w:t>8. SAP deep-dive sub-page content blueprints</w:t>
      </w: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8.1 RISE vs GROW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State that RISE and GROW are both valid paths to S/4HANA Cloud and that In2IT EBS recommends based on business profile, not internal convenience.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Comparison section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two columns. RISE: Private Cloud Edition, large enterprises, deep customization, complex SAP/non-SAP landscape, annual/planned releases, 9-18 months typical, higher TCO/fewer constraints, SAP-managed cloud/dedicated tenancy, PCE Partner. GROW: Public Cloud Edition, mid-market/net-new units, limited customization, simpler integration, quarterly updates, 3-9 months typical, lower TCO/subscription, pre-configured industry processes, SAP Gold Partner.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How we help choose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List the 2-week Pathway Assessment steps: process mapping, customization gap, integration complexity, TCO modelling, regulatory constraints and evidence-based recommendation.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Hybrid route note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Include the deck statement that often GROW fits greenfield, RISE fits core, and sometimes both are used for hybrid landscapes.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Start the 2-week Pathway Assessment.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8.2 SAP Migrations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migration from ECC to S/4HANA, on-premise to cloud and brownfield to selective transition as a risk-managed decision.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Approaches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Greenfield: fresh implementation for clean break, post-merger consolidation or process re-engineering. Brownfield: convert existing ECC in place, retain history and integrations with lowest disruption. Selective Data Transition: combine fresh core with selected data/customisations/company codes for carve-outs and consolidation.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Migration proof band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99.5% average data migration accuracy, 3+ mock-load cycles and 100% successful cutover rate.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Syniti bridge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Link directly into Syniti data management as the data-migration-risk section.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Plan your migration approach.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8.3 SuccessFactors / HXM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Emphasise scale across Core HR, Talent, Payroll, Workzone and people analytics.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Capability map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Include Core HR &amp; Talent, Cloud Payroll &amp; Compensation, Time &amp; Attendance, Learning &amp; Talent Intelligence, Employee Experience, People Analytics &amp; Planning.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125+ projects, 87+ certified HXM consultants, 10+ live proofs of concept.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Highlights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Include HR Workzone instances, certified consultant pool, iTAM accelerator, EBSx rapid-deployment kit and Joule-for-HR enablement playbook.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Discuss SuccessFactors transformation.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lastRenderedPageBreak/>
        <w:t>8.4 Health Check 360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Health Check 360 as a proprietary AI diagnostic for SuccessFactors configuration, adoption, benchmarking and AI readiness.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Diagnostic section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ML audit of configuration, RBP and business rules; anomaly detection across usage and audit logs; Joule &amp; Talent Intelligence readiness scoring.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Benchmark section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Benchmark against 200+ peers across 12 industries: process maturity, adoption, NPS, time-to-value and customization-to-standard ratio.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Roadmap section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Prioritised backlog with $ / FTE / hours saved; Joule, GenAI and clean-core activation plan; executive-ready impact scorecard.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Outcome proof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30-40% reduction in customization debt; 25% lift in monthly active users; 2x faster Joule/AI activation; </w:t>
            </w:r>
            <w:proofErr w:type="gramStart"/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4-6 week</w:t>
            </w:r>
            <w:proofErr w:type="gramEnd"/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 engagement.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Request Health Check 360 briefing.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8.5 Concur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Concur across Expense, Travel and Invoice.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Integration map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ERP/Finance: SAP S/4HANA, Oracle EBS, Microsoft Dynamics 365, NetSuite, Intacct, QuickBooks. HR/Workforce: SuccessFactors, Workday, Oracle HCM. Travel/Card: identity providers, corporate card feeds.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pillars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Expense: mobile receipts, policy enforcement, card feeds and intelligent audit. Travel: online booking, traveller policy management, duty-of-care reporting. Invoice: supplier invoice capture, three-way match, payment processing and AP automation.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25+ implementations; 12-week average go-live; 4 country tax configurations.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Optimise travel, expense and invoice management.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8.6 Ariba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Ariba as the full suite from supplier discovery through invoice automation, integrated with S/4HANA, Concur and finance systems.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Flow section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Source, Contract, Procure, Invoice and Pay.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Capability depth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Sourcing: spend analysis, supplier discovery, auctions and RFx. Contracts: authoring, workflow, compliance and clause library. Procurement: guided buying, catalogues, punchout and mobile approvals. Supplier Network: 6M+ suppliers, PO collaboration, invoice exchange and risk management.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15+ Ariba programs delivered; 40% average P2P cycle-time cut; S/4 native integration.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Automate source-to-pay.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8.7 Joule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In2IT EBS as an early-adopter partner for Joule and Joule Studio.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Experience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Production Joule agents for HR self-service and ticket triage, Joule + OpenAI/Claude integration patterns, custom skill library for Concur, Ariba and SuccessFactors, responsible-AI guardrails and prompt governance.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cases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Joule for Business Users; Joule Studio; Joule Agents; Joule for Developers.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10+ Joule rollouts, 2 custom Joule Studio agents and skills in production, 60+ Joule practitioners.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Plan Joule activation.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8.8 Clean Core / BTP Extensions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Explain clean-core extensibility as side-by-side innovation that keeps the SAP core stable and upgrade-ready.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SuccessFactors extensions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Custom UI extensions using SAPUI5/Fiori on BTP; HR Workzone; Visa &amp; Permit Management; Shift Scheduling and Rostering; iTAM; payroll/finance/third-party HRMS integrations.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S/4HANA extensions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ABAP Cloud, RAP, key-user tools, CAP apps on BTP, Fiori apps, Event Mesh, SAP Build Process Automation, master-data harmonisation and migration of classic ABAP enhancements to BTP side-by-side.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8+ proprietary BTP-based extensions; clean-core certified approach; 40% reduced time-to-value.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Extend SAP safely.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8.9 Syniti Data Management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the deck line: 70% of SAP transformations slip because of data, not technology.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Five-stage approach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Profile, Cleanse, Construct, Migrate, Govern.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Service areas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Data Migration with SAP Advanced Data Migration by Syniti; Data Quality &amp; MDG; Information Governance.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20+ ECC-to-S/4 migrations; 99.5% data integrity at cutover; 3x faster than manual ETL.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Assess SAP data readiness.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8.10 SAP Analytics Cloud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SAC as the front door to enterprise data across every function.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Value pillars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BI, planning and predictive analytics in one experience; scenario simulation; rolling forecasts; self-service collaboration; native connectivity to S/4HANA, Datasphere, BW/4HANA and non-SAP.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Function coverage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Finance, Sales, Operations, HR, Supply Chain, Procurement and Executive reporting.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Delivery proof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Pre-built dashboard accelerators, live connection patterns, planning templates and average first-dashboard in 3 weeks.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Build first enterprise dashboard.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lastRenderedPageBreak/>
        <w:t>8.11 ABAP Factory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the ABAP Factory as an offshore service-centre model for predictable throughput.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RICEFW model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Reports, Interfaces, Conversions, Enhancements, Forms and Workflow.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Capability examples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Reports beyond SAP standard; IDoc, ALE, XML, REST/SOAP APIs; BAPI, LSMW, BDC migration tooling; BAdI and user exits; ABAP Script, Smart Forms and Adobe Forms; approval workflows tied to business events.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5,000+ RICEFW objects delivered; 30+ enterprise clients; average 40 objects per sprint.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Industrialise ABAP delivery.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lastRenderedPageBreak/>
        <w:t>9. Salesforce, Workday, Advisory and Digital/Data/AI content blueprints</w:t>
      </w: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9.1 Salesforce Services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Salesforce as the digital backbone for sales, service, marketing, commerce and field operations.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band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30+ Salesforce-certified consultants; 40+ implementations; 15+ active clients across BFSI, Manufacturing and Professional Services.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Capability lanes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Sales Cloud for pipeline acceleration, forecasting and partner enablement; Service Cloud for omni-channel case management, knowledge and AI resolution; Marketing Cloud for campaigns, journeys and personalisation; Commerce Cloud for digital storefronts and partner portals; Industry Clouds for vertical needs; Einstein + Platform for predictive sales/service, Lightning extensions and Apex.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Engagement model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CX strategy, lead-to-cash design, multi-cloud deployments, data migration, governance &amp; change, MuleSoft, SAP &amp; Workday connectors, payment &amp; telephony, marketing automation, Customer 360, Einstein personalisation, org health checks, release management, L1-L3 AMS.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Discuss Salesforce transformation.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9.2 Workday Services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Workday as full-lifecycle HR and finance cloud transformation from advisory and implementation to integration and managed services.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Practice overview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HCM Transformation; Workforce Analytics; Financial Management; Workforce Planning; Adaptive Planning.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Practice strength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Workday-certified consultants, multi-region experience and integration patterns with SAP, Salesforce and legacy HR systems.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Five engagement types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Workforce transformation advisory; Implementation; Integration; HR Analytics; Managed Services.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Prism Analytics placement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Place Prism Analytics under Workday HR Analytics, together with People Analytics, dashboards and reporting. Do not place Prism under Advisory Services.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Talk to us about Workday transformation.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9.3 Advisory Services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Define Advisory as the trusted layer that defines the why and what before Platforms and Engineering deliver the how.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Transformation Advisory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Business Transformation, CIO Advisory, Operating Model Design and ERP Advisory.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Strategy &amp; Governance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AI Strategy &amp; Roadmap, Governance &amp; PMO, Program Assurance and Investment prioritisation.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Enterprise Architecture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Target architecture design, application portfolio rationalisation, integration &amp; data architecture and reference architectures using SAP LeanIX.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Change &amp; Assurance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Process Excellence, Change Management, Stakeholder &amp; adoption and Independent program assurance.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CTA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Shape your transformation roadmap.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9.4 Digital, Data &amp; AI Services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 the pillar as modern application engineering, AI &amp; automation, data &amp; analytics, integration and cloud.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Sub-practice grid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Application Engineering; AI &amp; Automation; Data &amp; Analytics; Integration &amp; Cloud.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Application Engineering summary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Custom application development, intelligent applications, digital experience platforms, low-code/no-code and DevOps.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AI &amp; Automation summary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GenAI solutions and copilots, intelligent automation, computer vision, document AI, industrial AI, IoT and digital twins.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Data &amp; Analytics summary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Data platforms, lakehouses, analytics, visualisation, master data, governance, ML/MLOps and predictive models.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Integration &amp; Cloud summary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API-led integration, middleware, AWS/Azure/GCP cloud engineering, event-driven architectures and OT-to-ERP convergence.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Identify your AI and digital transformation opportunities.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9.5 Application Engineering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custom development, integrations, post-implementation support and continuous improvement across legacy and modern estates.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Service map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Application Development, Integration Services, Post Implementation Support and Optimisation Services.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Lifecycle stages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Design &amp; Architecture; Development &amp; Testing; Maintenance &amp; Support; Optimisation.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Technology estate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Bespoke Applications: Java/J2EE, ASP.NET, PHP, Python, SharePoint, Power Apps, Android/iOS/Hybrid, BI, MEAN, CMS. Legacy Applications: APEX, Mainframe, AS/400, VAX/VMS, PL/I, migration and retirement. Packaged Integration: SAP, Oracle Suite, Microsoft 365, OpenText, AWS/Azure, Qlikview, Tableau.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Modernise your application landscape.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9.6 AI &amp; Automation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Present end-to-end digital transformation using industrial IoT, applied AI, computer vision and ERP integration in one accountable team.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Industrial IoT &amp; Digital Twins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Time-series historians and sensors, vibration/motor signature analytics, drone/LiDAR 3D twins and ML-driven failure prediction.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Computer Vision &amp; Safety AI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PPE compliance, intrusion detection, foreign-object and fire-risk alerts, process anomaly and quality inspection, shared video analytics platform.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Applied AI &amp; GenAI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LLM document intelligence, tender evaluation, contract analysis, decision-support copilots, RAG, explainability and human-in-the-loop.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Integration, Cloud &amp;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ESG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Event-driven API-led architectures, OT-to-S/4HANA integration spine,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AWS/Azure/GCP cloud-native engineering and ESG for emissions, energy, water and materials.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Delivery approach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Discover/Frame/Architect; Pilot &amp; Prove; Scale &amp; Sustain. Include “Cluster, don’t proliferate”, “Buy where mature, build where unique” and “OT, AI and ERP in one team.”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Start opportunity mapping and value sizing.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lastRenderedPageBreak/>
        <w:t>9.7 Delivery Excellence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Make delivery visible as an operating system, not a back-office claim.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FastForward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Proprietary delivery method built on SAP Activate, accelerated by pre-built assets and governed by a single quality gate at every phase. Four layers: Pre-Built Assets, Single Delivery Team, Quality Gates and Outcome-linked Pricing.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16-week AMS transition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Five phases: Pre-Transition Planning (weeks -4 to 0), Team Onboarding Planning (weeks 1-2), Knowledge Acquisition (weeks 3-7), Shadow (weeks 8-12), Reverse Shadow (weeks 13-16), leading to service commencement.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Development Factory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Standardised, repeatable, automated development model with output measurement, ALM support, integrated testing and best-practice frameworks/templates/tools.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CTA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See how In2IT EBS delivers with control and speed.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lastRenderedPageBreak/>
        <w:t>10. Industries, case studies, partners, Why In2IT EBS and Contact</w:t>
      </w: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10.1 Industries content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area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content to include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Industries index 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Use the headline “150+ global enterprises. Across regulated, complex industries.” State that In2IT EBS has delivered SAP, Salesforce, Workday and application transformation programmes across multiple sectors.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Industry grid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Food &amp; Beverages; Health &amp; Pharma; Apparel &amp; Fashion; Metals &amp; Mining; IT &amp; Professional Services; Infra &amp; Housing; Automotives; Chemicals; PSUs; Services &amp; BFSI; Real Estate; Others.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Industry page template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Each industry page contains: sector challenge statement, relevant In2IT EBS capabilities, related SAP/platform/digital services, relevant case-study cards and a CTA to discuss sector transformation priorities.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Proof rule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Do not publish sector-specific claims without a related client logo, case study or leadership-approved proof.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10.2 Case-study library content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1606"/>
        <w:gridCol w:w="1743"/>
        <w:gridCol w:w="2530"/>
        <w:gridCol w:w="2789"/>
        <w:gridCol w:w="2204"/>
      </w:tblGrid>
      <w:tr w:rsidR="009600A9" w:rsidRPr="00A92F8E">
        <w:trPr>
          <w:jc w:val="center"/>
        </w:trPr>
        <w:tc>
          <w:tcPr>
            <w:tcW w:w="194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Case / client</w:t>
            </w:r>
          </w:p>
        </w:tc>
        <w:tc>
          <w:tcPr>
            <w:tcW w:w="194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Featured solution</w:t>
            </w:r>
          </w:p>
        </w:tc>
        <w:tc>
          <w:tcPr>
            <w:tcW w:w="2160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Context</w:t>
            </w:r>
          </w:p>
        </w:tc>
        <w:tc>
          <w:tcPr>
            <w:tcW w:w="352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story content</w:t>
            </w:r>
          </w:p>
        </w:tc>
        <w:tc>
          <w:tcPr>
            <w:tcW w:w="1440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Placement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Global Engineering Consultancy</w:t>
            </w:r>
          </w:p>
        </w:tc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GROW with SAP + SuccessFactors for global project delivery.</w:t>
            </w:r>
          </w:p>
        </w:tc>
        <w:tc>
          <w:tcPr>
            <w:tcW w:w="216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Civil Engineering; 5,000+ employees; global consultancy since 1946.</w:t>
            </w:r>
          </w:p>
        </w:tc>
        <w:tc>
          <w:tcPr>
            <w:tcW w:w="35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End-to-end visibility across projects; onboarding-to-billing flow; unified Lead-to-Cash, Hire-to-Retire and Record-to-Report stack.</w:t>
            </w:r>
          </w:p>
        </w:tc>
        <w:tc>
          <w:tcPr>
            <w:tcW w:w="144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GROW/Public Cloud proof; Professional Services / engineering consulting.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Global IT Services Provider</w:t>
            </w:r>
          </w:p>
        </w:tc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GROW with SAP Public Cloud for global IT operations.</w:t>
            </w:r>
          </w:p>
        </w:tc>
        <w:tc>
          <w:tcPr>
            <w:tcW w:w="216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IT Services &amp; Consulting; 1,000+ employees; Americas/APAC/EMEA operations.</w:t>
            </w:r>
          </w:p>
        </w:tc>
        <w:tc>
          <w:tcPr>
            <w:tcW w:w="35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Single integrated platform across IT infrastructure, cloud, security, outsourcing and financial close.</w:t>
            </w:r>
          </w:p>
        </w:tc>
        <w:tc>
          <w:tcPr>
            <w:tcW w:w="144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GROW/Public Cloud; IT &amp; Professional Services.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TGNPDCL</w:t>
            </w:r>
          </w:p>
        </w:tc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ECC to RISE with S/4HANA migration.</w:t>
            </w:r>
          </w:p>
        </w:tc>
        <w:tc>
          <w:tcPr>
            <w:tcW w:w="216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Electricity distribution; 19,000+ employees.</w:t>
            </w:r>
          </w:p>
        </w:tc>
        <w:tc>
          <w:tcPr>
            <w:tcW w:w="35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DEV/QA/PRD landscapes, phased migration, document management, SAP/non-SAP integration, dashboards and hypercare.</w:t>
            </w:r>
          </w:p>
        </w:tc>
        <w:tc>
          <w:tcPr>
            <w:tcW w:w="144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Utilities; S/4HANA migration; integration; analytics.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Wipro Infrastructure Engineering</w:t>
            </w:r>
          </w:p>
        </w:tc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ECC to S/4HANA on RISE (Azure).</w:t>
            </w:r>
          </w:p>
        </w:tc>
        <w:tc>
          <w:tcPr>
            <w:tcW w:w="216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Engineering services; 5,000+ employees; 20+ manufacturing facilities across 4 continents.</w:t>
            </w:r>
          </w:p>
        </w:tc>
        <w:tc>
          <w:tcPr>
            <w:tcW w:w="35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Brownfield migration to S/4HANA 2022 on RISE with SAP Azure; end-to-end lift-and-shift in 5 months.</w:t>
            </w:r>
          </w:p>
        </w:tc>
        <w:tc>
          <w:tcPr>
            <w:tcW w:w="144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Manufacturing; RISE migration; Azure.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WayCool Foods</w:t>
            </w:r>
          </w:p>
        </w:tc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 xml:space="preserve">SAP S/4HANA migration to Azure / RISE with SAP S/4HANA </w:t>
            </w: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PCE.</w:t>
            </w:r>
          </w:p>
        </w:tc>
        <w:tc>
          <w:tcPr>
            <w:tcW w:w="216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Food &amp; Beverages; 5,000+ employees; India agri-commerce.</w:t>
            </w:r>
          </w:p>
        </w:tc>
        <w:tc>
          <w:tcPr>
            <w:tcW w:w="35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8-week end-to-end lift-and-shift to Azure Cloud; unified procurement, finance, sales and supply chain.</w:t>
            </w:r>
          </w:p>
        </w:tc>
        <w:tc>
          <w:tcPr>
            <w:tcW w:w="144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Food &amp; Beverage; rapid RISE delivery.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VAHDAM India</w:t>
            </w:r>
          </w:p>
        </w:tc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GROW with SAP.</w:t>
            </w:r>
          </w:p>
        </w:tc>
        <w:tc>
          <w:tcPr>
            <w:tcW w:w="216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Food &amp; Beverages; 100+ employees; global wellness/tea brand.</w:t>
            </w:r>
          </w:p>
        </w:tc>
        <w:tc>
          <w:tcPr>
            <w:tcW w:w="35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12-month implementation; 18% reduction in manpower cost; integration with GSP, Amazon and Shopify.</w:t>
            </w:r>
          </w:p>
        </w:tc>
        <w:tc>
          <w:tcPr>
            <w:tcW w:w="144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GROW with SAP; FMCG/e-commerce.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Indian EdTech Unicorn</w:t>
            </w:r>
          </w:p>
        </w:tc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GROW with SAP Public Cloud.</w:t>
            </w:r>
          </w:p>
        </w:tc>
        <w:tc>
          <w:tcPr>
            <w:tcW w:w="216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E-learning; 1,000+ employees; 3+ crore app downloads and 55+ lakh paid students.</w:t>
            </w:r>
          </w:p>
        </w:tc>
        <w:tc>
          <w:tcPr>
            <w:tcW w:w="35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Scalable infrastructure, AWS S3 integration, revenue-recognition dashboards and custom upload programs.</w:t>
            </w:r>
          </w:p>
        </w:tc>
        <w:tc>
          <w:tcPr>
            <w:tcW w:w="144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Education; high-volume digital business.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Triveni Turbines</w:t>
            </w:r>
          </w:p>
        </w:tc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ECC to S/4HANA on RISE (Azure).</w:t>
            </w:r>
          </w:p>
        </w:tc>
        <w:tc>
          <w:tcPr>
            <w:tcW w:w="216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Industrial machinery; 1,000+ employees; global turbine manufacturing.</w:t>
            </w:r>
          </w:p>
        </w:tc>
        <w:tc>
          <w:tcPr>
            <w:tcW w:w="35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5-month brownfield migration, quality/production/MM/SD support, global manufacturing landscape alignment.</w:t>
            </w:r>
          </w:p>
        </w:tc>
        <w:tc>
          <w:tcPr>
            <w:tcW w:w="144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Manufacturing; RISE; Azure.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Kenya Railways</w:t>
            </w:r>
          </w:p>
        </w:tc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Legacy to SAP ECC 6.3 fresh implementation.</w:t>
            </w:r>
          </w:p>
        </w:tc>
        <w:tc>
          <w:tcPr>
            <w:tcW w:w="216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Transportation; 3,000+ employees; national rail operator.</w:t>
            </w:r>
          </w:p>
        </w:tc>
        <w:tc>
          <w:tcPr>
            <w:tcW w:w="35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10-month fresh implementation for finance, procurement, sales and HR across government stakeholder reporting.</w:t>
            </w:r>
          </w:p>
        </w:tc>
        <w:tc>
          <w:tcPr>
            <w:tcW w:w="144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Public sector/transportation; ECC implementation.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APTRANSCO</w:t>
            </w:r>
          </w:p>
        </w:tc>
        <w:tc>
          <w:tcPr>
            <w:tcW w:w="194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ECC to S/4HANA Migration and AMS.</w:t>
            </w:r>
          </w:p>
        </w:tc>
        <w:tc>
          <w:tcPr>
            <w:tcW w:w="216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Electricity transmission; 1,000+ employees.</w:t>
            </w:r>
          </w:p>
        </w:tc>
        <w:tc>
          <w:tcPr>
            <w:tcW w:w="352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3-year AMS engagement; 40% reduction in incident resolution time; improved Fiori apps and analytics.</w:t>
            </w:r>
          </w:p>
        </w:tc>
        <w:tc>
          <w:tcPr>
            <w:tcW w:w="1440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Utilities; AMS; SAP support.</w:t>
            </w:r>
          </w:p>
        </w:tc>
      </w:tr>
      <w:tr w:rsidR="009600A9" w:rsidRPr="00A92F8E">
        <w:trPr>
          <w:jc w:val="center"/>
        </w:trPr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Delhi Transco Limited</w:t>
            </w:r>
          </w:p>
        </w:tc>
        <w:tc>
          <w:tcPr>
            <w:tcW w:w="194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AMS multi-module.</w:t>
            </w:r>
          </w:p>
        </w:tc>
        <w:tc>
          <w:tcPr>
            <w:tcW w:w="216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Electricity transmission; 1,800+ employees.</w:t>
            </w:r>
          </w:p>
        </w:tc>
        <w:tc>
          <w:tcPr>
            <w:tcW w:w="352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99.9% system availability; workflows accelerated by 30%; user adoption improved by 40%.</w:t>
            </w:r>
          </w:p>
        </w:tc>
        <w:tc>
          <w:tcPr>
            <w:tcW w:w="1440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Utilities; AMS; support excellence.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10.3 Partners &amp; Ecosystem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Strategic alliances that extend our reach. Explain that the ecosystem spans hyperscalers, application platforms and specialised technology vendors.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Application Platforms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(Gold, RISE, PCE), Salesforce, Workday, SAP Concur, Ariba, SuccessFactors.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Hyperscalers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AWS, Microsoft Azure, Google Cloud Platform and multi-cloud delivery experience.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Data &amp; Analytics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Datasphere &amp; SAC, Syniti, Tableau, Power BI, Qlik, Snowflake and Databricks.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Specialised Partners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MuleSoft, OpenText, ServiceNow and +8 strategic partners.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Trust explanation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State how partnerships give certified delivery, joint roadmaps and pre-built integration patterns across the stack.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lastRenderedPageBreak/>
        <w:t>10.4 Why In2IT EBS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736"/>
        <w:gridCol w:w="8064"/>
      </w:tblGrid>
      <w:tr w:rsidR="009600A9" w:rsidRPr="00A92F8E">
        <w:trPr>
          <w:jc w:val="center"/>
        </w:trPr>
        <w:tc>
          <w:tcPr>
            <w:tcW w:w="2736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Reason</w:t>
            </w:r>
          </w:p>
        </w:tc>
        <w:tc>
          <w:tcPr>
            <w:tcW w:w="8064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 to include</w:t>
            </w:r>
          </w:p>
        </w:tc>
      </w:tr>
      <w:tr w:rsidR="009600A9" w:rsidRPr="00A92F8E">
        <w:trPr>
          <w:jc w:val="center"/>
        </w:trPr>
        <w:tc>
          <w:tcPr>
            <w:tcW w:w="273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01. Converged Intelligence</w:t>
            </w:r>
          </w:p>
        </w:tc>
        <w:tc>
          <w:tcPr>
            <w:tcW w:w="806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pillars under one accountable partner, with AI woven across every layer rather than bolted on. This is the lead reason and anchors the entire page.</w:t>
            </w:r>
          </w:p>
        </w:tc>
      </w:tr>
      <w:tr w:rsidR="009600A9" w:rsidRPr="00A92F8E">
        <w:trPr>
          <w:jc w:val="center"/>
        </w:trPr>
        <w:tc>
          <w:tcPr>
            <w:tcW w:w="273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02. Partnership Depth</w:t>
            </w:r>
          </w:p>
        </w:tc>
        <w:tc>
          <w:tcPr>
            <w:tcW w:w="806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Top-tier SAP credentials: SAP Gold Partner, RISE with SAP (BTaaS), PCE Partner and Co-Innovation Partner. Position as a narrow combination of credentials.</w:t>
            </w:r>
          </w:p>
        </w:tc>
      </w:tr>
      <w:tr w:rsidR="009600A9" w:rsidRPr="00A92F8E">
        <w:trPr>
          <w:jc w:val="center"/>
        </w:trPr>
        <w:tc>
          <w:tcPr>
            <w:tcW w:w="273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03. Delivery Economics</w:t>
            </w:r>
          </w:p>
        </w:tc>
        <w:tc>
          <w:tcPr>
            <w:tcW w:w="8064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Availability at scale and speed. Use the source wording carefully and reconcile employee-count discrepancy before public launch. Keep 4 delivery centres and 6 sales offices visible.</w:t>
            </w:r>
          </w:p>
        </w:tc>
      </w:tr>
      <w:tr w:rsidR="009600A9" w:rsidRPr="00A92F8E">
        <w:trPr>
          <w:jc w:val="center"/>
        </w:trPr>
        <w:tc>
          <w:tcPr>
            <w:tcW w:w="273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04. Accelerated Outcomes</w:t>
            </w:r>
          </w:p>
        </w:tc>
        <w:tc>
          <w:tcPr>
            <w:tcW w:w="8064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FastForward methodology built on SAP Activate, accelerated by pre-built assets, RDS, localization packs and industry templates. Use “compresses S/4HANA timelines by up to 30%” only with source approval.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10.5 Contact page and thank-you page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448"/>
        <w:gridCol w:w="8352"/>
      </w:tblGrid>
      <w:tr w:rsidR="009600A9" w:rsidRPr="00A92F8E">
        <w:trPr>
          <w:jc w:val="center"/>
        </w:trPr>
        <w:tc>
          <w:tcPr>
            <w:tcW w:w="2448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Section</w:t>
            </w:r>
          </w:p>
        </w:tc>
        <w:tc>
          <w:tcPr>
            <w:tcW w:w="835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Expanded website content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Let us talk about your transformation.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Form fields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Name, work email, company, region, area of interest and message. Area of interest options follow the site architecture: SAP, RISE/GROW, Migrations, SuccessFactors/HXM, Health Check 360, Concur, Ariba, Joule, Salesforce, Workday, Advisory, Digital/Data/AI, Delivery Excellence, Case Studies, Partnerships, Careers.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Office blocks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Delivery Centres: Bengaluru, Hyderabad, Delhi NCR, Bhubaneswar. Sales Offices: Mumbai, Chennai, Singapore, Dubai, Nairobi, Johannesburg. Also include full Bengaluru, Bhubaneswar, Hyderabad, Singapore, Dubai, USA, Kenya, South Africa and Noida addresses where page space permits.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Credentials strip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CMMI, ISO 9001, ISO 27001, SAP Gold Partner, RISE with SAP and PCE Partner.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Thank-you page</w:t>
            </w:r>
          </w:p>
        </w:tc>
        <w:tc>
          <w:tcPr>
            <w:tcW w:w="835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Confirm enquiry receipt, state that the appropriate team will connect, and provide links to SAP Services, Case Studies and Why In2IT EBS.</w:t>
            </w:r>
          </w:p>
        </w:tc>
      </w:tr>
      <w:tr w:rsidR="009600A9" w:rsidRPr="00A92F8E">
        <w:trPr>
          <w:jc w:val="center"/>
        </w:trPr>
        <w:tc>
          <w:tcPr>
            <w:tcW w:w="2448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Contact details</w:t>
            </w:r>
          </w:p>
        </w:tc>
        <w:tc>
          <w:tcPr>
            <w:tcW w:w="835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www.in2itebs.com; info@in2itebs.com; linkedin.com/company/in2it-ebs.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br w:type="page"/>
      </w:r>
    </w:p>
    <w:p w:rsidR="009600A9" w:rsidRPr="00A92F8E" w:rsidRDefault="00676B4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lastRenderedPageBreak/>
        <w:t>11. Page-level source map and launch copy checks</w:t>
      </w:r>
    </w:p>
    <w:tbl>
      <w:tblPr>
        <w:tblW w:w="0" w:type="auto"/>
        <w:jc w:val="center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  <w:tblLook w:val="04A0" w:firstRow="1" w:lastRow="0" w:firstColumn="1" w:lastColumn="0" w:noHBand="0" w:noVBand="1"/>
      </w:tblPr>
      <w:tblGrid>
        <w:gridCol w:w="2232"/>
        <w:gridCol w:w="2376"/>
        <w:gridCol w:w="6192"/>
      </w:tblGrid>
      <w:tr w:rsidR="009600A9" w:rsidRPr="00A92F8E">
        <w:trPr>
          <w:jc w:val="center"/>
        </w:trPr>
        <w:tc>
          <w:tcPr>
            <w:tcW w:w="223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Website page</w:t>
            </w:r>
          </w:p>
        </w:tc>
        <w:tc>
          <w:tcPr>
            <w:tcW w:w="2376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Source deck slides</w:t>
            </w:r>
          </w:p>
        </w:tc>
        <w:tc>
          <w:tcPr>
            <w:tcW w:w="6192" w:type="dxa"/>
            <w:shd w:val="clear" w:color="auto" w:fill="071F49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Content controlled by source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Home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1-6, 18, 26, 45, 49-64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Positioning, proof strip, pillars, signature strengths, case studies, partners, final CTA.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Who We Are</w:t>
            </w:r>
          </w:p>
        </w:tc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2-6</w:t>
            </w:r>
          </w:p>
        </w:tc>
        <w:tc>
          <w:tcPr>
            <w:tcW w:w="61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Scale, footprint, credentials, enterprise structure and delivery model.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What We Do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3-6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Three tiers, three pillars and one delivery engine.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Platform Services</w:t>
            </w:r>
          </w:p>
        </w:tc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7-32</w:t>
            </w:r>
          </w:p>
        </w:tc>
        <w:tc>
          <w:tcPr>
            <w:tcW w:w="61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SAP, Salesforce and Workday.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SAP flagship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8-26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Full SAP depth and sub-practices.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RISE vs GROW</w:t>
            </w:r>
          </w:p>
        </w:tc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14</w:t>
            </w:r>
          </w:p>
        </w:tc>
        <w:tc>
          <w:tcPr>
            <w:tcW w:w="61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Decision aid and Pathway Assessment.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Health Check 360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18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SuccessFactors diagnostic and outcomes.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Salesforce</w:t>
            </w:r>
          </w:p>
        </w:tc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27-29</w:t>
            </w:r>
          </w:p>
        </w:tc>
        <w:tc>
          <w:tcPr>
            <w:tcW w:w="61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CX transformation and engagement model.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Workday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30-32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Workday services, Prism Analytics and managed services.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Advisory</w:t>
            </w:r>
          </w:p>
        </w:tc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33-34</w:t>
            </w:r>
          </w:p>
        </w:tc>
        <w:tc>
          <w:tcPr>
            <w:tcW w:w="61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Consulting-led transformation capabilities.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Digital/Data/AI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35-43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Engineering-led, AI-first capability.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Delivery Excellence</w:t>
            </w:r>
          </w:p>
        </w:tc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44-47</w:t>
            </w:r>
          </w:p>
        </w:tc>
        <w:tc>
          <w:tcPr>
            <w:tcW w:w="61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FastForward, AMS transition and development factory.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Industries and case studies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Slides 48-62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Clientele, sectors and success stories.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Why In2IT EBS</w:t>
            </w:r>
          </w:p>
        </w:tc>
        <w:tc>
          <w:tcPr>
            <w:tcW w:w="2376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63</w:t>
            </w:r>
          </w:p>
        </w:tc>
        <w:tc>
          <w:tcPr>
            <w:tcW w:w="6192" w:type="dxa"/>
            <w:shd w:val="clear" w:color="auto" w:fill="F5F7FB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Four reasons enterprises choose In2IT EBS.</w:t>
            </w:r>
          </w:p>
        </w:tc>
      </w:tr>
      <w:tr w:rsidR="009600A9" w:rsidRPr="00A92F8E">
        <w:trPr>
          <w:jc w:val="center"/>
        </w:trPr>
        <w:tc>
          <w:tcPr>
            <w:tcW w:w="223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Contact</w:t>
            </w:r>
          </w:p>
        </w:tc>
        <w:tc>
          <w:tcPr>
            <w:tcW w:w="2376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Slide 64</w:t>
            </w:r>
          </w:p>
        </w:tc>
        <w:tc>
          <w:tcPr>
            <w:tcW w:w="6192" w:type="dxa"/>
            <w:shd w:val="clear" w:color="auto" w:fill="FFFFFF"/>
          </w:tcPr>
          <w:p w:rsidR="009600A9" w:rsidRPr="00A92F8E" w:rsidRDefault="00676B4B">
            <w:pPr>
              <w:spacing w:after="0" w:line="25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2F8E">
              <w:rPr>
                <w:rFonts w:ascii="Times New Roman" w:hAnsi="Times New Roman" w:cs="Times New Roman"/>
                <w:sz w:val="24"/>
                <w:szCs w:val="24"/>
              </w:rPr>
              <w:t>Final CTA, credentials, web/email/LinkedIn and offices.</w:t>
            </w:r>
          </w:p>
        </w:tc>
      </w:tr>
    </w:tbl>
    <w:p w:rsidR="009600A9" w:rsidRPr="00A92F8E" w:rsidRDefault="009600A9">
      <w:pPr>
        <w:rPr>
          <w:rFonts w:ascii="Times New Roman" w:hAnsi="Times New Roman" w:cs="Times New Roman"/>
          <w:sz w:val="24"/>
          <w:szCs w:val="24"/>
        </w:rPr>
      </w:pPr>
    </w:p>
    <w:p w:rsidR="009600A9" w:rsidRPr="00A92F8E" w:rsidRDefault="00676B4B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b w:val="0"/>
          <w:sz w:val="24"/>
          <w:szCs w:val="24"/>
        </w:rPr>
        <w:t>Launch copy checks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Every page contains the exact source-backed service scope and no unsupported service claims.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Every figure matches the deck and remains unchanged unless leadership formally reconciles inconsistent counts.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Health Check 360 appears under SAP SuccessFactors / HXM, not Advisory Services.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Prism Analytics appears under Workday HR Analytics, not Advisory Services.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ECC appears under SAP migrations, Syniti data management and relevant case studies. The combined term “ECC Prism” is not used unless leadership provides a verified source.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Every case study has a public, anonymised, request-under-NDA or internal-only status before publication.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Every service page has a section-specific CTA and links back to Contact.</w:t>
      </w:r>
    </w:p>
    <w:p w:rsidR="009600A9" w:rsidRPr="00A92F8E" w:rsidRDefault="00676B4B">
      <w:pPr>
        <w:pStyle w:val="ListBullet"/>
        <w:spacing w:after="20"/>
        <w:rPr>
          <w:rFonts w:ascii="Times New Roman" w:hAnsi="Times New Roman" w:cs="Times New Roman"/>
          <w:sz w:val="24"/>
          <w:szCs w:val="24"/>
        </w:rPr>
      </w:pPr>
      <w:r w:rsidRPr="00A92F8E">
        <w:rPr>
          <w:rFonts w:ascii="Times New Roman" w:hAnsi="Times New Roman" w:cs="Times New Roman"/>
          <w:sz w:val="24"/>
          <w:szCs w:val="24"/>
        </w:rPr>
        <w:t>Partner logos, SAP badge usage and client logos are approved before launch.</w:t>
      </w:r>
    </w:p>
    <w:sectPr w:rsidR="009600A9" w:rsidRPr="00A92F8E" w:rsidSect="00034616">
      <w:headerReference w:type="default" r:id="rId8"/>
      <w:footerReference w:type="default" r:id="rId9"/>
      <w:pgSz w:w="12240" w:h="15840"/>
      <w:pgMar w:top="792" w:right="792" w:bottom="792" w:left="79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0222" w:rsidRDefault="005A0222">
      <w:pPr>
        <w:spacing w:after="0" w:line="240" w:lineRule="auto"/>
      </w:pPr>
      <w:r>
        <w:separator/>
      </w:r>
    </w:p>
  </w:endnote>
  <w:endnote w:type="continuationSeparator" w:id="0">
    <w:p w:rsidR="005A0222" w:rsidRDefault="005A0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F8E" w:rsidRDefault="00A92F8E">
    <w:pPr>
      <w:pStyle w:val="Footer"/>
      <w:jc w:val="center"/>
    </w:pPr>
    <w:r>
      <w:rPr>
        <w:color w:val="666666"/>
        <w:sz w:val="16"/>
      </w:rPr>
      <w:t>Deck-faithful expanded website content plan | Corporate Capability Deck 2,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0222" w:rsidRDefault="005A0222">
      <w:pPr>
        <w:spacing w:after="0" w:line="240" w:lineRule="auto"/>
      </w:pPr>
      <w:r>
        <w:separator/>
      </w:r>
    </w:p>
  </w:footnote>
  <w:footnote w:type="continuationSeparator" w:id="0">
    <w:p w:rsidR="005A0222" w:rsidRDefault="005A0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92F8E" w:rsidRDefault="00A92F8E">
    <w:pPr>
      <w:pStyle w:val="Header"/>
      <w:jc w:val="right"/>
    </w:pPr>
    <w:r>
      <w:rPr>
        <w:noProof/>
        <w:color w:val="666666"/>
        <w:sz w:val="1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-502920</wp:posOffset>
          </wp:positionH>
          <wp:positionV relativeFrom="paragraph">
            <wp:posOffset>-228600</wp:posOffset>
          </wp:positionV>
          <wp:extent cx="1628775" cy="77851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877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666666"/>
        <w:sz w:val="16"/>
      </w:rPr>
      <w:t>In2IT EBS | Website Section Content Blueprint |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70C"/>
    <w:rsid w:val="0029639D"/>
    <w:rsid w:val="00326F90"/>
    <w:rsid w:val="005A0222"/>
    <w:rsid w:val="00676B4B"/>
    <w:rsid w:val="0087567F"/>
    <w:rsid w:val="009600A9"/>
    <w:rsid w:val="00A92F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3B40A"/>
  <w14:defaultImageDpi w14:val="300"/>
  <w15:docId w15:val="{8A1B7F44-928F-4874-96CB-9BDE8BDA2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eastAsia="Aptos" w:hAnsi="Aptos"/>
      <w:color w:val="11111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71F4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5F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color w:val="071F4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 Small"/>
    <w:pPr>
      <w:spacing w:after="120"/>
    </w:pPr>
    <w:rPr>
      <w:rFonts w:ascii="Aptos" w:eastAsia="Aptos" w:hAnsi="Aptos"/>
      <w:color w:val="666666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68D080-DAF9-4899-BAF8-576EBBBD5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6887</Words>
  <Characters>39261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Pralay Mishra</cp:lastModifiedBy>
  <cp:revision>3</cp:revision>
  <dcterms:created xsi:type="dcterms:W3CDTF">2013-12-23T23:15:00Z</dcterms:created>
  <dcterms:modified xsi:type="dcterms:W3CDTF">2026-06-04T11:44:00Z</dcterms:modified>
  <cp:category/>
</cp:coreProperties>
</file>