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1E3B"/>
          <w:sz w:val="52"/>
        </w:rPr>
        <w:t>Website Content Plan</w:t>
      </w:r>
    </w:p>
    <w:p>
      <w:r>
        <w:rPr>
          <w:color w:val="3F75A3"/>
          <w:sz w:val="21"/>
        </w:rPr>
        <w:t>In2IT EBS  ·  Converged Intelligence  ·  Source of truth: Corporate Capability deck (Deck 2), May 2026</w:t>
      </w:r>
    </w:p>
    <w:p/>
    <w:p>
      <w:r>
        <w:t>I have read the full draft and the deck. The draft's full scope is clear. Now I'll rewrite it for a non-technical reader following all the hard rules. Let me write the final output directly.</w:t>
      </w:r>
    </w:p>
    <w:p>
      <w:pPr>
        <w:pStyle w:val="Heading1"/>
      </w:pPr>
      <w:r>
        <w:rPr>
          <w:color w:val="121E3B"/>
        </w:rPr>
        <w:t>In2IT EBS — Website Content Plan (Plain-English Edition)</w:t>
      </w:r>
    </w:p>
    <w:p>
      <w:r>
        <w:rPr>
          <w:b/>
        </w:rPr>
        <w:t>What this document is:</w:t>
      </w:r>
      <w:r>
        <w:t xml:space="preserve"> A complete plan for what every page of the new In2IT EBS website should say, who it is for, and what a visitor sees as they scroll down each page. It is written so that anyone — leadership, marketing, sales — can read it without any technical background. A website builder can also use it to construct the site.</w:t>
      </w:r>
    </w:p>
    <w:p>
      <w:r>
        <w:rPr>
          <w:b/>
        </w:rPr>
        <w:t>Opening note — where this content comes from:</w:t>
      </w:r>
      <w:r>
        <w:t xml:space="preserve"> The single source of truth for this plan is the In2IT EBS </w:t>
      </w:r>
      <w:r>
        <w:rPr>
          <w:b/>
        </w:rPr>
        <w:t>"Corporate Capability" presentation deck, Deck 2 (May 2026)</w:t>
      </w:r>
      <w:r>
        <w:t>. Every page, heading, statistic and grouping below mirrors that deck. Where we have added a useful suggestion that is *not* in the deck, it is clearly marked so you can tell the difference.</w:t>
      </w:r>
    </w:p>
    <w:p>
      <w:pPr>
        <w:pStyle w:val="Heading2"/>
      </w:pPr>
      <w:r>
        <w:rPr>
          <w:color w:val="121E3B"/>
        </w:rPr>
        <w:t>How to read this document — a quick legend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Tag</w:t>
            </w:r>
          </w:p>
        </w:tc>
        <w:tc>
          <w:tcPr>
            <w:tcW w:type="dxa" w:w="4320"/>
          </w:tcPr>
          <w:p>
            <w:r>
              <w:rPr>
                <w:b/>
                <w:sz w:val="19"/>
              </w:rPr>
              <w:t>Meaning</w:t>
            </w:r>
          </w:p>
        </w:tc>
      </w:tr>
      <w:tr>
        <w:tc>
          <w:tcPr>
            <w:tcW w:type="dxa" w:w="4320"/>
          </w:tcPr>
          <w:p>
            <w:r>
              <w:rPr>
                <w:sz w:val="19"/>
              </w:rPr>
              <w:t>(no tag)</w:t>
            </w:r>
          </w:p>
        </w:tc>
        <w:tc>
          <w:tcPr>
            <w:tcW w:type="dxa" w:w="4320"/>
          </w:tcPr>
          <w:p>
            <w:r>
              <w:rPr>
                <w:sz w:val="19"/>
              </w:rPr>
              <w:t>Comes straight from Deck 2 (May 2026) — the source of truth.</w:t>
            </w:r>
          </w:p>
        </w:tc>
      </w:tr>
      <w:tr>
        <w:tc>
          <w:tcPr>
            <w:tcW w:type="dxa" w:w="4320"/>
          </w:tcPr>
          <w:p>
            <w:r>
              <w:rPr>
                <w:sz w:val="19"/>
              </w:rPr>
              <w:t>★ Additive</w:t>
            </w:r>
          </w:p>
        </w:tc>
        <w:tc>
          <w:tcPr>
            <w:tcW w:type="dxa" w:w="4320"/>
          </w:tcPr>
          <w:p>
            <w:r>
              <w:rPr>
                <w:sz w:val="19"/>
              </w:rPr>
              <w:t>A suggestion we are adding to make the website stronger. It is *not* from the deck, and it never contradicts the deck. You can accept or drop these freely.</w:t>
            </w:r>
          </w:p>
        </w:tc>
      </w:tr>
      <w:tr>
        <w:tc>
          <w:tcPr>
            <w:tcW w:type="dxa" w:w="4320"/>
          </w:tcPr>
          <w:p>
            <w:r>
              <w:rPr>
                <w:sz w:val="19"/>
              </w:rPr>
              <w:t>⚠ Needs a decision</w:t>
            </w:r>
          </w:p>
        </w:tc>
        <w:tc>
          <w:tcPr>
            <w:tcW w:type="dxa" w:w="4320"/>
          </w:tcPr>
          <w:p>
            <w:r>
              <w:rPr>
                <w:sz w:val="19"/>
              </w:rPr>
              <w:t>Two places in the source material give different numbers. The owner needs to pick one before the website copy is finalised.</w:t>
            </w:r>
          </w:p>
        </w:tc>
      </w:tr>
    </w:tbl>
    <w:p/>
    <w:p>
      <w:r>
        <w:t>A few plain-English notes used throughout:</w:t>
      </w:r>
    </w:p>
    <w:p>
      <w:pPr>
        <w:pStyle w:val="ListBullet"/>
      </w:pPr>
      <w:r>
        <w:rPr>
          <w:b/>
        </w:rPr>
        <w:t>"What the visitor sees"</w:t>
      </w:r>
      <w:r>
        <w:t xml:space="preserve"> describes the actual words, pictures and buttons on screen.</w:t>
      </w:r>
    </w:p>
    <w:p>
      <w:pPr>
        <w:pStyle w:val="ListBullet"/>
      </w:pPr>
      <w:r>
        <w:rPr>
          <w:b/>
        </w:rPr>
        <w:t>"The business value"</w:t>
      </w:r>
      <w:r>
        <w:t xml:space="preserve"> explains why that section helps win or keep a client.</w:t>
      </w:r>
    </w:p>
    <w:p>
      <w:pPr>
        <w:pStyle w:val="ListBullet"/>
      </w:pPr>
      <w:r>
        <w:t xml:space="preserve">A </w:t>
      </w:r>
      <w:r>
        <w:rPr>
          <w:b/>
        </w:rPr>
        <w:t>"pillar"</w:t>
      </w:r>
      <w:r>
        <w:t xml:space="preserve"> is one of the three main parts of the In2IT EBS business (explained right below). Think of them as the three big doors into everything the company does.</w:t>
      </w:r>
    </w:p>
    <w:p>
      <w:pPr>
        <w:pStyle w:val="Heading2"/>
      </w:pPr>
      <w:r>
        <w:rPr>
          <w:color w:val="121E3B"/>
        </w:rPr>
        <w:t>1. The big idea behind the whole site</w:t>
      </w:r>
    </w:p>
    <w:p>
      <w:r>
        <w:t xml:space="preserve">Deck 2 repositions In2IT EBS as </w:t>
      </w:r>
      <w:r>
        <w:rPr>
          <w:b/>
        </w:rPr>
        <w:t>an AI-led enterprise transformation company</w:t>
      </w:r>
      <w:r>
        <w:t xml:space="preserve"> — a firm that helps large organisations modernise the core software that runs their business, with artificial intelligence built into everything it does. ("Artificial intelligence," or AI, simply means software that can understand language, spot patterns and make recommendations the way a skilled person would.)</w:t>
      </w:r>
    </w:p>
    <w:p>
      <w:r>
        <w:t xml:space="preserve">The whole company — and therefore the whole website — is organised around </w:t>
      </w:r>
      <w:r>
        <w:rPr>
          <w:b/>
        </w:rPr>
        <w:t>three pillars plus a delivery layer</w:t>
      </w:r>
      <w:r>
        <w:t>:</w:t>
      </w:r>
    </w:p>
    <w:p>
      <w:pPr>
        <w:pStyle w:val="ListBullet"/>
      </w:pPr>
      <w:r>
        <w:rPr>
          <w:b/>
        </w:rPr>
        <w:t>Pillar A — Platform Services:</w:t>
      </w:r>
      <w:r>
        <w:t xml:space="preserve"> Setting up and running the big "off-the-shelf" business software platforms (SAP, Salesforce, Workday). *Their phrase: "platform-led transformation."*</w:t>
      </w:r>
    </w:p>
    <w:p>
      <w:pPr>
        <w:pStyle w:val="ListBullet"/>
      </w:pPr>
      <w:r>
        <w:rPr>
          <w:b/>
        </w:rPr>
        <w:t>Pillar B — Advisory Services:</w:t>
      </w:r>
      <w:r>
        <w:t xml:space="preserve"> The expert consulting that decides *what* a company should change and *why*, before any building starts. *Their phrase: "consulting-led transformation."*</w:t>
      </w:r>
    </w:p>
    <w:p>
      <w:pPr>
        <w:pStyle w:val="ListBullet"/>
      </w:pPr>
      <w:r>
        <w:rPr>
          <w:b/>
        </w:rPr>
        <w:t>Pillar C — Digital, Data &amp; AI:</w:t>
      </w:r>
      <w:r>
        <w:t xml:space="preserve"> Custom-built software, artificial intelligence, and getting value out of company data. *Their phrase: "engineering-led transformation."*</w:t>
      </w:r>
    </w:p>
    <w:p>
      <w:pPr>
        <w:pStyle w:val="ListBullet"/>
      </w:pPr>
      <w:r>
        <w:rPr>
          <w:b/>
        </w:rPr>
        <w:t>A delivery layer — "Delivery Excellence":</w:t>
      </w:r>
      <w:r>
        <w:t xml:space="preserve"> The proven method and teams that actually carry out the work across all three pillars.</w:t>
      </w:r>
    </w:p>
    <w:p>
      <w:r>
        <w:t xml:space="preserve">The promise that ties it together (straight from the deck): </w:t>
      </w:r>
      <w:r>
        <w:rPr>
          <w:b/>
        </w:rPr>
        <w:t>"One Accountable Partner."</w:t>
      </w:r>
      <w:r>
        <w:t xml:space="preserve"> Instead of juggling several suppliers, the client deals with In2IT EBS for advice, building, support and ongoing improvement — all under one roof. The deck calls this idea </w:t>
      </w:r>
      <w:r>
        <w:rPr>
          <w:b/>
        </w:rPr>
        <w:t>"Converged Intelligence."</w:t>
      </w:r>
    </w:p>
    <w:p>
      <w:pPr>
        <w:pStyle w:val="IntenseQuote"/>
      </w:pPr>
      <w:r>
        <w:rPr>
          <w:b/>
        </w:rPr>
        <w:t>Plain-English note on one technical term you'll see a lot:</w:t>
      </w:r>
      <w:r>
        <w:t xml:space="preserve"> </w:t>
      </w:r>
      <w:r>
        <w:rPr>
          <w:b/>
        </w:rPr>
        <w:t>SAP</w:t>
      </w:r>
      <w:r>
        <w:t xml:space="preserve"> is the world's most widely used software for running a large company's core operations — its finance, supply chain, HR and more. A great deal of In2IT EBS's work centres on SAP. There's a short glossary at the end for SAP and the other shorthand terms.</w:t>
      </w:r>
    </w:p>
    <w:p>
      <w:pPr>
        <w:pStyle w:val="Heading2"/>
      </w:pPr>
      <w:r>
        <w:rPr>
          <w:color w:val="121E3B"/>
        </w:rPr>
        <w:t>2. Numbers that need a decision before launch (⚠)</w:t>
      </w:r>
    </w:p>
    <w:p>
      <w:r>
        <w:t xml:space="preserve">The source material contains a few places where the numbers don't match. The website should show </w:t>
      </w:r>
      <w:r>
        <w:rPr>
          <w:b/>
        </w:rPr>
        <w:t>one</w:t>
      </w:r>
      <w:r>
        <w:t xml:space="preserve"> figure for each, so the owner should choose now. Until then, this plan uses the "interim default" in the last column.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w:t>
            </w:r>
          </w:p>
        </w:tc>
        <w:tc>
          <w:tcPr>
            <w:tcW w:type="dxa" w:w="1728"/>
          </w:tcPr>
          <w:p>
            <w:r>
              <w:rPr>
                <w:b/>
                <w:sz w:val="19"/>
              </w:rPr>
              <w:t>What's inconsistent</w:t>
            </w:r>
          </w:p>
        </w:tc>
        <w:tc>
          <w:tcPr>
            <w:tcW w:type="dxa" w:w="1728"/>
          </w:tcPr>
          <w:p>
            <w:r>
              <w:rPr>
                <w:b/>
                <w:sz w:val="19"/>
              </w:rPr>
              <w:t>One source says…</w:t>
            </w:r>
          </w:p>
        </w:tc>
        <w:tc>
          <w:tcPr>
            <w:tcW w:type="dxa" w:w="1728"/>
          </w:tcPr>
          <w:p>
            <w:r>
              <w:rPr>
                <w:b/>
                <w:sz w:val="19"/>
              </w:rPr>
              <w:t>Another says…</w:t>
            </w:r>
          </w:p>
        </w:tc>
        <w:tc>
          <w:tcPr>
            <w:tcW w:type="dxa" w:w="1728"/>
          </w:tcPr>
          <w:p>
            <w:r>
              <w:rPr>
                <w:b/>
                <w:sz w:val="19"/>
              </w:rPr>
              <w:t>What we'll use for now</w:t>
            </w:r>
          </w:p>
        </w:tc>
      </w:tr>
      <w:tr>
        <w:tc>
          <w:tcPr>
            <w:tcW w:type="dxa" w:w="1728"/>
          </w:tcPr>
          <w:p>
            <w:r>
              <w:rPr>
                <w:sz w:val="19"/>
              </w:rPr>
              <w:t>1</w:t>
            </w:r>
          </w:p>
        </w:tc>
        <w:tc>
          <w:tcPr>
            <w:tcW w:type="dxa" w:w="1728"/>
          </w:tcPr>
          <w:p>
            <w:r>
              <w:rPr>
                <w:sz w:val="19"/>
              </w:rPr>
              <w:t>Number of employees</w:t>
            </w:r>
          </w:p>
        </w:tc>
        <w:tc>
          <w:tcPr>
            <w:tcW w:type="dxa" w:w="1728"/>
          </w:tcPr>
          <w:p>
            <w:r>
              <w:rPr>
                <w:sz w:val="19"/>
              </w:rPr>
              <w:t>380+ (the headline "At a Glance" page)</w:t>
            </w:r>
          </w:p>
        </w:tc>
        <w:tc>
          <w:tcPr>
            <w:tcW w:type="dxa" w:w="1728"/>
          </w:tcPr>
          <w:p>
            <w:r>
              <w:rPr>
                <w:sz w:val="19"/>
              </w:rPr>
              <w:t>550+ (the "Why choose us" page)</w:t>
            </w:r>
          </w:p>
        </w:tc>
        <w:tc>
          <w:tcPr>
            <w:tcW w:type="dxa" w:w="1728"/>
          </w:tcPr>
          <w:p>
            <w:r>
              <w:rPr>
                <w:sz w:val="19"/>
              </w:rPr>
              <w:t>Use 380+ as the company-wide figure everywhere. Owner to confirm and reconcile the 550+.</w:t>
            </w:r>
          </w:p>
        </w:tc>
      </w:tr>
      <w:tr>
        <w:tc>
          <w:tcPr>
            <w:tcW w:type="dxa" w:w="1728"/>
          </w:tcPr>
          <w:p>
            <w:r>
              <w:rPr>
                <w:sz w:val="19"/>
              </w:rPr>
              <w:t>2</w:t>
            </w:r>
          </w:p>
        </w:tc>
        <w:tc>
          <w:tcPr>
            <w:tcW w:type="dxa" w:w="1728"/>
          </w:tcPr>
          <w:p>
            <w:r>
              <w:rPr>
                <w:sz w:val="19"/>
              </w:rPr>
              <w:t>How much faster projects go live</w:t>
            </w:r>
          </w:p>
        </w:tc>
        <w:tc>
          <w:tcPr>
            <w:tcW w:type="dxa" w:w="1728"/>
          </w:tcPr>
          <w:p>
            <w:r>
              <w:rPr>
                <w:sz w:val="19"/>
              </w:rPr>
              <w:t>"up to 30%" faster</w:t>
            </w:r>
          </w:p>
        </w:tc>
        <w:tc>
          <w:tcPr>
            <w:tcW w:type="dxa" w:w="1728"/>
          </w:tcPr>
          <w:p>
            <w:r>
              <w:rPr>
                <w:sz w:val="19"/>
              </w:rPr>
              <w:t>An older deck said "up to 28%"</w:t>
            </w:r>
          </w:p>
        </w:tc>
        <w:tc>
          <w:tcPr>
            <w:tcW w:type="dxa" w:w="1728"/>
          </w:tcPr>
          <w:p>
            <w:r>
              <w:rPr>
                <w:sz w:val="19"/>
              </w:rPr>
              <w:t>Use "up to 30%" (the new deck). Drop "28%".</w:t>
            </w:r>
          </w:p>
        </w:tc>
      </w:tr>
      <w:tr>
        <w:tc>
          <w:tcPr>
            <w:tcW w:type="dxa" w:w="1728"/>
          </w:tcPr>
          <w:p>
            <w:r>
              <w:rPr>
                <w:sz w:val="19"/>
              </w:rPr>
              <w:t>3</w:t>
            </w:r>
          </w:p>
        </w:tc>
        <w:tc>
          <w:tcPr>
            <w:tcW w:type="dxa" w:w="1728"/>
          </w:tcPr>
          <w:p>
            <w:r>
              <w:rPr>
                <w:sz w:val="19"/>
              </w:rPr>
              <w:t>"Accelerators" (pre-built tools that speed up projects)</w:t>
            </w:r>
          </w:p>
        </w:tc>
        <w:tc>
          <w:tcPr>
            <w:tcW w:type="dxa" w:w="1728"/>
          </w:tcPr>
          <w:p>
            <w:r>
              <w:rPr>
                <w:sz w:val="19"/>
              </w:rPr>
              <w:t>The deck lists 12+ packaged accelerators *and* 10+ proprietary accelerators as two separate counts</w:t>
            </w:r>
          </w:p>
        </w:tc>
        <w:tc>
          <w:tcPr>
            <w:tcW w:type="dxa" w:w="1728"/>
          </w:tcPr>
          <w:p>
            <w:r>
              <w:rPr>
                <w:sz w:val="19"/>
              </w:rPr>
              <w:t>—</w:t>
            </w:r>
          </w:p>
        </w:tc>
        <w:tc>
          <w:tcPr>
            <w:tcW w:type="dxa" w:w="1728"/>
          </w:tcPr>
          <w:p>
            <w:r>
              <w:rPr>
                <w:sz w:val="19"/>
              </w:rPr>
              <w:t>Show both, but confirm they really are two different things and not the same tools counted twice.</w:t>
            </w:r>
          </w:p>
        </w:tc>
      </w:tr>
      <w:tr>
        <w:tc>
          <w:tcPr>
            <w:tcW w:type="dxa" w:w="1728"/>
          </w:tcPr>
          <w:p>
            <w:r>
              <w:rPr>
                <w:sz w:val="19"/>
              </w:rPr>
              <w:t>4</w:t>
            </w:r>
          </w:p>
        </w:tc>
        <w:tc>
          <w:tcPr>
            <w:tcW w:type="dxa" w:w="1728"/>
          </w:tcPr>
          <w:p>
            <w:r>
              <w:rPr>
                <w:sz w:val="19"/>
              </w:rPr>
              <w:t>Office footprint</w:t>
            </w:r>
          </w:p>
        </w:tc>
        <w:tc>
          <w:tcPr>
            <w:tcW w:type="dxa" w:w="1728"/>
          </w:tcPr>
          <w:p>
            <w:r>
              <w:rPr>
                <w:sz w:val="19"/>
              </w:rPr>
              <w:t>4 delivery centres + 6 sales offices</w:t>
            </w:r>
          </w:p>
        </w:tc>
        <w:tc>
          <w:tcPr>
            <w:tcW w:type="dxa" w:w="1728"/>
          </w:tcPr>
          <w:p>
            <w:r>
              <w:rPr>
                <w:sz w:val="19"/>
              </w:rPr>
              <w:t>An older deck said "10+ delivery centres"</w:t>
            </w:r>
          </w:p>
        </w:tc>
        <w:tc>
          <w:tcPr>
            <w:tcW w:type="dxa" w:w="1728"/>
          </w:tcPr>
          <w:p>
            <w:r>
              <w:rPr>
                <w:sz w:val="19"/>
              </w:rPr>
              <w:t>Use 4 + 6. Drop "10 delivery centres".</w:t>
            </w:r>
          </w:p>
        </w:tc>
      </w:tr>
      <w:tr>
        <w:tc>
          <w:tcPr>
            <w:tcW w:type="dxa" w:w="1728"/>
          </w:tcPr>
          <w:p>
            <w:r>
              <w:rPr>
                <w:sz w:val="19"/>
              </w:rPr>
              <w:t>5</w:t>
            </w:r>
          </w:p>
        </w:tc>
        <w:tc>
          <w:tcPr>
            <w:tcW w:type="dxa" w:w="1728"/>
          </w:tcPr>
          <w:p>
            <w:r>
              <w:rPr>
                <w:sz w:val="19"/>
              </w:rPr>
              <w:t>SAP specialists vs total staff</w:t>
            </w:r>
          </w:p>
        </w:tc>
        <w:tc>
          <w:tcPr>
            <w:tcW w:type="dxa" w:w="1728"/>
          </w:tcPr>
          <w:p>
            <w:r>
              <w:rPr>
                <w:sz w:val="19"/>
              </w:rPr>
              <w:t>300+ SAP specialists</w:t>
            </w:r>
          </w:p>
        </w:tc>
        <w:tc>
          <w:tcPr>
            <w:tcW w:type="dxa" w:w="1728"/>
          </w:tcPr>
          <w:p>
            <w:r>
              <w:rPr>
                <w:sz w:val="19"/>
              </w:rPr>
              <w:t>380+ total employees</w:t>
            </w:r>
          </w:p>
        </w:tc>
        <w:tc>
          <w:tcPr>
            <w:tcW w:type="dxa" w:w="1728"/>
          </w:tcPr>
          <w:p>
            <w:r>
              <w:rPr>
                <w:sz w:val="19"/>
              </w:rPr>
              <w:t>These are consistent — the 300+ SAP people are part of the 380+ total. Keep the labels distinct so it's clear.</w:t>
            </w:r>
          </w:p>
        </w:tc>
      </w:tr>
      <w:tr>
        <w:tc>
          <w:tcPr>
            <w:tcW w:type="dxa" w:w="1728"/>
          </w:tcPr>
          <w:p>
            <w:r>
              <w:rPr>
                <w:sz w:val="19"/>
              </w:rPr>
              <w:t>6</w:t>
            </w:r>
          </w:p>
        </w:tc>
        <w:tc>
          <w:tcPr>
            <w:tcW w:type="dxa" w:w="1728"/>
          </w:tcPr>
          <w:p>
            <w:r>
              <w:rPr>
                <w:sz w:val="19"/>
              </w:rPr>
              <w:t>Number of partner companies</w:t>
            </w:r>
          </w:p>
        </w:tc>
        <w:tc>
          <w:tcPr>
            <w:tcW w:type="dxa" w:w="1728"/>
          </w:tcPr>
          <w:p>
            <w:r>
              <w:rPr>
                <w:sz w:val="19"/>
              </w:rPr>
              <w:t>12+ strategic partners (headline)</w:t>
            </w:r>
          </w:p>
        </w:tc>
        <w:tc>
          <w:tcPr>
            <w:tcW w:type="dxa" w:w="1728"/>
          </w:tcPr>
          <w:p>
            <w:r>
              <w:rPr>
                <w:sz w:val="19"/>
              </w:rPr>
              <w:t>"+8 strategic partners" (on the partners page)</w:t>
            </w:r>
          </w:p>
        </w:tc>
        <w:tc>
          <w:tcPr>
            <w:tcW w:type="dxa" w:w="1728"/>
          </w:tcPr>
          <w:p>
            <w:r>
              <w:rPr>
                <w:sz w:val="19"/>
              </w:rPr>
              <w:t>Show 12+ as the headline and "plus more" in the body. Confirm.</w:t>
            </w:r>
          </w:p>
        </w:tc>
      </w:tr>
    </w:tbl>
    <w:p/>
    <w:p>
      <w:pPr>
        <w:pStyle w:val="Heading2"/>
      </w:pPr>
      <w:r>
        <w:rPr>
          <w:color w:val="121E3B"/>
        </w:rPr>
        <w:t>3. The site map — how the pages fit together</w:t>
      </w:r>
    </w:p>
    <w:p>
      <w:r>
        <w:t xml:space="preserve">A </w:t>
      </w:r>
      <w:r>
        <w:rPr>
          <w:b/>
        </w:rPr>
        <w:t>site map</w:t>
      </w:r>
      <w:r>
        <w:t xml:space="preserve"> is simply a list of all the pages on the website and how they nest under one another, like a table of contents.</w:t>
      </w:r>
    </w:p>
    <w:p>
      <w:r>
        <w:rPr>
          <w:rFonts w:ascii="Consolas" w:hAnsi="Consolas"/>
        </w:rPr>
        <w:t>`</w:t>
      </w:r>
    </w:p>
    <w:p>
      <w:r>
        <w:t>Home  (the front page)</w:t>
      </w:r>
    </w:p>
    <w:p>
      <w:r>
        <w:t>│</w:t>
      </w:r>
    </w:p>
    <w:p>
      <w:r>
        <w:t>├── Who We Are  (about the company)</w:t>
      </w:r>
    </w:p>
    <w:p>
      <w:r>
        <w:t>│</w:t>
      </w:r>
    </w:p>
    <w:p>
      <w:r>
        <w:t>├── What We Do  (the hub that leads to the three pillars)</w:t>
      </w:r>
    </w:p>
    <w:p>
      <w:r>
        <w:t>│     ├── Platform Services  (Pillar A)</w:t>
      </w:r>
    </w:p>
    <w:p>
      <w:r>
        <w:t>│     │     ├── SAP            (the largest, most detailed page on the site)</w:t>
      </w:r>
    </w:p>
    <w:p>
      <w:r>
        <w:t>│     │     │     └── "RISE vs GROW" — a help-me-choose page</w:t>
      </w:r>
    </w:p>
    <w:p>
      <w:r>
        <w:t>│     │     ├── Salesforce</w:t>
      </w:r>
    </w:p>
    <w:p>
      <w:r>
        <w:t>│     │     └── Workday</w:t>
      </w:r>
    </w:p>
    <w:p>
      <w:r>
        <w:t>│     ├── Advisory Services  (Pillar B)</w:t>
      </w:r>
    </w:p>
    <w:p>
      <w:r>
        <w:t>│     ├── Digital, Data &amp; AI  (Pillar C)</w:t>
      </w:r>
    </w:p>
    <w:p>
      <w:r>
        <w:t>│     │     ├── Application Engineering   (custom-built software)</w:t>
      </w:r>
    </w:p>
    <w:p>
      <w:r>
        <w:t>│     │     ├── AI &amp; Automation</w:t>
      </w:r>
    </w:p>
    <w:p>
      <w:r>
        <w:t>│     │     ├── Data &amp; Analytics</w:t>
      </w:r>
    </w:p>
    <w:p>
      <w:r>
        <w:t>│     │     └── Integration &amp; Cloud</w:t>
      </w:r>
    </w:p>
    <w:p>
      <w:r>
        <w:t>│     └── Delivery Excellence  (how the work gets done)</w:t>
      </w:r>
    </w:p>
    <w:p>
      <w:r>
        <w:t>│</w:t>
      </w:r>
    </w:p>
    <w:p>
      <w:r>
        <w:t>├── Industries  (the sectors served, with a page per sector)</w:t>
      </w:r>
    </w:p>
    <w:p>
      <w:r>
        <w:t>│</w:t>
      </w:r>
    </w:p>
    <w:p>
      <w:r>
        <w:t>├── Clients &amp; Case Studies  (NEW — real client success stories)</w:t>
      </w:r>
    </w:p>
    <w:p>
      <w:r>
        <w:t>│</w:t>
      </w:r>
    </w:p>
    <w:p>
      <w:r>
        <w:t>├── Partners &amp; Ecosystem  (NEW — the technology partners)</w:t>
      </w:r>
    </w:p>
    <w:p>
      <w:r>
        <w:t>│</w:t>
      </w:r>
    </w:p>
    <w:p>
      <w:r>
        <w:t>├── Why In2IT EBS  (four reasons to choose them)</w:t>
      </w:r>
    </w:p>
    <w:p>
      <w:r>
        <w:t>│</w:t>
      </w:r>
    </w:p>
    <w:p>
      <w:r>
        <w:t>├── Insights      ★ Additive (articles / thought leadership)</w:t>
      </w:r>
    </w:p>
    <w:p>
      <w:r>
        <w:t>├── Careers       ★ Additive (jobs)</w:t>
      </w:r>
    </w:p>
    <w:p>
      <w:r>
        <w:t>├── Contact       (offices, enquiry form)</w:t>
      </w:r>
    </w:p>
    <w:p>
      <w:r>
        <w:t>└── Legal pages   ★ Additive (privacy, disclaimer)</w:t>
      </w:r>
    </w:p>
    <w:p>
      <w:r>
        <w:rPr>
          <w:rFonts w:ascii="Consolas" w:hAnsi="Consolas"/>
        </w:rPr>
        <w:t>`</w:t>
      </w:r>
    </w:p>
    <w:p>
      <w:r>
        <w:rPr>
          <w:b/>
        </w:rPr>
        <w:t>Which pages come from the deck:</w:t>
      </w:r>
      <w:r>
        <w:t xml:space="preserve"> Home, Who We Are, What We Do, the three pillars and their sub-pages, Delivery Excellence, Industries, Clients &amp; Case Studies, Partners &amp; Ecosystem, Why In2IT EBS, Contact.</w:t>
      </w:r>
    </w:p>
    <w:p>
      <w:r>
        <w:rPr>
          <w:b/>
        </w:rPr>
        <w:t>Which pages are ★ Additive (our suggestions, not in the deck):</w:t>
      </w:r>
      <w:r>
        <w:t xml:space="preserve"> Insights, Careers, the Legal pages, and the written body text on each individual industry page.</w:t>
      </w:r>
    </w:p>
    <w:p>
      <w:pPr>
        <w:pStyle w:val="Heading2"/>
      </w:pPr>
      <w:r>
        <w:rPr>
          <w:color w:val="121E3B"/>
        </w:rPr>
        <w:t>4. The navigation menu — what's along the top</w:t>
      </w:r>
    </w:p>
    <w:p>
      <w:r>
        <w:t>The bar across the top of every page (the "menu") is how visitors move around. Here is what it should contain:</w:t>
      </w:r>
    </w:p>
    <w:p>
      <w:pPr>
        <w:pStyle w:val="ListBullet"/>
      </w:pPr>
      <w:r>
        <w:rPr>
          <w:b/>
        </w:rPr>
        <w:t>Home</w:t>
      </w:r>
    </w:p>
    <w:p>
      <w:pPr>
        <w:pStyle w:val="ListBullet"/>
      </w:pPr>
      <w:r>
        <w:rPr>
          <w:b/>
        </w:rPr>
        <w:t>Who We Are</w:t>
      </w:r>
    </w:p>
    <w:p>
      <w:pPr>
        <w:pStyle w:val="ListBullet"/>
      </w:pPr>
      <w:r>
        <w:rPr>
          <w:b/>
        </w:rPr>
        <w:t>What We Do</w:t>
      </w:r>
      <w:r>
        <w:t xml:space="preserve"> — opens a large drop-down panel grouped by the three pillars (see below)</w:t>
      </w:r>
    </w:p>
    <w:p>
      <w:pPr>
        <w:pStyle w:val="ListBullet"/>
      </w:pPr>
      <w:r>
        <w:rPr>
          <w:b/>
        </w:rPr>
        <w:t>Industries</w:t>
      </w:r>
    </w:p>
    <w:p>
      <w:pPr>
        <w:pStyle w:val="ListBullet"/>
      </w:pPr>
      <w:r>
        <w:rPr>
          <w:b/>
        </w:rPr>
        <w:t>Clients &amp; Case Studies</w:t>
      </w:r>
    </w:p>
    <w:p>
      <w:pPr>
        <w:pStyle w:val="ListBullet"/>
      </w:pPr>
      <w:r>
        <w:rPr>
          <w:b/>
        </w:rPr>
        <w:t>Partners &amp; Ecosystem</w:t>
      </w:r>
    </w:p>
    <w:p>
      <w:pPr>
        <w:pStyle w:val="ListBullet"/>
      </w:pPr>
      <w:r>
        <w:rPr>
          <w:b/>
        </w:rPr>
        <w:t>Why In2IT EBS</w:t>
      </w:r>
    </w:p>
    <w:p>
      <w:pPr>
        <w:pStyle w:val="ListBullet"/>
      </w:pPr>
      <w:r>
        <w:rPr>
          <w:b/>
        </w:rPr>
        <w:t>Insights</w:t>
      </w:r>
      <w:r>
        <w:t xml:space="preserve"> ★ Additive</w:t>
      </w:r>
    </w:p>
    <w:p>
      <w:pPr>
        <w:pStyle w:val="ListBullet"/>
      </w:pPr>
      <w:r>
        <w:t xml:space="preserve">A standout button: </w:t>
      </w:r>
      <w:r>
        <w:rPr>
          <w:b/>
        </w:rPr>
        <w:t>"Let's talk about your transformation"</w:t>
      </w:r>
      <w:r>
        <w:t xml:space="preserve"> (wording taken directly from the deck) that goes to the Contact page</w:t>
      </w:r>
    </w:p>
    <w:p>
      <w:pPr>
        <w:pStyle w:val="ListBullet"/>
      </w:pPr>
      <w:r>
        <w:t xml:space="preserve">Top-right corner: a region picker (India / Singapore / Middle East / Kenya / South Africa), a search icon, and a small </w:t>
      </w:r>
      <w:r>
        <w:rPr>
          <w:b/>
        </w:rPr>
        <w:t>"SAP Gold Partner"</w:t>
      </w:r>
      <w:r>
        <w:t xml:space="preserve"> badge (a mark of top-level certification from SAP)</w:t>
      </w:r>
    </w:p>
    <w:p>
      <w:r>
        <w:rPr>
          <w:b/>
        </w:rPr>
        <w:t>The "What We Do" drop-down panel</w:t>
      </w:r>
      <w:r>
        <w:t>, grouped by pillar exactly as the deck organises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Platform Services</w:t>
            </w:r>
          </w:p>
        </w:tc>
        <w:tc>
          <w:tcPr>
            <w:tcW w:type="dxa" w:w="2160"/>
          </w:tcPr>
          <w:p>
            <w:r>
              <w:rPr>
                <w:b/>
                <w:sz w:val="19"/>
              </w:rPr>
              <w:t>Advisory Services</w:t>
            </w:r>
          </w:p>
        </w:tc>
        <w:tc>
          <w:tcPr>
            <w:tcW w:type="dxa" w:w="2160"/>
          </w:tcPr>
          <w:p>
            <w:r>
              <w:rPr>
                <w:b/>
                <w:sz w:val="19"/>
              </w:rPr>
              <w:t>Digital, Data &amp; AI</w:t>
            </w:r>
          </w:p>
        </w:tc>
        <w:tc>
          <w:tcPr>
            <w:tcW w:type="dxa" w:w="2160"/>
          </w:tcPr>
          <w:p>
            <w:r>
              <w:rPr>
                <w:b/>
                <w:sz w:val="19"/>
              </w:rPr>
              <w:t>Delivery Excellence</w:t>
            </w:r>
          </w:p>
        </w:tc>
      </w:tr>
      <w:tr>
        <w:tc>
          <w:tcPr>
            <w:tcW w:type="dxa" w:w="2160"/>
          </w:tcPr>
          <w:p>
            <w:r>
              <w:rPr>
                <w:sz w:val="19"/>
              </w:rPr>
              <w:t>*Platform-led*</w:t>
            </w:r>
          </w:p>
        </w:tc>
        <w:tc>
          <w:tcPr>
            <w:tcW w:type="dxa" w:w="2160"/>
          </w:tcPr>
          <w:p>
            <w:r>
              <w:rPr>
                <w:sz w:val="19"/>
              </w:rPr>
              <w:t>*Consulting-led*</w:t>
            </w:r>
          </w:p>
        </w:tc>
        <w:tc>
          <w:tcPr>
            <w:tcW w:type="dxa" w:w="2160"/>
          </w:tcPr>
          <w:p>
            <w:r>
              <w:rPr>
                <w:sz w:val="19"/>
              </w:rPr>
              <w:t>*Engineering-led*</w:t>
            </w:r>
          </w:p>
        </w:tc>
        <w:tc>
          <w:tcPr>
            <w:tcW w:type="dxa" w:w="2160"/>
          </w:tcPr>
          <w:p>
            <w:r>
              <w:rPr>
                <w:sz w:val="19"/>
              </w:rPr>
              <w:t>*How we deliver*</w:t>
            </w:r>
          </w:p>
        </w:tc>
      </w:tr>
      <w:tr>
        <w:tc>
          <w:tcPr>
            <w:tcW w:type="dxa" w:w="2160"/>
          </w:tcPr>
          <w:p>
            <w:r>
              <w:rPr>
                <w:sz w:val="19"/>
              </w:rPr>
              <w:t>SAP (leads to all the SAP topics)</w:t>
            </w:r>
          </w:p>
        </w:tc>
        <w:tc>
          <w:tcPr>
            <w:tcW w:type="dxa" w:w="2160"/>
          </w:tcPr>
          <w:p>
            <w:r>
              <w:rPr>
                <w:sz w:val="19"/>
              </w:rPr>
              <w:t>Transformation Advisory</w:t>
            </w:r>
          </w:p>
        </w:tc>
        <w:tc>
          <w:tcPr>
            <w:tcW w:type="dxa" w:w="2160"/>
          </w:tcPr>
          <w:p>
            <w:r>
              <w:rPr>
                <w:sz w:val="19"/>
              </w:rPr>
              <w:t>Application Engineering</w:t>
            </w:r>
          </w:p>
        </w:tc>
        <w:tc>
          <w:tcPr>
            <w:tcW w:type="dxa" w:w="2160"/>
          </w:tcPr>
          <w:p>
            <w:r>
              <w:rPr>
                <w:sz w:val="19"/>
              </w:rPr>
              <w:t>The FastForward method</w:t>
            </w:r>
          </w:p>
        </w:tc>
      </w:tr>
      <w:tr>
        <w:tc>
          <w:tcPr>
            <w:tcW w:type="dxa" w:w="2160"/>
          </w:tcPr>
          <w:p>
            <w:r>
              <w:rPr>
                <w:sz w:val="19"/>
              </w:rPr>
              <w:t>Salesforce</w:t>
            </w:r>
          </w:p>
        </w:tc>
        <w:tc>
          <w:tcPr>
            <w:tcW w:type="dxa" w:w="2160"/>
          </w:tcPr>
          <w:p>
            <w:r>
              <w:rPr>
                <w:sz w:val="19"/>
              </w:rPr>
              <w:t>Strategy &amp; Governance</w:t>
            </w:r>
          </w:p>
        </w:tc>
        <w:tc>
          <w:tcPr>
            <w:tcW w:type="dxa" w:w="2160"/>
          </w:tcPr>
          <w:p>
            <w:r>
              <w:rPr>
                <w:sz w:val="19"/>
              </w:rPr>
              <w:t>AI &amp; Automation</w:t>
            </w:r>
          </w:p>
        </w:tc>
        <w:tc>
          <w:tcPr>
            <w:tcW w:type="dxa" w:w="2160"/>
          </w:tcPr>
          <w:p>
            <w:r>
              <w:rPr>
                <w:sz w:val="19"/>
              </w:rPr>
              <w:t>16-week support handover</w:t>
            </w:r>
          </w:p>
        </w:tc>
      </w:tr>
      <w:tr>
        <w:tc>
          <w:tcPr>
            <w:tcW w:type="dxa" w:w="2160"/>
          </w:tcPr>
          <w:p>
            <w:r>
              <w:rPr>
                <w:sz w:val="19"/>
              </w:rPr>
              <w:t>Workday</w:t>
            </w:r>
          </w:p>
        </w:tc>
        <w:tc>
          <w:tcPr>
            <w:tcW w:type="dxa" w:w="2160"/>
          </w:tcPr>
          <w:p>
            <w:r>
              <w:rPr>
                <w:sz w:val="19"/>
              </w:rPr>
              <w:t>Enterprise Architecture</w:t>
            </w:r>
          </w:p>
        </w:tc>
        <w:tc>
          <w:tcPr>
            <w:tcW w:type="dxa" w:w="2160"/>
          </w:tcPr>
          <w:p>
            <w:r>
              <w:rPr>
                <w:sz w:val="19"/>
              </w:rPr>
              <w:t>Data &amp; Analytics</w:t>
            </w:r>
          </w:p>
        </w:tc>
        <w:tc>
          <w:tcPr>
            <w:tcW w:type="dxa" w:w="2160"/>
          </w:tcPr>
          <w:p>
            <w:r>
              <w:rPr>
                <w:sz w:val="19"/>
              </w:rPr>
              <w:t>Development "factory"</w:t>
            </w:r>
          </w:p>
        </w:tc>
      </w:tr>
      <w:tr>
        <w:tc>
          <w:tcPr>
            <w:tcW w:type="dxa" w:w="2160"/>
          </w:tcPr>
          <w:p>
            <w:r>
              <w:rPr>
                <w:sz w:val="19"/>
              </w:rPr>
              <w:t>*Coming later: Oracle, ServiceNow, Microsoft, Adobe*</w:t>
            </w:r>
          </w:p>
        </w:tc>
        <w:tc>
          <w:tcPr>
            <w:tcW w:type="dxa" w:w="2160"/>
          </w:tcPr>
          <w:p>
            <w:r>
              <w:rPr>
                <w:sz w:val="19"/>
              </w:rPr>
              <w:t>Change &amp; Assurance</w:t>
            </w:r>
          </w:p>
        </w:tc>
        <w:tc>
          <w:tcPr>
            <w:tcW w:type="dxa" w:w="2160"/>
          </w:tcPr>
          <w:p>
            <w:r>
              <w:rPr>
                <w:sz w:val="19"/>
              </w:rPr>
              <w:t>Integration &amp; Cloud</w:t>
            </w:r>
          </w:p>
        </w:tc>
        <w:tc>
          <w:tcPr>
            <w:tcW w:type="dxa" w:w="2160"/>
          </w:tcPr>
          <w:p>
            <w:r>
              <w:rPr>
                <w:sz w:val="19"/>
              </w:rPr>
              <w:t>One delivery engine</w:t>
            </w:r>
          </w:p>
        </w:tc>
      </w:tr>
    </w:tbl>
    <w:p/>
    <w:p>
      <w:r>
        <w:t xml:space="preserve">At the bottom of that panel, a strip listing the major cloud partners: </w:t>
      </w:r>
      <w:r>
        <w:rPr>
          <w:b/>
        </w:rPr>
        <w:t>AWS · Microsoft Azure · Google Cloud · SAP · Salesforce · Workday</w:t>
      </w:r>
      <w:r>
        <w:t>. ("Cloud" simply means the software runs on the internet rather than on computers in the client's own building.)</w:t>
      </w:r>
    </w:p>
    <w:p>
      <w:r>
        <w:rPr>
          <w:b/>
        </w:rPr>
        <w:t>The footer</w:t>
      </w:r>
      <w:r>
        <w:t xml:space="preserve"> (the band at the very bottom of every page) repeats these links in tidy columns, plus the company's certifications (</w:t>
      </w:r>
      <w:r>
        <w:rPr>
          <w:b/>
        </w:rPr>
        <w:t>CMMI · ISO 9001 · ISO 27001 · SAP Gold Partner · RISE with SAP · PCE Partner</w:t>
      </w:r>
      <w:r>
        <w:t>), office locations, a LinkedIn link, a newsletter sign-up, and the 2026 copyright line.</w:t>
      </w:r>
    </w:p>
    <w:p>
      <w:pPr>
        <w:pStyle w:val="Heading2"/>
      </w:pPr>
      <w:r>
        <w:rPr>
          <w:color w:val="121E3B"/>
        </w:rPr>
        <w:t>5. Page-by-page — what each page says and shows</w:t>
      </w:r>
    </w:p>
    <w:p>
      <w:pPr>
        <w:pStyle w:val="IntenseQuote"/>
      </w:pPr>
      <w:r>
        <w:t xml:space="preserve">Throughout this section, </w:t>
      </w:r>
      <w:r>
        <w:rPr>
          <w:b/>
        </w:rPr>
        <w:t>(Deck)</w:t>
      </w:r>
      <w:r>
        <w:t xml:space="preserve"> means the content comes from Deck 2. </w:t>
      </w:r>
      <w:r>
        <w:rPr>
          <w:b/>
        </w:rPr>
        <w:t>★ Additive</w:t>
      </w:r>
      <w:r>
        <w:t xml:space="preserve"> marks our extra suggestions.</w:t>
      </w:r>
    </w:p>
    <w:p>
      <w:pPr>
        <w:pStyle w:val="Heading3"/>
      </w:pPr>
      <w:r>
        <w:rPr>
          <w:color w:val="121E3B"/>
        </w:rPr>
        <w:t>5.1 Home (the front page)</w:t>
      </w:r>
    </w:p>
    <w:p>
      <w:r>
        <w:t>This is the page most visitors see first. It must explain, in seconds, who In2IT EBS is and why they matter, then guide people deeper.</w:t>
      </w:r>
    </w:p>
    <w:p>
      <w:r>
        <w:rPr>
          <w:b/>
        </w:rPr>
        <w:t>As the visitor scrolls down, they see, in order:</w:t>
      </w:r>
    </w:p>
    <w:p>
      <w:pPr>
        <w:pStyle w:val="ListNumber"/>
      </w:pPr>
      <w:r>
        <w:rPr>
          <w:b/>
        </w:rPr>
        <w:t>A bold opening banner.</w:t>
      </w:r>
      <w:r>
        <w:t xml:space="preserve"> A small label reads "Corporate Capability." The main headline says: *"An AI-led enterprise transformation company across Platforms, Advisory and Digital Engineering."* Below it: "A decade of enterprise transformation, delivered globally." Two buttons: "Let's talk about your transformation" and "Explore what we do."</w:t>
      </w:r>
    </w:p>
    <w:p>
      <w:pPr>
        <w:pStyle w:val="ListBullet2"/>
      </w:pPr>
      <w:r>
        <w:rPr>
          <w:b/>
        </w:rPr>
        <w:t>★ Additive:</w:t>
      </w:r>
      <w:r>
        <w:t xml:space="preserve"> a small rotating proof line near the headline, e.g. *"An 8-week SAP go-live for WayCool Foods"* — a real, quick win to build instant credibility.</w:t>
      </w:r>
    </w:p>
    <w:p>
      <w:pPr>
        <w:pStyle w:val="ListNumber"/>
      </w:pPr>
      <w:r>
        <w:rPr>
          <w:b/>
        </w:rPr>
        <w:t>A band of headline numbers</w:t>
      </w:r>
      <w:r>
        <w:t xml:space="preserve"> (these are the official figures): 10+ years of experience · </w:t>
      </w:r>
      <w:r>
        <w:rPr>
          <w:b/>
        </w:rPr>
        <w:t>380+ employees</w:t>
      </w:r>
      <w:r>
        <w:t xml:space="preserve"> (see ⚠ #1) · 150+ global customers · 30+ countries · 14+ industries served · 12+ packaged accelerators · 12+ strategic partners · 10+ proprietary accelerators.</w:t>
      </w:r>
    </w:p>
    <w:p>
      <w:pPr>
        <w:pStyle w:val="ListNumber"/>
      </w:pPr>
      <w:r>
        <w:rPr>
          <w:b/>
        </w:rPr>
        <w:t>The three pillars introduced.</w:t>
      </w:r>
      <w:r>
        <w:t xml:space="preserve"> "Three pillars. One converged enterprise." Three cards (Platform Services, Advisory Services, Digital, Data &amp; AI) plus a fourth for Delivery Excellence, with the promise line: </w:t>
      </w:r>
      <w:r>
        <w:rPr>
          <w:b/>
        </w:rPr>
        <w:t>"One Accountable Partner — never fragmented vendors."</w:t>
      </w:r>
    </w:p>
    <w:p>
      <w:pPr>
        <w:pStyle w:val="ListNumber"/>
      </w:pPr>
      <w:r>
        <w:rPr>
          <w:b/>
        </w:rPr>
        <w:t>The guiding principle.</w:t>
      </w:r>
      <w:r>
        <w:t xml:space="preserve"> A dark band stating "Converged Intelligence — clear ownership, one delivery engine, and AI woven across every pillar."</w:t>
      </w:r>
    </w:p>
    <w:p>
      <w:pPr>
        <w:pStyle w:val="ListNumber"/>
      </w:pPr>
      <w:r>
        <w:rPr>
          <w:b/>
        </w:rPr>
        <w:t>Three signature strengths</w:t>
      </w:r>
      <w:r>
        <w:t xml:space="preserve"> shown as cards: the "Converged Intelligence Stack" vision, the AI-powered SuccessFactors health check, and the FastForward delivery method.</w:t>
      </w:r>
    </w:p>
    <w:p>
      <w:pPr>
        <w:pStyle w:val="ListNumber"/>
      </w:pPr>
      <w:r>
        <w:rPr>
          <w:b/>
        </w:rPr>
        <w:t>A taste of "Why choose us"</w:t>
      </w:r>
      <w:r>
        <w:t xml:space="preserve"> — the four reasons (listed in section 5.11), linking to that page.</w:t>
      </w:r>
    </w:p>
    <w:p>
      <w:pPr>
        <w:pStyle w:val="ListNumber"/>
      </w:pPr>
      <w:r>
        <w:rPr>
          <w:b/>
        </w:rPr>
        <w:t>A client proof band</w:t>
      </w:r>
      <w:r>
        <w:t xml:space="preserve"> — a wall of client logos by sector plus three or four featured success-story cards.</w:t>
      </w:r>
    </w:p>
    <w:p>
      <w:pPr>
        <w:pStyle w:val="ListNumber"/>
      </w:pPr>
      <w:r>
        <w:rPr>
          <w:b/>
        </w:rPr>
        <w:t>A partners strip</w:t>
      </w:r>
      <w:r>
        <w:t xml:space="preserve">, a </w:t>
      </w:r>
      <w:r>
        <w:rPr>
          <w:b/>
        </w:rPr>
        <w:t>certifications strip</w:t>
      </w:r>
      <w:r>
        <w:t xml:space="preserve">, an </w:t>
      </w:r>
      <w:r>
        <w:rPr>
          <w:b/>
        </w:rPr>
        <w:t>★ Additive</w:t>
      </w:r>
      <w:r>
        <w:t xml:space="preserve"> Insights teaser, and a closing prompt to get in touch.</w:t>
      </w:r>
    </w:p>
    <w:p>
      <w:r>
        <w:rPr>
          <w:b/>
        </w:rPr>
        <w:t>Business value:</w:t>
      </w:r>
      <w:r>
        <w:t xml:space="preserve"> The home page does the work of a great cover slide — it states the positioning, proves it with numbers and logos, and routes each type of visitor to the right place.</w:t>
      </w:r>
    </w:p>
    <w:p>
      <w:pPr>
        <w:pStyle w:val="Heading3"/>
      </w:pPr>
      <w:r>
        <w:rPr>
          <w:color w:val="121E3B"/>
        </w:rPr>
        <w:t>5.2 Who We Are (about the company)</w:t>
      </w:r>
    </w:p>
    <w:p>
      <w:r>
        <w:rPr>
          <w:b/>
        </w:rPr>
        <w:t>As the visitor scrolls:</w:t>
      </w:r>
    </w:p>
    <w:p>
      <w:pPr>
        <w:pStyle w:val="ListNumber"/>
      </w:pPr>
      <w:r>
        <w:rPr>
          <w:b/>
        </w:rPr>
        <w:t>Banner:</w:t>
      </w:r>
      <w:r>
        <w:t xml:space="preserve"> "Three pillars. One converged enterprise," with the one-line description of the company structure.</w:t>
      </w:r>
    </w:p>
    <w:p>
      <w:pPr>
        <w:pStyle w:val="ListNumber"/>
      </w:pPr>
      <w:r>
        <w:rPr>
          <w:b/>
        </w:rPr>
        <w:t>The headline numbers and certifications</w:t>
      </w:r>
      <w:r>
        <w:t xml:space="preserve"> (the same "At a Glance" figures and credentials as the home page).</w:t>
      </w:r>
    </w:p>
    <w:p>
      <w:pPr>
        <w:pStyle w:val="ListNumber"/>
      </w:pPr>
      <w:r>
        <w:rPr>
          <w:b/>
        </w:rPr>
        <w:t>The company structure explained</w:t>
      </w:r>
      <w:r>
        <w:t xml:space="preserve"> (Deck): the three pillars, what sits inside each, and the shared teams underneath that do consulting, set-up, roll-outs, upgrades, support and ongoing improvement. A closing block, </w:t>
      </w:r>
      <w:r>
        <w:rPr>
          <w:b/>
        </w:rPr>
        <w:t>"Why this structure wins,"</w:t>
      </w:r>
      <w:r>
        <w:t xml:space="preserve"> lists four benefits: clearer alignment between advice/platforms/engineering; stronger market positioning; the ability to cross-sell across pillars; and being ready for an AI-led future.</w:t>
      </w:r>
    </w:p>
    <w:p>
      <w:pPr>
        <w:pStyle w:val="ListNumber"/>
      </w:pPr>
      <w:r>
        <w:rPr>
          <w:b/>
        </w:rPr>
        <w:t>Footprint:</w:t>
      </w:r>
      <w:r>
        <w:t xml:space="preserve"> </w:t>
      </w:r>
      <w:r>
        <w:rPr>
          <w:b/>
        </w:rPr>
        <w:t>4 delivery centres</w:t>
      </w:r>
      <w:r>
        <w:t xml:space="preserve"> (Bengaluru, Hyderabad, Delhi NCR, Bhubaneswar) and </w:t>
      </w:r>
      <w:r>
        <w:rPr>
          <w:b/>
        </w:rPr>
        <w:t>6 sales offices</w:t>
      </w:r>
      <w:r>
        <w:t xml:space="preserve"> (Mumbai, Chennai, Singapore, Dubai, Nairobi, Johannesburg). (See ⚠ #4 — drop the old "10 delivery centres".) ★ Additive: a note that this gives "round-the-clock coverage across four time zones."</w:t>
      </w:r>
    </w:p>
    <w:p>
      <w:pPr>
        <w:pStyle w:val="ListNumber"/>
      </w:pPr>
      <w:r>
        <w:rPr>
          <w:b/>
        </w:rPr>
        <w:t>Leadership:</w:t>
      </w:r>
      <w:r>
        <w:t xml:space="preserve"> exactly two named leaders — </w:t>
      </w:r>
      <w:r>
        <w:rPr>
          <w:b/>
        </w:rPr>
        <w:t>Rudra Shankar Shatapathy</w:t>
      </w:r>
      <w:r>
        <w:t xml:space="preserve"> and </w:t>
      </w:r>
      <w:r>
        <w:rPr>
          <w:b/>
        </w:rPr>
        <w:t>Parichay Joshi</w:t>
      </w:r>
      <w:r>
        <w:t>. ★ Additive: use real photographs; bios supplied by the owner. Do not add other names — the plan deliberately lists only these two.</w:t>
      </w:r>
    </w:p>
    <w:p>
      <w:pPr>
        <w:pStyle w:val="ListNumber"/>
      </w:pPr>
      <w:r>
        <w:rPr>
          <w:b/>
        </w:rPr>
        <w:t>Certifications</w:t>
      </w:r>
      <w:r>
        <w:t xml:space="preserve"> in full, then a prompt to get in touch.</w:t>
      </w:r>
    </w:p>
    <w:p>
      <w:r>
        <w:rPr>
          <w:b/>
        </w:rPr>
        <w:t>Business value:</w:t>
      </w:r>
      <w:r>
        <w:t xml:space="preserve"> Establishes scale, structure and trust — the things a cautious enterprise buyer checks first.</w:t>
      </w:r>
    </w:p>
    <w:p>
      <w:pPr>
        <w:pStyle w:val="Heading3"/>
      </w:pPr>
      <w:r>
        <w:rPr>
          <w:color w:val="121E3B"/>
        </w:rPr>
        <w:t>5.3 What We Do (the hub page)</w:t>
      </w:r>
    </w:p>
    <w:p>
      <w:r>
        <w:t>This page is the gateway to the three pillars.</w:t>
      </w:r>
    </w:p>
    <w:p>
      <w:r>
        <w:rPr>
          <w:b/>
        </w:rPr>
        <w:t>As the visitor scrolls:</w:t>
      </w:r>
      <w:r>
        <w:t xml:space="preserve"> the "Three pillars. One converged enterprise" banner → the "Converged Intelligence" principle → an explanation of the </w:t>
      </w:r>
      <w:r>
        <w:rPr>
          <w:b/>
        </w:rPr>
        <w:t>three ways a client can engage</w:t>
      </w:r>
      <w:r>
        <w:t xml:space="preserve"> (described below) → four cards leading into the pillars → the cloud-partners strip → a prompt to get in touch.</w:t>
      </w:r>
    </w:p>
    <w:p>
      <w:r>
        <w:rPr>
          <w:b/>
        </w:rPr>
        <w:t>The three ways to engage</w:t>
      </w:r>
      <w:r>
        <w:t xml:space="preserve"> (Deck) — a clients can start at any stage and move between them:</w:t>
      </w:r>
    </w:p>
    <w:p>
      <w:pPr>
        <w:pStyle w:val="ListBullet"/>
      </w:pPr>
      <w:r>
        <w:rPr>
          <w:b/>
        </w:rPr>
        <w:t>Stage 1 — Advice:</w:t>
      </w:r>
      <w:r>
        <w:t xml:space="preserve"> deciding what to change and how to fund it.</w:t>
      </w:r>
    </w:p>
    <w:p>
      <w:pPr>
        <w:pStyle w:val="ListBullet"/>
      </w:pPr>
      <w:r>
        <w:rPr>
          <w:b/>
        </w:rPr>
        <w:t>Stage 2 — Build:</w:t>
      </w:r>
      <w:r>
        <w:t xml:space="preserve"> setting up the new systems (SAP, Salesforce, Workday, and custom software/AI).</w:t>
      </w:r>
    </w:p>
    <w:p>
      <w:pPr>
        <w:pStyle w:val="ListBullet"/>
      </w:pPr>
      <w:r>
        <w:rPr>
          <w:b/>
        </w:rPr>
        <w:t>Stage 3 — Run:</w:t>
      </w:r>
      <w:r>
        <w:t xml:space="preserve"> looking after, improving and extending everything once it's live.</w:t>
      </w:r>
    </w:p>
    <w:p>
      <w:r>
        <w:t>All three are powered by the same delivery engine: the FastForward method, a "development factory," a global support bench, and per-client governance.</w:t>
      </w:r>
    </w:p>
    <w:p>
      <w:r>
        <w:rPr>
          <w:b/>
        </w:rPr>
        <w:t>Business value:</w:t>
      </w:r>
      <w:r>
        <w:t xml:space="preserve"> Reassures buyers they can engage at whatever stage they're at — and that the same team stays with them as they grow.</w:t>
      </w:r>
    </w:p>
    <w:p>
      <w:pPr>
        <w:pStyle w:val="Heading3"/>
      </w:pPr>
      <w:r>
        <w:rPr>
          <w:color w:val="121E3B"/>
        </w:rPr>
        <w:t>5.4 Pillar A — Platform Services</w:t>
      </w:r>
    </w:p>
    <w:p>
      <w:r>
        <w:rPr>
          <w:b/>
        </w:rPr>
        <w:t>Banner (Deck):</w:t>
      </w:r>
      <w:r>
        <w:t xml:space="preserve"> "Platform Services." Sub-line: "Platform-led transformation across SAP, Salesforce and Workday — with one accountable partner for the full lifecycle."</w:t>
      </w:r>
    </w:p>
    <w:p>
      <w:r>
        <w:rPr>
          <w:b/>
        </w:rPr>
        <w:t>As the visitor scrolls:</w:t>
      </w:r>
      <w:r>
        <w:t xml:space="preserve"> a band showing the full lifecycle of services (consulting → set-up → roll-out → upgrades → enhancements → ongoing support) → three cards leading to the </w:t>
      </w:r>
      <w:r>
        <w:rPr>
          <w:b/>
        </w:rPr>
        <w:t>SAP</w:t>
      </w:r>
      <w:r>
        <w:t xml:space="preserve">, </w:t>
      </w:r>
      <w:r>
        <w:rPr>
          <w:b/>
        </w:rPr>
        <w:t>Salesforce</w:t>
      </w:r>
      <w:r>
        <w:t xml:space="preserve"> and </w:t>
      </w:r>
      <w:r>
        <w:rPr>
          <w:b/>
        </w:rPr>
        <w:t>Workday</w:t>
      </w:r>
      <w:r>
        <w:t xml:space="preserve"> pages → a note that </w:t>
      </w:r>
      <w:r>
        <w:rPr>
          <w:b/>
        </w:rPr>
        <w:t>Oracle, ServiceNow, Microsoft and Adobe</w:t>
      </w:r>
      <w:r>
        <w:t xml:space="preserve"> are coming later → a prompt to get in touch.</w:t>
      </w:r>
    </w:p>
    <w:p>
      <w:pPr>
        <w:pStyle w:val="Heading4"/>
      </w:pPr>
      <w:r>
        <w:rPr>
          <w:color w:val="121E3B"/>
        </w:rPr>
        <w:t>5.4.1 The SAP page (the largest, most detailed page on the site)</w:t>
      </w:r>
    </w:p>
    <w:p>
      <w:r>
        <w:t>Because there is so much here, the page should have a small "jump to" menu that stays visible as the visitor scrolls, so they can jump to any topic. Each topic below becomes one band of the page.</w:t>
      </w:r>
    </w:p>
    <w:p>
      <w:r>
        <w:rPr>
          <w:b/>
        </w:rPr>
        <w:t>Banner (Deck):</w:t>
      </w:r>
      <w:r>
        <w:t xml:space="preserve"> "SAP Services — SAP Gold Partner. 300+ consultants. 1,000+ combined years of SAP experience." ★ Additive: show the SAP Gold Partner badge here.</w:t>
      </w:r>
    </w:p>
    <w:p>
      <w:r>
        <w:t>Each band, in plain terms:</w:t>
      </w:r>
    </w:p>
    <w:p>
      <w:pPr>
        <w:pStyle w:val="ListBullet"/>
      </w:pPr>
      <w:r>
        <w:rPr>
          <w:b/>
        </w:rPr>
        <w:t>Practice at a glance:</w:t>
      </w:r>
      <w:r>
        <w:t xml:space="preserve"> four boxes covering the depth of the SAP partnership, the industries served (50+ SAP clients across manufacturing, banking, retail, energy, pharma, mining, government and professional services), the people (300+ specialists), and the in-house tools they've built.</w:t>
      </w:r>
    </w:p>
    <w:p>
      <w:pPr>
        <w:pStyle w:val="ListBullet"/>
      </w:pPr>
      <w:r>
        <w:rPr>
          <w:b/>
        </w:rPr>
        <w:t>What they do across SAP:</w:t>
      </w:r>
      <w:r>
        <w:t xml:space="preserve"> "AI-led. Cloud-first. Industry-focused." Four columns covering advice, modernising old systems, ongoing support, and AI/analytics/security.</w:t>
      </w:r>
    </w:p>
    <w:p>
      <w:pPr>
        <w:pStyle w:val="ListBullet"/>
      </w:pPr>
      <w:r>
        <w:rPr>
          <w:b/>
        </w:rPr>
        <w:t>The full SAP catalogue, three ways:</w:t>
      </w:r>
      <w:r>
        <w:t xml:space="preserve"> the SAP products they set up, the services they offer, and the industries they know best.</w:t>
      </w:r>
    </w:p>
    <w:p>
      <w:pPr>
        <w:pStyle w:val="ListBullet"/>
      </w:pPr>
      <w:r>
        <w:rPr>
          <w:b/>
        </w:rPr>
        <w:t>Three routes to the latest SAP (called S/4HANA):</w:t>
      </w:r>
      <w:r>
        <w:t xml:space="preserve"> the deck explains three different starting points — </w:t>
      </w:r>
      <w:r>
        <w:rPr>
          <w:b/>
        </w:rPr>
        <w:t>RISE</w:t>
      </w:r>
      <w:r>
        <w:t xml:space="preserve">, </w:t>
      </w:r>
      <w:r>
        <w:rPr>
          <w:b/>
        </w:rPr>
        <w:t>GROW</w:t>
      </w:r>
      <w:r>
        <w:t xml:space="preserve"> and </w:t>
      </w:r>
      <w:r>
        <w:rPr>
          <w:b/>
        </w:rPr>
        <w:t>Private Cloud</w:t>
      </w:r>
      <w:r>
        <w:t xml:space="preserve"> — and stresses In2IT EBS runs all three. Proof: up to 30% faster go-live, 25+ such programmes delivered, a 100% go-live success rate.</w:t>
      </w:r>
    </w:p>
    <w:p>
      <w:pPr>
        <w:pStyle w:val="ListBullet"/>
      </w:pPr>
      <w:r>
        <w:rPr>
          <w:b/>
        </w:rPr>
        <w:t>"RISE vs GROW — which fits your business?"</w:t>
      </w:r>
      <w:r>
        <w:t xml:space="preserve"> An honest, side-by-side comparison (this becomes its own help-me-choose page — see 5.4.1a). The deck's own candid line: *"vendor-agnostic — either is fine for us."*</w:t>
      </w:r>
    </w:p>
    <w:p>
      <w:pPr>
        <w:pStyle w:val="ListBullet"/>
      </w:pPr>
      <w:r>
        <w:rPr>
          <w:b/>
        </w:rPr>
        <w:t>Three ways to move from old SAP to new SAP</w:t>
      </w:r>
      <w:r>
        <w:t xml:space="preserve"> ("migrations"): chosen by complexity, not convenience. Proof: 99.5% data accuracy, 100% successful switch-overs.</w:t>
      </w:r>
    </w:p>
    <w:p>
      <w:pPr>
        <w:pStyle w:val="ListBullet"/>
      </w:pPr>
      <w:r>
        <w:rPr>
          <w:b/>
        </w:rPr>
        <w:t>SAP advisory:</w:t>
      </w:r>
      <w:r>
        <w:t xml:space="preserve"> six short engagements to "help you decide before you commit."</w:t>
      </w:r>
    </w:p>
    <w:p>
      <w:pPr>
        <w:pStyle w:val="ListBullet"/>
      </w:pPr>
      <w:r>
        <w:rPr>
          <w:b/>
        </w:rPr>
        <w:t>HR on SAP (called SuccessFactors / HXM):</w:t>
      </w:r>
      <w:r>
        <w:t xml:space="preserve"> 125+ projects, 87+ certified specialists, six areas covered (core HR, payroll &amp; pay, time &amp; attendance, learning, employee experience, people analytics), plus standout achievements.</w:t>
      </w:r>
    </w:p>
    <w:p>
      <w:pPr>
        <w:pStyle w:val="ListBullet"/>
      </w:pPr>
      <w:r>
        <w:rPr>
          <w:b/>
        </w:rPr>
        <w:t>An AI-powered HR health check</w:t>
      </w:r>
      <w:r>
        <w:t xml:space="preserve"> ★ (deck-sourced offering): software that reviews a client's HR system and produces a prioritised improvement plan with money/time savings attached. Typical results: 30–40% less unnecessary complexity, 25% more people actively using the system, in a 4–6 week engagement.</w:t>
      </w:r>
    </w:p>
    <w:p>
      <w:pPr>
        <w:pStyle w:val="ListBullet"/>
      </w:pPr>
      <w:r>
        <w:rPr>
          <w:b/>
        </w:rPr>
        <w:t>Travel &amp; expense software (Concur):</w:t>
      </w:r>
      <w:r>
        <w:t xml:space="preserve"> expense, travel and invoicing, linked to finance and HR systems. 25+ projects, ~12-week average go-live.</w:t>
      </w:r>
    </w:p>
    <w:p>
      <w:pPr>
        <w:pStyle w:val="ListBullet"/>
      </w:pPr>
      <w:r>
        <w:rPr>
          <w:b/>
        </w:rPr>
        <w:t>Procurement software (Ariba):</w:t>
      </w:r>
      <w:r>
        <w:t xml:space="preserve"> managing the whole "find a supplier → pay the supplier" cycle. 15+ programmes, 40% faster purchase-to-pay cycle.</w:t>
      </w:r>
    </w:p>
    <w:p>
      <w:pPr>
        <w:pStyle w:val="ListBullet"/>
      </w:pPr>
      <w:r>
        <w:rPr>
          <w:b/>
        </w:rPr>
        <w:t>SAP's AI assistant (Joule):</w:t>
      </w:r>
      <w:r>
        <w:t xml:space="preserve"> an early-adopter offering — an AI helper built into SAP for HR, finance and supply-chain tasks. 10+ roll-outs, 60+ trained practitioners.</w:t>
      </w:r>
    </w:p>
    <w:p>
      <w:pPr>
        <w:pStyle w:val="ListBullet"/>
      </w:pPr>
      <w:r>
        <w:rPr>
          <w:b/>
        </w:rPr>
        <w:t>Extending SAP safely ("clean core"):</w:t>
      </w:r>
      <w:r>
        <w:t xml:space="preserve"> adding new features without breaking the standard system, so future upgrades stay easy.</w:t>
      </w:r>
    </w:p>
    <w:p>
      <w:pPr>
        <w:pStyle w:val="ListBullet"/>
      </w:pPr>
      <w:r>
        <w:rPr>
          <w:b/>
        </w:rPr>
        <w:t>Getting the data right (Syniti practice):</w:t>
      </w:r>
      <w:r>
        <w:t xml:space="preserve"> the deck's headline — *"Data migration is the real risk in SAP projects"* — because 70% of such projects slip due to data, not technology. A proven five-step approach with 99.5% data accuracy.</w:t>
      </w:r>
    </w:p>
    <w:p>
      <w:pPr>
        <w:pStyle w:val="ListBullet"/>
      </w:pPr>
      <w:r>
        <w:rPr>
          <w:b/>
        </w:rPr>
        <w:t>Reporting &amp; planning (SAP Analytics Cloud):</w:t>
      </w:r>
      <w:r>
        <w:t xml:space="preserve"> turning company data into dashboards and forecasts across every department; a first dashboard in about three weeks.</w:t>
      </w:r>
    </w:p>
    <w:p>
      <w:pPr>
        <w:pStyle w:val="ListBullet"/>
      </w:pPr>
      <w:r>
        <w:rPr>
          <w:b/>
        </w:rPr>
        <w:t>The "ABAP Factory":</w:t>
      </w:r>
      <w:r>
        <w:t xml:space="preserve"> an industrial-scale unit for building custom SAP additions — 5,000+ items delivered for 30+ clients. (ABAP is SAP's own programming language.)</w:t>
      </w:r>
    </w:p>
    <w:p>
      <w:pPr>
        <w:pStyle w:val="ListBullet"/>
      </w:pPr>
      <w:r>
        <w:rPr>
          <w:b/>
        </w:rPr>
        <w:t>The SAP toolkit:</w:t>
      </w:r>
      <w:r>
        <w:t xml:space="preserve"> six SAP-approved tools used consistently on every project for mapping processes, governing the work, and testing.</w:t>
      </w:r>
    </w:p>
    <w:p>
      <w:pPr>
        <w:pStyle w:val="ListBullet"/>
      </w:pPr>
      <w:r>
        <w:rPr>
          <w:b/>
        </w:rPr>
        <w:t>The "Converged Intelligence Stack":</w:t>
      </w:r>
      <w:r>
        <w:t xml:space="preserve"> the company's point of view on how SAP, data, AI assistants and add-ons combine into measurable business results. Their quote: *"Convergence is where SAP investments turn into measurable business outcomes."*</w:t>
      </w:r>
    </w:p>
    <w:p>
      <w:r>
        <w:t>A closing prompt to get in touch, with ★ Additive: a short three-field enquiry form right on the page.</w:t>
      </w:r>
    </w:p>
    <w:p>
      <w:r>
        <w:rPr>
          <w:b/>
        </w:rPr>
        <w:t>Business value:</w:t>
      </w:r>
      <w:r>
        <w:t xml:space="preserve"> This page proves unmatched SAP depth to the buyers who care most, while the "jump to" menu keeps it from feeling overwhelming.</w:t>
      </w:r>
    </w:p>
    <w:p>
      <w:pPr>
        <w:pStyle w:val="Heading4"/>
      </w:pPr>
      <w:r>
        <w:rPr>
          <w:color w:val="121E3B"/>
        </w:rPr>
        <w:t>5.4.1a "RISE vs GROW" — the help-me-choose page</w:t>
      </w:r>
    </w:p>
    <w:p>
      <w:r>
        <w:t>RISE and GROW are two different ways to adopt the latest SAP; one suits big, complex organisations, the other suits mid-sized or fast-moving ones.</w:t>
      </w:r>
    </w:p>
    <w:p>
      <w:r>
        <w:rPr>
          <w:b/>
        </w:rPr>
        <w:t>As the visitor scrolls:</w:t>
      </w:r>
      <w:r>
        <w:t xml:space="preserve"> an honest side-by-side comparison of the two (best-fit company size, how much customisation is possible, typical timeline, relative cost) → a "How we help you choose" block describing a two-week assessment workshop that maps the client's needs and gives an evidence-based recommendation → the deck's reassurance that In2IT EBS is genuinely neutral about which one the client picks → a button: "Take the 2-week Pathway Assessment."</w:t>
      </w:r>
    </w:p>
    <w:p>
      <w:r>
        <w:rPr>
          <w:b/>
        </w:rPr>
        <w:t>★ Additive:</w:t>
      </w:r>
      <w:r>
        <w:t xml:space="preserve"> make this interactive — a few simple questions (company size, complexity, timeline) that produce an *indicative* suggestion, always with the deck's honest caveat that it's guidance, not a binding quote.</w:t>
      </w:r>
    </w:p>
    <w:p>
      <w:r>
        <w:rPr>
          <w:b/>
        </w:rPr>
        <w:t>Business value:</w:t>
      </w:r>
      <w:r>
        <w:t xml:space="preserve"> Honesty as a sales tool — it builds trust precisely because it doesn't push one option.</w:t>
      </w:r>
    </w:p>
    <w:p>
      <w:pPr>
        <w:pStyle w:val="Heading4"/>
      </w:pPr>
      <w:r>
        <w:rPr>
          <w:color w:val="121E3B"/>
        </w:rPr>
        <w:t>5.4.2 Salesforce page</w:t>
      </w:r>
    </w:p>
    <w:p>
      <w:r>
        <w:rPr>
          <w:b/>
        </w:rPr>
        <w:t>Banner (Deck):</w:t>
      </w:r>
      <w:r>
        <w:t xml:space="preserve"> "Salesforce Services — reimagining the customer experience." (Salesforce is leading software for managing sales, customer service and marketing.)</w:t>
      </w:r>
    </w:p>
    <w:p>
      <w:r>
        <w:rPr>
          <w:b/>
        </w:rPr>
        <w:t>As the visitor scrolls:</w:t>
      </w:r>
      <w:r>
        <w:t xml:space="preserve"> an overview of the customer journey it improves (acquire → engage → convert → serve → retain), with proof points (30+ certified specialists, 40+ projects, 15+ active clients) → the six Salesforce areas covered → the five ways to engage (advice, set-up, connecting systems together, digital engagement, ongoing support) → a prompt to get in touch.</w:t>
      </w:r>
    </w:p>
    <w:p>
      <w:pPr>
        <w:pStyle w:val="Heading4"/>
      </w:pPr>
      <w:r>
        <w:rPr>
          <w:color w:val="121E3B"/>
        </w:rPr>
        <w:t>5.4.3 Workday page</w:t>
      </w:r>
    </w:p>
    <w:p>
      <w:r>
        <w:rPr>
          <w:b/>
        </w:rPr>
        <w:t>Banner (Deck):</w:t>
      </w:r>
      <w:r>
        <w:t xml:space="preserve"> "Workday Services — modernising HR and finance on one cloud platform." (Workday is leading software for HR and finance.)</w:t>
      </w:r>
    </w:p>
    <w:p>
      <w:r>
        <w:rPr>
          <w:b/>
        </w:rPr>
        <w:t>As the visitor scrolls:</w:t>
      </w:r>
      <w:r>
        <w:t xml:space="preserve"> an overview of the areas covered (HR, workforce analytics, finance, planning) → the five ways to engage → a prompt to get in touch.</w:t>
      </w:r>
    </w:p>
    <w:p>
      <w:pPr>
        <w:pStyle w:val="Heading3"/>
      </w:pPr>
      <w:r>
        <w:rPr>
          <w:color w:val="121E3B"/>
        </w:rPr>
        <w:t>5.5 Pillar B — Advisory Services</w:t>
      </w:r>
    </w:p>
    <w:p>
      <w:r>
        <w:rPr>
          <w:b/>
        </w:rPr>
        <w:t>Banner (Deck):</w:t>
      </w:r>
      <w:r>
        <w:t xml:space="preserve"> "Advisory Services — the trusted layer that defines the *why* and the *what* before the building begins."</w:t>
      </w:r>
    </w:p>
    <w:p>
      <w:r>
        <w:rPr>
          <w:b/>
        </w:rPr>
        <w:t>As the visitor scrolls:</w:t>
      </w:r>
      <w:r>
        <w:t xml:space="preserve"> "Advisory that gets to outcomes," then four columns of consulting offerings:</w:t>
      </w:r>
    </w:p>
    <w:p>
      <w:pPr>
        <w:pStyle w:val="ListBullet"/>
      </w:pPr>
      <w:r>
        <w:rPr>
          <w:b/>
        </w:rPr>
        <w:t>Transformation Advisory</w:t>
      </w:r>
      <w:r>
        <w:t xml:space="preserve"> — business transformation, advice for the IT chief, operating-model design, SAP/ERP advice.</w:t>
      </w:r>
    </w:p>
    <w:p>
      <w:pPr>
        <w:pStyle w:val="ListBullet"/>
      </w:pPr>
      <w:r>
        <w:rPr>
          <w:b/>
        </w:rPr>
        <w:t>Strategy &amp; Governance</w:t>
      </w:r>
      <w:r>
        <w:t xml:space="preserve"> — AI strategy, programme oversight, programme assurance, deciding where to invest.</w:t>
      </w:r>
    </w:p>
    <w:p>
      <w:pPr>
        <w:pStyle w:val="ListBullet"/>
      </w:pPr>
      <w:r>
        <w:rPr>
          <w:b/>
        </w:rPr>
        <w:t>Enterprise Architecture</w:t>
      </w:r>
      <w:r>
        <w:t xml:space="preserve"> — designing the target technology landscape and tidying up the existing one. ("Architecture" here means the overall blueprint of a company's software.)</w:t>
      </w:r>
    </w:p>
    <w:p>
      <w:pPr>
        <w:pStyle w:val="ListBullet"/>
      </w:pPr>
      <w:r>
        <w:rPr>
          <w:b/>
        </w:rPr>
        <w:t>Change &amp; Assurance</w:t>
      </w:r>
      <w:r>
        <w:t xml:space="preserve"> — improving processes, managing change, and independently checking that big programmes stay on track.</w:t>
      </w:r>
    </w:p>
    <w:p>
      <w:r>
        <w:t>Then a band reminding visitors this is the "advice" stage of the engagement, and a prompt to get in touch.</w:t>
      </w:r>
    </w:p>
    <w:p>
      <w:r>
        <w:rPr>
          <w:b/>
        </w:rPr>
        <w:t>Business value:</w:t>
      </w:r>
      <w:r>
        <w:t xml:space="preserve"> Positions In2IT EBS as a high-level adviser, not just a builder — which opens the door to the larger build-and-run work later.</w:t>
      </w:r>
    </w:p>
    <w:p>
      <w:pPr>
        <w:pStyle w:val="Heading3"/>
      </w:pPr>
      <w:r>
        <w:rPr>
          <w:color w:val="121E3B"/>
        </w:rPr>
        <w:t>5.6 Pillar C — Digital, Data &amp; AI</w:t>
      </w:r>
    </w:p>
    <w:p>
      <w:r>
        <w:rPr>
          <w:b/>
        </w:rPr>
        <w:t>Banner (Deck):</w:t>
      </w:r>
      <w:r>
        <w:t xml:space="preserve"> "Digital, Data &amp; AI Services — the future-focused innovation pillar." This is the custom-software, data and artificial-intelligence side of the business.</w:t>
      </w:r>
    </w:p>
    <w:p>
      <w:r>
        <w:rPr>
          <w:b/>
        </w:rPr>
        <w:t>As the visitor scrolls:</w:t>
      </w:r>
    </w:p>
    <w:p>
      <w:pPr>
        <w:pStyle w:val="ListNumber"/>
      </w:pPr>
      <w:r>
        <w:rPr>
          <w:b/>
        </w:rPr>
        <w:t>An overview</w:t>
      </w:r>
      <w:r>
        <w:t xml:space="preserve"> — "Engineering-led, AI-first" — introducing four sub-practices: Application Engineering, AI &amp; Automation, Data &amp; Analytics, Integration &amp; Cloud.</w:t>
      </w:r>
    </w:p>
    <w:p>
      <w:pPr>
        <w:pStyle w:val="ListNumber"/>
      </w:pPr>
      <w:r>
        <w:rPr>
          <w:b/>
        </w:rPr>
        <w:t>A map of AI capabilities</w:t>
      </w:r>
      <w:r>
        <w:t xml:space="preserve"> — the deck lays out ten connected "lanes" of AI work, grouped into four themes: setting AI strategy; building AI solutions and getting data ready for them; automating work; and running and governing AI responsibly (including fairness and compliance checks).</w:t>
      </w:r>
    </w:p>
    <w:p>
      <w:pPr>
        <w:pStyle w:val="ListNumber"/>
      </w:pPr>
      <w:r>
        <w:rPr>
          <w:b/>
        </w:rPr>
        <w:t>Four cards</w:t>
      </w:r>
      <w:r>
        <w:t xml:space="preserve"> leading to the sub-practice pages below, then a prompt to get in touch.</w:t>
      </w:r>
    </w:p>
    <w:p>
      <w:pPr>
        <w:pStyle w:val="Heading4"/>
      </w:pPr>
      <w:r>
        <w:rPr>
          <w:color w:val="121E3B"/>
        </w:rPr>
        <w:t>5.6.1 Application Engineering (custom-built software)</w:t>
      </w:r>
    </w:p>
    <w:p>
      <w:r>
        <w:rPr>
          <w:b/>
        </w:rPr>
        <w:t>Banner (Deck):</w:t>
      </w:r>
      <w:r>
        <w:t xml:space="preserve"> "Application Engineering — custom software, modernisation and ongoing support across every technology." This covers building software to order, breathing new life into old systems, and supporting them round the clock.</w:t>
      </w:r>
    </w:p>
    <w:p>
      <w:r>
        <w:rPr>
          <w:b/>
        </w:rPr>
        <w:t>As the visitor scrolls:</w:t>
      </w:r>
      <w:r>
        <w:t xml:space="preserve"> "Build, integrate, run — across every stack" with the service groups (building software, connecting systems, improving them, supporting them) → an overview of the full lifecycle across new, old and packaged software → a prompt to get in touch.</w:t>
      </w:r>
    </w:p>
    <w:p>
      <w:pPr>
        <w:pStyle w:val="Heading4"/>
      </w:pPr>
      <w:r>
        <w:rPr>
          <w:color w:val="121E3B"/>
        </w:rPr>
        <w:t>5.6.2 AI &amp; Automation</w:t>
      </w:r>
    </w:p>
    <w:p>
      <w:r>
        <w:rPr>
          <w:b/>
        </w:rPr>
        <w:t>Banner (Deck):</w:t>
      </w:r>
      <w:r>
        <w:t xml:space="preserve"> "AI &amp; Automation — applied AI, computer vision and connected-sensor technology, with deep heavy-industry experience." (Computer vision means software that interprets camera images — e.g. spotting safety hazards on a worksite.)</w:t>
      </w:r>
    </w:p>
    <w:p>
      <w:r>
        <w:rPr>
          <w:b/>
        </w:rPr>
        <w:t>As the visitor scrolls:</w:t>
      </w:r>
      <w:r>
        <w:t xml:space="preserve"> "From edge sensing to enterprise outcomes" with four areas — connected industrial sensors and "digital twins" (a live software model of a physical site or machine), safety-focused camera AI, applied AI/document understanding, and connecting it all to the wider business including sustainability tracking → their phased, prove-it-first delivery approach (start small with a "lighthouse" pilot, then scale) → what makes them different ("buy where mature, build where unique; sensors, AI and core systems in one team") → a prompt to get in touch.</w:t>
      </w:r>
    </w:p>
    <w:p>
      <w:pPr>
        <w:pStyle w:val="Heading4"/>
      </w:pPr>
      <w:r>
        <w:rPr>
          <w:color w:val="121E3B"/>
        </w:rPr>
        <w:t>5.6.3 Data &amp; Analytics</w:t>
      </w:r>
    </w:p>
    <w:p>
      <w:r>
        <w:rPr>
          <w:b/>
        </w:rPr>
        <w:t>Banner (Deck):</w:t>
      </w:r>
      <w:r>
        <w:t xml:space="preserve"> "Data &amp; Analytics." Covers building data platforms, dashboards and reporting, keeping data clean and governed, and building prediction models.</w:t>
      </w:r>
    </w:p>
    <w:p>
      <w:r>
        <w:t>This page also links across to the related SAP reporting and data topics, and to the data partners listed on the Partners page. A prompt to get in touch. *(We deliberately don't invent extra detail here — the deck keeps this brief.)*</w:t>
      </w:r>
    </w:p>
    <w:p>
      <w:pPr>
        <w:pStyle w:val="Heading4"/>
      </w:pPr>
      <w:r>
        <w:rPr>
          <w:color w:val="121E3B"/>
        </w:rPr>
        <w:t>5.6.4 Integration &amp; Cloud</w:t>
      </w:r>
    </w:p>
    <w:p>
      <w:r>
        <w:rPr>
          <w:b/>
        </w:rPr>
        <w:t>Banner (Deck):</w:t>
      </w:r>
      <w:r>
        <w:t xml:space="preserve"> "Integration &amp; Cloud." Covers connecting different systems so they talk to each other, building on AWS / Microsoft Azure / Google Cloud, and linking factory-floor equipment to business systems. Links across to the relevant technology partners, then a prompt to get in touch.</w:t>
      </w:r>
    </w:p>
    <w:p>
      <w:pPr>
        <w:pStyle w:val="Heading3"/>
      </w:pPr>
      <w:r>
        <w:rPr>
          <w:color w:val="121E3B"/>
        </w:rPr>
        <w:t>5.7 Delivery Excellence (how the work gets done)</w:t>
      </w:r>
    </w:p>
    <w:p>
      <w:r>
        <w:rPr>
          <w:b/>
        </w:rPr>
        <w:t>Banner (Deck):</w:t>
      </w:r>
      <w:r>
        <w:t xml:space="preserve"> "Delivery Excellence — the method, the handover approach, and the factory model behind every engagement."</w:t>
      </w:r>
    </w:p>
    <w:p>
      <w:r>
        <w:rPr>
          <w:b/>
        </w:rPr>
        <w:t>As the visitor scrolls:</w:t>
      </w:r>
    </w:p>
    <w:p>
      <w:pPr>
        <w:pStyle w:val="ListNumber"/>
      </w:pPr>
      <w:r>
        <w:rPr>
          <w:b/>
        </w:rPr>
        <w:t>The FastForward method</w:t>
      </w:r>
      <w:r>
        <w:t xml:space="preserve"> — In2IT EBS's own branded, proven delivery approach with four accelerating ingredients: ready-built assets, one team from start to finish, quality checkpoints at every stage, and pricing that can be tied to results.</w:t>
      </w:r>
    </w:p>
    <w:p>
      <w:pPr>
        <w:pStyle w:val="ListNumber"/>
      </w:pPr>
      <w:r>
        <w:rPr>
          <w:b/>
        </w:rPr>
        <w:t>The three ways to engage</w:t>
      </w:r>
      <w:r>
        <w:t xml:space="preserve"> (advice / build / run) and the one delivery engine behind them.</w:t>
      </w:r>
    </w:p>
    <w:p>
      <w:pPr>
        <w:pStyle w:val="ListNumber"/>
      </w:pPr>
      <w:r>
        <w:rPr>
          <w:b/>
        </w:rPr>
        <w:t>The 16-week support handover</w:t>
      </w:r>
      <w:r>
        <w:t xml:space="preserve"> — "16 weeks to safe steady-state" — a clear, five-phase process for taking over support of a client's systems with minimal risk.</w:t>
      </w:r>
    </w:p>
    <w:p>
      <w:pPr>
        <w:pStyle w:val="ListNumber"/>
      </w:pPr>
      <w:r>
        <w:rPr>
          <w:b/>
        </w:rPr>
        <w:t>The "Development Factory"</w:t>
      </w:r>
      <w:r>
        <w:t xml:space="preserve"> — a standardised, repeatable way of building software for consistent quality and predictable output.</w:t>
      </w:r>
    </w:p>
    <w:p>
      <w:pPr>
        <w:pStyle w:val="ListNumber"/>
      </w:pPr>
      <w:r>
        <w:t>A prompt to get in touch.</w:t>
      </w:r>
    </w:p>
    <w:p>
      <w:r>
        <w:rPr>
          <w:b/>
        </w:rPr>
        <w:t>Business value:</w:t>
      </w:r>
      <w:r>
        <w:t xml:space="preserve"> De-risks the buying decision by showing exactly how delivery works — buyers fear messy hand-offs and surprises; this page answers that fear.</w:t>
      </w:r>
    </w:p>
    <w:p>
      <w:pPr>
        <w:pStyle w:val="Heading3"/>
      </w:pPr>
      <w:r>
        <w:rPr>
          <w:color w:val="121E3B"/>
        </w:rPr>
        <w:t>5.8 Industries</w:t>
      </w:r>
    </w:p>
    <w:p>
      <w:r>
        <w:rPr>
          <w:b/>
        </w:rPr>
        <w:t>Banner (Deck):</w:t>
      </w:r>
      <w:r>
        <w:t xml:space="preserve"> "150+ global enterprises across regulated, complex industries."</w:t>
      </w:r>
    </w:p>
    <w:p>
      <w:r>
        <w:rPr>
          <w:b/>
        </w:rPr>
        <w:t>As the visitor scrolls:</w:t>
      </w:r>
      <w:r>
        <w:t xml:space="preserve"> a grid of the sectors served (Food &amp; Beverages, Health &amp; Pharma, Apparel &amp; Fashion, Metals &amp; Mining, IT &amp; Professional Services, Infrastructure &amp; Housing, Automotive, Chemicals, Public-Sector Undertakings, Services &amp; Banking, Real Estate, and others) → a wall of client logos → a prompt to get in touch.</w:t>
      </w:r>
    </w:p>
    <w:p>
      <w:r>
        <w:rPr>
          <w:b/>
        </w:rPr>
        <w:t>Each individual industry page</w:t>
      </w:r>
      <w:r>
        <w:t xml:space="preserve"> (template):</w:t>
      </w:r>
    </w:p>
    <w:p>
      <w:pPr>
        <w:pStyle w:val="ListNumber"/>
      </w:pPr>
      <w:r>
        <w:t>A banner naming the sector. ★ Additive: a relevant operational photograph.</w:t>
      </w:r>
    </w:p>
    <w:p>
      <w:pPr>
        <w:pStyle w:val="ListNumber"/>
      </w:pPr>
      <w:r>
        <w:t>★ Additive: a short body description of how In2IT EBS serves that sector (must not contradict the deck).</w:t>
      </w:r>
    </w:p>
    <w:p>
      <w:pPr>
        <w:pStyle w:val="ListNumber"/>
      </w:pPr>
      <w:r>
        <w:t>Which capabilities serve that sector.</w:t>
      </w:r>
    </w:p>
    <w:p>
      <w:pPr>
        <w:pStyle w:val="ListNumber"/>
      </w:pPr>
      <w:r>
        <w:t>That sector's client logos.</w:t>
      </w:r>
    </w:p>
    <w:p>
      <w:pPr>
        <w:pStyle w:val="ListNumber"/>
      </w:pPr>
      <w:r>
        <w:t>Related success stories.</w:t>
      </w:r>
    </w:p>
    <w:p>
      <w:pPr>
        <w:pStyle w:val="ListNumber"/>
      </w:pPr>
      <w:r>
        <w:t>A prompt to get in touch.</w:t>
      </w:r>
    </w:p>
    <w:p>
      <w:pPr>
        <w:pStyle w:val="Heading3"/>
      </w:pPr>
      <w:r>
        <w:rPr>
          <w:color w:val="121E3B"/>
        </w:rPr>
        <w:t>5.9 Clients &amp; Case Studies (NEW)</w:t>
      </w:r>
    </w:p>
    <w:p>
      <w:r>
        <w:t xml:space="preserve">A new section telling real client success stories. </w:t>
      </w:r>
      <w:r>
        <w:rPr>
          <w:b/>
        </w:rPr>
        <w:t>Important change from older material:</w:t>
      </w:r>
      <w:r>
        <w:t xml:space="preserve"> these stories are now published openly in the deck (previously they were "available only under confidentiality agreement"), so the named ones below can go on the public site. Three of them remain anonymous exactly as the deck presents them.</w:t>
      </w:r>
    </w:p>
    <w:p>
      <w:r>
        <w:rPr>
          <w:b/>
        </w:rPr>
        <w:t>As the visitor scrolls (index page):</w:t>
      </w:r>
      <w:r>
        <w:t xml:space="preserve"> a banner ("Clientele &amp; Case Studies — 150+ global enterprises") → filters to sort the stories (by sector, by SAP route, by service) → a wall of logos → a grid of story cards, each with a headline result and a "Read the case study" button → a prompt to get in touch.</w:t>
      </w:r>
    </w:p>
    <w:p>
      <w:r>
        <w:rPr>
          <w:b/>
        </w:rPr>
        <w:t>The success stories (summarised):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Client / sector</w:t>
            </w:r>
          </w:p>
        </w:tc>
        <w:tc>
          <w:tcPr>
            <w:tcW w:type="dxa" w:w="2160"/>
          </w:tcPr>
          <w:p>
            <w:r>
              <w:rPr>
                <w:b/>
                <w:sz w:val="19"/>
              </w:rPr>
              <w:t>What was done</w:t>
            </w:r>
          </w:p>
        </w:tc>
        <w:tc>
          <w:tcPr>
            <w:tcW w:type="dxa" w:w="2160"/>
          </w:tcPr>
          <w:p>
            <w:r>
              <w:rPr>
                <w:b/>
                <w:sz w:val="19"/>
              </w:rPr>
              <w:t>The result</w:t>
            </w:r>
          </w:p>
        </w:tc>
      </w:tr>
      <w:tr>
        <w:tc>
          <w:tcPr>
            <w:tcW w:type="dxa" w:w="2160"/>
          </w:tcPr>
          <w:p>
            <w:r>
              <w:rPr>
                <w:sz w:val="19"/>
              </w:rPr>
              <w:t>1</w:t>
            </w:r>
          </w:p>
        </w:tc>
        <w:tc>
          <w:tcPr>
            <w:tcW w:type="dxa" w:w="2160"/>
          </w:tcPr>
          <w:p>
            <w:r>
              <w:rPr>
                <w:sz w:val="19"/>
              </w:rPr>
              <w:t>Global engineering consultancy (kept anonymous — *founded 1946, Japan*)</w:t>
            </w:r>
          </w:p>
        </w:tc>
        <w:tc>
          <w:tcPr>
            <w:tcW w:type="dxa" w:w="2160"/>
          </w:tcPr>
          <w:p>
            <w:r>
              <w:rPr>
                <w:sz w:val="19"/>
              </w:rPr>
              <w:t>New SAP set-up across worldwide offices</w:t>
            </w:r>
          </w:p>
        </w:tc>
        <w:tc>
          <w:tcPr>
            <w:tcW w:type="dxa" w:w="2160"/>
          </w:tcPr>
          <w:p>
            <w:r>
              <w:rPr>
                <w:sz w:val="19"/>
              </w:rPr>
              <w:t>One unified system end-to-end; faster financial close across regions</w:t>
            </w:r>
          </w:p>
        </w:tc>
      </w:tr>
      <w:tr>
        <w:tc>
          <w:tcPr>
            <w:tcW w:type="dxa" w:w="2160"/>
          </w:tcPr>
          <w:p>
            <w:r>
              <w:rPr>
                <w:sz w:val="19"/>
              </w:rPr>
              <w:t>2</w:t>
            </w:r>
          </w:p>
        </w:tc>
        <w:tc>
          <w:tcPr>
            <w:tcW w:type="dxa" w:w="2160"/>
          </w:tcPr>
          <w:p>
            <w:r>
              <w:rPr>
                <w:sz w:val="19"/>
              </w:rPr>
              <w:t>Global IT services provider (kept anonymous — *HQ Chandigarh, India*)</w:t>
            </w:r>
          </w:p>
        </w:tc>
        <w:tc>
          <w:tcPr>
            <w:tcW w:type="dxa" w:w="2160"/>
          </w:tcPr>
          <w:p>
            <w:r>
              <w:rPr>
                <w:sz w:val="19"/>
              </w:rPr>
              <w:t>Single SAP platform for IT operations and finance</w:t>
            </w:r>
          </w:p>
        </w:tc>
        <w:tc>
          <w:tcPr>
            <w:tcW w:type="dxa" w:w="2160"/>
          </w:tcPr>
          <w:p>
            <w:r>
              <w:rPr>
                <w:sz w:val="19"/>
              </w:rPr>
              <w:t>Consolidated reporting and consistency across the Americas, Asia-Pacific and Europe</w:t>
            </w:r>
          </w:p>
        </w:tc>
      </w:tr>
      <w:tr>
        <w:tc>
          <w:tcPr>
            <w:tcW w:type="dxa" w:w="2160"/>
          </w:tcPr>
          <w:p>
            <w:r>
              <w:rPr>
                <w:sz w:val="19"/>
              </w:rPr>
              <w:t>3</w:t>
            </w:r>
          </w:p>
        </w:tc>
        <w:tc>
          <w:tcPr>
            <w:tcW w:type="dxa" w:w="2160"/>
          </w:tcPr>
          <w:p>
            <w:r>
              <w:rPr>
                <w:sz w:val="19"/>
              </w:rPr>
              <w:t>TGNPDCL (Telangana power distribution) — 19,000+ staff</w:t>
            </w:r>
          </w:p>
        </w:tc>
        <w:tc>
          <w:tcPr>
            <w:tcW w:type="dxa" w:w="2160"/>
          </w:tcPr>
          <w:p>
            <w:r>
              <w:rPr>
                <w:sz w:val="19"/>
              </w:rPr>
              <w:t>Moved old SAP to the latest SAP, in phases</w:t>
            </w:r>
          </w:p>
        </w:tc>
        <w:tc>
          <w:tcPr>
            <w:tcW w:type="dxa" w:w="2160"/>
          </w:tcPr>
          <w:p>
            <w:r>
              <w:rPr>
                <w:sz w:val="19"/>
              </w:rPr>
              <w:t>Streamlined procurement and service processes; live dashboards; a scalable foundation</w:t>
            </w:r>
          </w:p>
        </w:tc>
      </w:tr>
      <w:tr>
        <w:tc>
          <w:tcPr>
            <w:tcW w:type="dxa" w:w="2160"/>
          </w:tcPr>
          <w:p>
            <w:r>
              <w:rPr>
                <w:sz w:val="19"/>
              </w:rPr>
              <w:t>4</w:t>
            </w:r>
          </w:p>
        </w:tc>
        <w:tc>
          <w:tcPr>
            <w:tcW w:type="dxa" w:w="2160"/>
          </w:tcPr>
          <w:p>
            <w:r>
              <w:rPr>
                <w:sz w:val="19"/>
              </w:rPr>
              <w:t>Wipro Infrastructure Engineering — 5,000+ staff</w:t>
            </w:r>
          </w:p>
        </w:tc>
        <w:tc>
          <w:tcPr>
            <w:tcW w:type="dxa" w:w="2160"/>
          </w:tcPr>
          <w:p>
            <w:r>
              <w:rPr>
                <w:sz w:val="19"/>
              </w:rPr>
              <w:t>Upgraded to the latest SAP on Microsoft Azure</w:t>
            </w:r>
          </w:p>
        </w:tc>
        <w:tc>
          <w:tcPr>
            <w:tcW w:type="dxa" w:w="2160"/>
          </w:tcPr>
          <w:p>
            <w:r>
              <w:rPr>
                <w:sz w:val="19"/>
              </w:rPr>
              <w:t>Streamlined sourcing and traceability; delivered in 5 months</w:t>
            </w:r>
          </w:p>
        </w:tc>
      </w:tr>
      <w:tr>
        <w:tc>
          <w:tcPr>
            <w:tcW w:type="dxa" w:w="2160"/>
          </w:tcPr>
          <w:p>
            <w:r>
              <w:rPr>
                <w:sz w:val="19"/>
              </w:rPr>
              <w:t>5</w:t>
            </w:r>
          </w:p>
        </w:tc>
        <w:tc>
          <w:tcPr>
            <w:tcW w:type="dxa" w:w="2160"/>
          </w:tcPr>
          <w:p>
            <w:r>
              <w:rPr>
                <w:sz w:val="19"/>
              </w:rPr>
              <w:t>WayCool Foods — India's largest agri-commerce</w:t>
            </w:r>
          </w:p>
        </w:tc>
        <w:tc>
          <w:tcPr>
            <w:tcW w:type="dxa" w:w="2160"/>
          </w:tcPr>
          <w:p>
            <w:r>
              <w:rPr>
                <w:sz w:val="19"/>
              </w:rPr>
              <w:t>Moved SAP to the cloud</w:t>
            </w:r>
          </w:p>
        </w:tc>
        <w:tc>
          <w:tcPr>
            <w:tcW w:type="dxa" w:w="2160"/>
          </w:tcPr>
          <w:p>
            <w:r>
              <w:rPr>
                <w:sz w:val="19"/>
              </w:rPr>
              <w:t>One platform across procurement, finance and sales; 8-week go-live</w:t>
            </w:r>
          </w:p>
        </w:tc>
      </w:tr>
      <w:tr>
        <w:tc>
          <w:tcPr>
            <w:tcW w:type="dxa" w:w="2160"/>
          </w:tcPr>
          <w:p>
            <w:r>
              <w:rPr>
                <w:sz w:val="19"/>
              </w:rPr>
              <w:t>6</w:t>
            </w:r>
          </w:p>
        </w:tc>
        <w:tc>
          <w:tcPr>
            <w:tcW w:type="dxa" w:w="2160"/>
          </w:tcPr>
          <w:p>
            <w:r>
              <w:rPr>
                <w:sz w:val="19"/>
              </w:rPr>
              <w:t>VAHDAM India (premium tea, sells to 130 countries)</w:t>
            </w:r>
          </w:p>
        </w:tc>
        <w:tc>
          <w:tcPr>
            <w:tcW w:type="dxa" w:w="2160"/>
          </w:tcPr>
          <w:p>
            <w:r>
              <w:rPr>
                <w:sz w:val="19"/>
              </w:rPr>
              <w:t>New SAP via the GROW route</w:t>
            </w:r>
          </w:p>
        </w:tc>
        <w:tc>
          <w:tcPr>
            <w:tcW w:type="dxa" w:w="2160"/>
          </w:tcPr>
          <w:p>
            <w:r>
              <w:rPr>
                <w:sz w:val="19"/>
              </w:rPr>
              <w:t>18% lower manpower cost; automated invoicing; delivered in 12 months</w:t>
            </w:r>
          </w:p>
        </w:tc>
      </w:tr>
      <w:tr>
        <w:tc>
          <w:tcPr>
            <w:tcW w:type="dxa" w:w="2160"/>
          </w:tcPr>
          <w:p>
            <w:r>
              <w:rPr>
                <w:sz w:val="19"/>
              </w:rPr>
              <w:t>7</w:t>
            </w:r>
          </w:p>
        </w:tc>
        <w:tc>
          <w:tcPr>
            <w:tcW w:type="dxa" w:w="2160"/>
          </w:tcPr>
          <w:p>
            <w:r>
              <w:rPr>
                <w:sz w:val="19"/>
              </w:rPr>
              <w:t>Indian education-technology firm (kept anonymous — *founded 2020*)</w:t>
            </w:r>
          </w:p>
        </w:tc>
        <w:tc>
          <w:tcPr>
            <w:tcW w:type="dxa" w:w="2160"/>
          </w:tcPr>
          <w:p>
            <w:r>
              <w:rPr>
                <w:sz w:val="19"/>
              </w:rPr>
              <w:t>New SAP for massive scale</w:t>
            </w:r>
          </w:p>
        </w:tc>
        <w:tc>
          <w:tcPr>
            <w:tcW w:type="dxa" w:w="2160"/>
          </w:tcPr>
          <w:p>
            <w:r>
              <w:rPr>
                <w:sz w:val="19"/>
              </w:rPr>
              <w:t>Handles 100,000+ student transactions a day; tax compliance built in</w:t>
            </w:r>
          </w:p>
        </w:tc>
      </w:tr>
      <w:tr>
        <w:tc>
          <w:tcPr>
            <w:tcW w:type="dxa" w:w="2160"/>
          </w:tcPr>
          <w:p>
            <w:r>
              <w:rPr>
                <w:sz w:val="19"/>
              </w:rPr>
              <w:t>8</w:t>
            </w:r>
          </w:p>
        </w:tc>
        <w:tc>
          <w:tcPr>
            <w:tcW w:type="dxa" w:w="2160"/>
          </w:tcPr>
          <w:p>
            <w:r>
              <w:rPr>
                <w:sz w:val="19"/>
              </w:rPr>
              <w:t>Triveni Turbines (steam turbines, 80+ countries)</w:t>
            </w:r>
          </w:p>
        </w:tc>
        <w:tc>
          <w:tcPr>
            <w:tcW w:type="dxa" w:w="2160"/>
          </w:tcPr>
          <w:p>
            <w:r>
              <w:rPr>
                <w:sz w:val="19"/>
              </w:rPr>
              <w:t>Upgraded to the latest SAP on Microsoft Azure</w:t>
            </w:r>
          </w:p>
        </w:tc>
        <w:tc>
          <w:tcPr>
            <w:tcW w:type="dxa" w:w="2160"/>
          </w:tcPr>
          <w:p>
            <w:r>
              <w:rPr>
                <w:sz w:val="19"/>
              </w:rPr>
              <w:t>Unified procurement and traceability; delivered in 5 months</w:t>
            </w:r>
          </w:p>
        </w:tc>
      </w:tr>
      <w:tr>
        <w:tc>
          <w:tcPr>
            <w:tcW w:type="dxa" w:w="2160"/>
          </w:tcPr>
          <w:p>
            <w:r>
              <w:rPr>
                <w:sz w:val="19"/>
              </w:rPr>
              <w:t>9</w:t>
            </w:r>
          </w:p>
        </w:tc>
        <w:tc>
          <w:tcPr>
            <w:tcW w:type="dxa" w:w="2160"/>
          </w:tcPr>
          <w:p>
            <w:r>
              <w:rPr>
                <w:sz w:val="19"/>
              </w:rPr>
              <w:t>Kenya Railways Corporation — 3,000+ staff</w:t>
            </w:r>
          </w:p>
        </w:tc>
        <w:tc>
          <w:tcPr>
            <w:tcW w:type="dxa" w:w="2160"/>
          </w:tcPr>
          <w:p>
            <w:r>
              <w:rPr>
                <w:sz w:val="19"/>
              </w:rPr>
              <w:t>New SAP replacing legacy systems</w:t>
            </w:r>
          </w:p>
        </w:tc>
        <w:tc>
          <w:tcPr>
            <w:tcW w:type="dxa" w:w="2160"/>
          </w:tcPr>
          <w:p>
            <w:r>
              <w:rPr>
                <w:sz w:val="19"/>
              </w:rPr>
              <w:t>Streamlined transport, finance and HR; delivered in 10 months</w:t>
            </w:r>
          </w:p>
        </w:tc>
      </w:tr>
      <w:tr>
        <w:tc>
          <w:tcPr>
            <w:tcW w:type="dxa" w:w="2160"/>
          </w:tcPr>
          <w:p>
            <w:r>
              <w:rPr>
                <w:sz w:val="19"/>
              </w:rPr>
              <w:t>10</w:t>
            </w:r>
          </w:p>
        </w:tc>
        <w:tc>
          <w:tcPr>
            <w:tcW w:type="dxa" w:w="2160"/>
          </w:tcPr>
          <w:p>
            <w:r>
              <w:rPr>
                <w:sz w:val="19"/>
              </w:rPr>
              <w:t>APTRANSCO (Andhra Pradesh power transmission)</w:t>
            </w:r>
          </w:p>
        </w:tc>
        <w:tc>
          <w:tcPr>
            <w:tcW w:type="dxa" w:w="2160"/>
          </w:tcPr>
          <w:p>
            <w:r>
              <w:rPr>
                <w:sz w:val="19"/>
              </w:rPr>
              <w:t>SAP upgrade plus 3 years of on-site support</w:t>
            </w:r>
          </w:p>
        </w:tc>
        <w:tc>
          <w:tcPr>
            <w:tcW w:type="dxa" w:w="2160"/>
          </w:tcPr>
          <w:p>
            <w:r>
              <w:rPr>
                <w:sz w:val="19"/>
              </w:rPr>
              <w:t>40% faster issue resolution; fewer unplanned outages; real-time analytics</w:t>
            </w:r>
          </w:p>
        </w:tc>
      </w:tr>
      <w:tr>
        <w:tc>
          <w:tcPr>
            <w:tcW w:type="dxa" w:w="2160"/>
          </w:tcPr>
          <w:p>
            <w:r>
              <w:rPr>
                <w:sz w:val="19"/>
              </w:rPr>
              <w:t>11</w:t>
            </w:r>
          </w:p>
        </w:tc>
        <w:tc>
          <w:tcPr>
            <w:tcW w:type="dxa" w:w="2160"/>
          </w:tcPr>
          <w:p>
            <w:r>
              <w:rPr>
                <w:sz w:val="19"/>
              </w:rPr>
              <w:t>Delhi Transco — 1,800+ staff</w:t>
            </w:r>
          </w:p>
        </w:tc>
        <w:tc>
          <w:tcPr>
            <w:tcW w:type="dxa" w:w="2160"/>
          </w:tcPr>
          <w:p>
            <w:r>
              <w:rPr>
                <w:sz w:val="19"/>
              </w:rPr>
              <w:t>Ongoing support across the SAP estate</w:t>
            </w:r>
          </w:p>
        </w:tc>
        <w:tc>
          <w:tcPr>
            <w:tcW w:type="dxa" w:w="2160"/>
          </w:tcPr>
          <w:p>
            <w:r>
              <w:rPr>
                <w:sz w:val="19"/>
              </w:rPr>
              <w:t>99.9% system availability; processes 30% faster; 40% more people actively using the system</w:t>
            </w:r>
          </w:p>
        </w:tc>
      </w:tr>
    </w:tbl>
    <w:p/>
    <w:p>
      <w:r>
        <w:rPr>
          <w:b/>
        </w:rPr>
        <w:t>Each individual case-study page</w:t>
      </w:r>
      <w:r>
        <w:t xml:space="preserve"> (template): a banner with the client name, sector and solution → a quick profile (industry, employees, solution used) → the business situation → the benefits to the client → the solution details → a standout quote on what made In2IT EBS different → the measurable results → related stories and a prompt to get in touch.</w:t>
      </w:r>
    </w:p>
    <w:p>
      <w:r>
        <w:rPr>
          <w:b/>
        </w:rPr>
        <w:t>Anonymity rule:</w:t>
      </w:r>
      <w:r>
        <w:t xml:space="preserve"> Stories 1, 2 and 7 must stay anonymous exactly as the deck shows them (only a description, sector and country — never the name).</w:t>
      </w:r>
    </w:p>
    <w:p>
      <w:r>
        <w:rPr>
          <w:b/>
        </w:rPr>
        <w:t>Business value:</w:t>
      </w:r>
      <w:r>
        <w:t xml:space="preserve"> Named, outcome-led stories with hard numbers are the single most persuasive content for an enterprise buyer.</w:t>
      </w:r>
    </w:p>
    <w:p>
      <w:pPr>
        <w:pStyle w:val="Heading3"/>
      </w:pPr>
      <w:r>
        <w:rPr>
          <w:color w:val="121E3B"/>
        </w:rPr>
        <w:t>5.10 Partners &amp; Ecosystem (NEW)</w:t>
      </w:r>
    </w:p>
    <w:p>
      <w:r>
        <w:rPr>
          <w:b/>
        </w:rPr>
        <w:t>Banner (Deck):</w:t>
      </w:r>
      <w:r>
        <w:t xml:space="preserve"> "Strategic alliances that extend our reach."</w:t>
      </w:r>
    </w:p>
    <w:p>
      <w:r>
        <w:rPr>
          <w:b/>
        </w:rPr>
        <w:t>As the visitor scrolls:</w:t>
      </w:r>
      <w:r>
        <w:t xml:space="preserve"> four groups of partners →</w:t>
      </w:r>
    </w:p>
    <w:p>
      <w:pPr>
        <w:pStyle w:val="ListBullet"/>
      </w:pPr>
      <w:r>
        <w:rPr>
          <w:b/>
        </w:rPr>
        <w:t>Application Platforms:</w:t>
      </w:r>
      <w:r>
        <w:t xml:space="preserve"> SAP (Gold, RISE, PCE), Salesforce, Workday, and SAP's Concur, Ariba and SuccessFactors products.</w:t>
      </w:r>
    </w:p>
    <w:p>
      <w:pPr>
        <w:pStyle w:val="ListBullet"/>
      </w:pPr>
      <w:r>
        <w:rPr>
          <w:b/>
        </w:rPr>
        <w:t>Cloud providers:</w:t>
      </w:r>
      <w:r>
        <w:t xml:space="preserve"> Amazon Web Services, Microsoft Azure, Google Cloud, with multi-cloud experience.</w:t>
      </w:r>
    </w:p>
    <w:p>
      <w:pPr>
        <w:pStyle w:val="ListBullet"/>
      </w:pPr>
      <w:r>
        <w:rPr>
          <w:b/>
        </w:rPr>
        <w:t>Data &amp; Analytics partners:</w:t>
      </w:r>
      <w:r>
        <w:t xml:space="preserve"> SAP's data tools, Syniti (for data moves), Tableau / Power BI / Qlik (dashboards), Snowflake and Databricks (data platforms).</w:t>
      </w:r>
    </w:p>
    <w:p>
      <w:pPr>
        <w:pStyle w:val="ListBullet"/>
      </w:pPr>
      <w:r>
        <w:rPr>
          <w:b/>
        </w:rPr>
        <w:t>Specialist partners:</w:t>
      </w:r>
      <w:r>
        <w:t xml:space="preserve"> MuleSoft (connecting systems), OpenText (managing documents), ServiceNow (IT service management), plus more (see ⚠ #6).</w:t>
      </w:r>
    </w:p>
    <w:p>
      <w:r>
        <w:t>Then the cloud-alliances strip and a prompt to get in touch.</w:t>
      </w:r>
    </w:p>
    <w:p>
      <w:r>
        <w:rPr>
          <w:b/>
        </w:rPr>
        <w:t>Business value:</w:t>
      </w:r>
      <w:r>
        <w:t xml:space="preserve"> Shows clients they get certified, well-supported delivery and pre-built connections — less risk, faster results.</w:t>
      </w:r>
    </w:p>
    <w:p>
      <w:pPr>
        <w:pStyle w:val="Heading3"/>
      </w:pPr>
      <w:r>
        <w:rPr>
          <w:color w:val="121E3B"/>
        </w:rPr>
        <w:t>5.11 Why In2IT EBS</w:t>
      </w:r>
    </w:p>
    <w:p>
      <w:r>
        <w:rPr>
          <w:b/>
        </w:rPr>
        <w:t>Banner (Deck):</w:t>
      </w:r>
      <w:r>
        <w:t xml:space="preserve"> "Four reasons enterprises choose us — and stay with us." The deck's own framing: not seven generic claims, but four real differentiators, each backed by evidence.</w:t>
      </w:r>
    </w:p>
    <w:p>
      <w:r>
        <w:rPr>
          <w:b/>
        </w:rPr>
        <w:t>The four reasons, in the deck's order:</w:t>
      </w:r>
    </w:p>
    <w:p>
      <w:pPr>
        <w:pStyle w:val="ListBullet"/>
      </w:pPr>
      <w:r>
        <w:rPr>
          <w:b/>
        </w:rPr>
        <w:t>1 · Converged Intelligence</w:t>
      </w:r>
      <w:r>
        <w:t xml:space="preserve"> — three pillars under one accountable partner, with AI built in across everything (the lead reason).</w:t>
      </w:r>
    </w:p>
    <w:p>
      <w:pPr>
        <w:pStyle w:val="ListBullet"/>
      </w:pPr>
      <w:r>
        <w:rPr>
          <w:b/>
        </w:rPr>
        <w:t>2 · Partnership Depth</w:t>
      </w:r>
      <w:r>
        <w:t xml:space="preserve"> — top-tier SAP credentials (Gold Partner, RISE, Private Cloud, Co-Innovation Partner) held by only a small group of firms worldwide.</w:t>
      </w:r>
    </w:p>
    <w:p>
      <w:pPr>
        <w:pStyle w:val="ListBullet"/>
      </w:pPr>
      <w:r>
        <w:rPr>
          <w:b/>
        </w:rPr>
        <w:t>3 · Delivery Economics</w:t>
      </w:r>
      <w:r>
        <w:t xml:space="preserve"> — scale and speed: </w:t>
      </w:r>
      <w:r>
        <w:rPr>
          <w:b/>
        </w:rPr>
        <w:t>550+ employees</w:t>
      </w:r>
      <w:r>
        <w:t xml:space="preserve"> (⚠ #1 — reconcile against the 380+ figure) across 4 delivery centres and 6 sales offices, with round-the-clock coverage and 1,000+ combined years of SAP experience.</w:t>
      </w:r>
    </w:p>
    <w:p>
      <w:pPr>
        <w:pStyle w:val="ListBullet"/>
      </w:pPr>
      <w:r>
        <w:rPr>
          <w:b/>
        </w:rPr>
        <w:t>4 · Accelerated Outcomes</w:t>
      </w:r>
      <w:r>
        <w:t xml:space="preserve"> — the FastForward method, which compresses SAP project timelines by </w:t>
      </w:r>
      <w:r>
        <w:rPr>
          <w:b/>
        </w:rPr>
        <w:t>up to 30%</w:t>
      </w:r>
      <w:r>
        <w:t xml:space="preserve"> (⚠ #2).</w:t>
      </w:r>
    </w:p>
    <w:p>
      <w:r>
        <w:t>Then a reinforcement of the "Converged Intelligence Stack," the partners strip, and a closing prompt to book a discovery workshop.</w:t>
      </w:r>
    </w:p>
    <w:p>
      <w:pPr>
        <w:pStyle w:val="Heading3"/>
      </w:pPr>
      <w:r>
        <w:rPr>
          <w:color w:val="121E3B"/>
        </w:rPr>
        <w:t>5.12 Insights ★ Additive</w:t>
      </w:r>
    </w:p>
    <w:p>
      <w:r>
        <w:t>An articles/thought-leadership section (not in the deck). An index of articles plus a simple article page. Content should echo the three-pillar, AI-led positioning. Must never contradict the deck.</w:t>
      </w:r>
    </w:p>
    <w:p>
      <w:pPr>
        <w:pStyle w:val="Heading3"/>
      </w:pPr>
      <w:r>
        <w:rPr>
          <w:color w:val="121E3B"/>
        </w:rPr>
        <w:t>5.13 Careers ★ Additive</w:t>
      </w:r>
    </w:p>
    <w:p>
      <w:r>
        <w:t>A jobs section (not in the deck): a culture banner, a list of openings, a "life here" gallery, and an apply step. Should reflect the 380+ staff and four-delivery-centre footprint.</w:t>
      </w:r>
    </w:p>
    <w:p>
      <w:pPr>
        <w:pStyle w:val="Heading3"/>
      </w:pPr>
      <w:r>
        <w:rPr>
          <w:color w:val="121E3B"/>
        </w:rPr>
        <w:t>5.14 Contact</w:t>
      </w:r>
    </w:p>
    <w:p>
      <w:r>
        <w:rPr>
          <w:b/>
        </w:rPr>
        <w:t>Banner (Deck):</w:t>
      </w:r>
      <w:r>
        <w:t xml:space="preserve"> "Let's talk about your transformation."</w:t>
      </w:r>
    </w:p>
    <w:p>
      <w:r>
        <w:rPr>
          <w:b/>
        </w:rPr>
        <w:t>As the visitor scrolls:</w:t>
      </w:r>
      <w:r>
        <w:t xml:space="preserve"> a short enquiry form (name, work email, company, region, area of interest, message) that sends to the company inbox and shows a thank-you page → the </w:t>
      </w:r>
      <w:r>
        <w:rPr>
          <w:b/>
        </w:rPr>
        <w:t>four India offices</w:t>
      </w:r>
      <w:r>
        <w:t xml:space="preserve"> (Bengaluru, Bhubaneswar, Hyderabad, Delhi NCR–Noida, with full addresses from the deck) → the </w:t>
      </w:r>
      <w:r>
        <w:rPr>
          <w:b/>
        </w:rPr>
        <w:t>five global entities</w:t>
      </w:r>
      <w:r>
        <w:t xml:space="preserve"> (Singapore, Dubai, USA, Kenya, South Africa) → contact channels (website, email, LinkedIn) → the certifications strip.</w:t>
      </w:r>
    </w:p>
    <w:p>
      <w:pPr>
        <w:pStyle w:val="Heading3"/>
      </w:pPr>
      <w:r>
        <w:rPr>
          <w:color w:val="121E3B"/>
        </w:rPr>
        <w:t>5.15 Legal pages ★ Additive</w:t>
      </w:r>
    </w:p>
    <w:p>
      <w:r>
        <w:t>Privacy notice, privacy policy and disclaimer (standard pages, updated to 2026).</w:t>
      </w:r>
    </w:p>
    <w:p>
      <w:pPr>
        <w:pStyle w:val="Heading2"/>
      </w:pPr>
      <w:r>
        <w:rPr>
          <w:color w:val="121E3B"/>
        </w:rPr>
        <w:t>6. How the writing should sound</w:t>
      </w:r>
    </w:p>
    <w:p>
      <w:pPr>
        <w:pStyle w:val="ListBullet"/>
      </w:pPr>
      <w:r>
        <w:rPr>
          <w:b/>
        </w:rPr>
        <w:t>Confident, editorial, and evidence-led</w:t>
      </w:r>
      <w:r>
        <w:t xml:space="preserve"> — aimed at senior buyers (the IT chief, the finance chief, the transformation lead). Use British/international English.</w:t>
      </w:r>
    </w:p>
    <w:p>
      <w:pPr>
        <w:pStyle w:val="ListBullet"/>
      </w:pPr>
      <w:r>
        <w:rPr>
          <w:b/>
        </w:rPr>
        <w:t>Lead with outcomes and the "one accountable partner" idea</w:t>
      </w:r>
      <w:r>
        <w:t>, not long lists of features.</w:t>
      </w:r>
    </w:p>
    <w:p>
      <w:pPr>
        <w:pStyle w:val="ListBullet"/>
      </w:pPr>
      <w:r>
        <w:rPr>
          <w:b/>
        </w:rPr>
        <w:t>Every claim is backed by a number or credential from the deck.</w:t>
      </w:r>
      <w:r>
        <w:t xml:space="preserve"> Never invent capabilities, clients or figures.</w:t>
      </w:r>
    </w:p>
    <w:p>
      <w:pPr>
        <w:pStyle w:val="ListBullet"/>
      </w:pPr>
      <w:r>
        <w:rPr>
          <w:b/>
        </w:rPr>
        <w:t>Headlines have a distinctive look:</w:t>
      </w:r>
      <w:r>
        <w:t xml:space="preserve"> the main words are set in the serif title font, with </w:t>
      </w:r>
      <w:r>
        <w:rPr>
          <w:b/>
        </w:rPr>
        <w:t>one</w:t>
      </w:r>
      <w:r>
        <w:t xml:space="preserve"> word picked out in italic accent blue — for example, *"Three paths to the latest SAP — we run all </w:t>
      </w:r>
      <w:r>
        <w:rPr>
          <w:b/>
        </w:rPr>
        <w:t>three</w:t>
      </w:r>
      <w:r>
        <w:t>."* This is the editorial signature of the brand.</w:t>
      </w:r>
    </w:p>
    <w:p>
      <w:pPr>
        <w:pStyle w:val="ListBullet"/>
      </w:pPr>
      <w:r>
        <w:rPr>
          <w:b/>
        </w:rPr>
        <w:t>Suggested button wording:</w:t>
      </w:r>
      <w:r>
        <w:t xml:space="preserve"> the main one is "Let's talk about your transformation"; on the SAP decision page, "Take the 2-week Pathway Assessment"; on case studies, "Read the case study" (avoid bland words like "Explore" or "View").</w:t>
      </w:r>
    </w:p>
    <w:p>
      <w:pPr>
        <w:pStyle w:val="Heading2"/>
      </w:pPr>
      <w:r>
        <w:rPr>
          <w:color w:val="121E3B"/>
        </w:rPr>
        <w:t>7. The wireframes — what appears in each band of every page</w:t>
      </w:r>
    </w:p>
    <w:p>
      <w:r>
        <w:rPr>
          <w:b/>
        </w:rPr>
        <w:t>What a wireframe is:</w:t>
      </w:r>
      <w:r>
        <w:t xml:space="preserve"> a wireframe is a simple, label-only sketch of a page — no colours or finished design, just a stack of boxes showing what content appears, top to bottom. It lets everyone agree on the *layout* before any design work begins. Below, each page is shown as a plain top-to-bottom list of "what appears in this band."</w:t>
      </w:r>
    </w:p>
    <w:p>
      <w:pPr>
        <w:pStyle w:val="Heading3"/>
      </w:pPr>
      <w:r>
        <w:rPr>
          <w:color w:val="121E3B"/>
        </w:rPr>
        <w:t>7.1 Home page — top to bottom</w:t>
      </w:r>
    </w:p>
    <w:p>
      <w:pPr>
        <w:pStyle w:val="ListNumber"/>
      </w:pPr>
      <w:r>
        <w:rPr>
          <w:b/>
        </w:rPr>
        <w:t>Top menu bar</w:t>
      </w:r>
      <w:r>
        <w:t xml:space="preserve"> — logo, the menu links, the SAP Gold Partner badge, region picker, search, and the "Let's talk" button.</w:t>
      </w:r>
    </w:p>
    <w:p>
      <w:pPr>
        <w:pStyle w:val="ListNumber"/>
      </w:pPr>
      <w:r>
        <w:rPr>
          <w:b/>
        </w:rPr>
        <w:t>Opening banner</w:t>
      </w:r>
      <w:r>
        <w:t xml:space="preserve"> — the label "Corporate Capability," the main headline, a sub-line, two buttons.</w:t>
      </w:r>
    </w:p>
    <w:p>
      <w:pPr>
        <w:pStyle w:val="ListNumber"/>
      </w:pPr>
      <w:r>
        <w:rPr>
          <w:b/>
        </w:rPr>
        <w:t>Numbers band</w:t>
      </w:r>
      <w:r>
        <w:t xml:space="preserve"> — the headline statistics (10+, 380+, 150+, etc.).</w:t>
      </w:r>
    </w:p>
    <w:p>
      <w:pPr>
        <w:pStyle w:val="ListNumber"/>
      </w:pPr>
      <w:r>
        <w:rPr>
          <w:b/>
        </w:rPr>
        <w:t>Three pillars band</w:t>
      </w:r>
      <w:r>
        <w:t xml:space="preserve"> — three pillar cards plus a Delivery card, and the "One Accountable Partner" line.</w:t>
      </w:r>
    </w:p>
    <w:p>
      <w:pPr>
        <w:pStyle w:val="ListNumber"/>
      </w:pPr>
      <w:r>
        <w:rPr>
          <w:b/>
        </w:rPr>
        <w:t>Guiding-principle band</w:t>
      </w:r>
      <w:r>
        <w:t xml:space="preserve"> — the "Converged Intelligence" statement.</w:t>
      </w:r>
    </w:p>
    <w:p>
      <w:pPr>
        <w:pStyle w:val="ListNumber"/>
      </w:pPr>
      <w:r>
        <w:rPr>
          <w:b/>
        </w:rPr>
        <w:t>Three signature strengths</w:t>
      </w:r>
      <w:r>
        <w:t xml:space="preserve"> — three cards.</w:t>
      </w:r>
    </w:p>
    <w:p>
      <w:pPr>
        <w:pStyle w:val="ListNumber"/>
      </w:pPr>
      <w:r>
        <w:rPr>
          <w:b/>
        </w:rPr>
        <w:t>"Why choose us" teaser</w:t>
      </w:r>
      <w:r>
        <w:t xml:space="preserve"> — the four reasons in brief.</w:t>
      </w:r>
    </w:p>
    <w:p>
      <w:pPr>
        <w:pStyle w:val="ListNumber"/>
      </w:pPr>
      <w:r>
        <w:rPr>
          <w:b/>
        </w:rPr>
        <w:t>Clients band</w:t>
      </w:r>
      <w:r>
        <w:t xml:space="preserve"> — logo wall plus a few featured story cards.</w:t>
      </w:r>
    </w:p>
    <w:p>
      <w:pPr>
        <w:pStyle w:val="ListNumber"/>
      </w:pPr>
      <w:r>
        <w:rPr>
          <w:b/>
        </w:rPr>
        <w:t>Partners strip.</w:t>
      </w:r>
    </w:p>
    <w:p>
      <w:pPr>
        <w:pStyle w:val="ListNumber"/>
      </w:pPr>
      <w:r>
        <w:rPr>
          <w:b/>
        </w:rPr>
        <w:t>Certifications strip</w:t>
      </w:r>
      <w:r>
        <w:t>, Insights teaser ★, and a closing get-in-touch band.</w:t>
      </w:r>
    </w:p>
    <w:p>
      <w:pPr>
        <w:pStyle w:val="ListNumber"/>
      </w:pPr>
      <w:r>
        <w:rPr>
          <w:b/>
        </w:rPr>
        <w:t>Footer</w:t>
      </w:r>
      <w:r>
        <w:t xml:space="preserve"> — link columns, certifications, offices, social, newsletter, copyright.</w:t>
      </w:r>
    </w:p>
    <w:p>
      <w:pPr>
        <w:pStyle w:val="Heading3"/>
      </w:pPr>
      <w:r>
        <w:rPr>
          <w:color w:val="121E3B"/>
        </w:rPr>
        <w:t>7.2 A pillar hub page — top to bottom</w:t>
      </w:r>
    </w:p>
    <w:p>
      <w:pPr>
        <w:pStyle w:val="ListNumber"/>
      </w:pPr>
      <w:r>
        <w:t>Banner with the pillar name and its one-line description.</w:t>
      </w:r>
    </w:p>
    <w:p>
      <w:pPr>
        <w:pStyle w:val="ListNumber"/>
      </w:pPr>
      <w:r>
        <w:t>A band of the services/capabilities in that pillar (about four columns).</w:t>
      </w:r>
    </w:p>
    <w:p>
      <w:pPr>
        <w:pStyle w:val="ListNumber"/>
      </w:pPr>
      <w:r>
        <w:t>*(Digital, Data &amp; AI only)* the ten-lane AI capability map.</w:t>
      </w:r>
    </w:p>
    <w:p>
      <w:pPr>
        <w:pStyle w:val="ListNumber"/>
      </w:pPr>
      <w:r>
        <w:t>A grid of cards leading to the sub-pages.</w:t>
      </w:r>
    </w:p>
    <w:p>
      <w:pPr>
        <w:pStyle w:val="ListNumber"/>
      </w:pPr>
      <w:r>
        <w:t>The "three ways to engage" reminder band.</w:t>
      </w:r>
    </w:p>
    <w:p>
      <w:pPr>
        <w:pStyle w:val="ListNumber"/>
      </w:pPr>
      <w:r>
        <w:t>The cloud-alliances strip.</w:t>
      </w:r>
    </w:p>
    <w:p>
      <w:pPr>
        <w:pStyle w:val="ListNumber"/>
      </w:pPr>
      <w:r>
        <w:t>A get-in-touch band.</w:t>
      </w:r>
    </w:p>
    <w:p>
      <w:pPr>
        <w:pStyle w:val="Heading3"/>
      </w:pPr>
      <w:r>
        <w:rPr>
          <w:color w:val="121E3B"/>
        </w:rPr>
        <w:t>7.3 The SAP page — top to bottom</w:t>
      </w:r>
    </w:p>
    <w:p>
      <w:pPr>
        <w:pStyle w:val="ListNumber"/>
      </w:pPr>
      <w:r>
        <w:t>Banner: "SAP Services" plus the Gold Partner badge.</w:t>
      </w:r>
    </w:p>
    <w:p>
      <w:pPr>
        <w:pStyle w:val="ListNumber"/>
      </w:pPr>
      <w:r>
        <w:t>A "jump to" menu that stays on screen as you scroll.</w:t>
      </w:r>
    </w:p>
    <w:p>
      <w:pPr>
        <w:pStyle w:val="ListNumber"/>
      </w:pPr>
      <w:r>
        <w:t>Then one band each, in this order: practice at a glance → what they do across SAP → the full catalogue → three routes to the latest SAP → RISE-vs-GROW comparison → three migration approaches → SAP advisory → HR on SAP → AI HR health check → travel &amp; expense → procurement → SAP's AI assistant → safely extending SAP → getting the data right → reporting &amp; planning → the ABAP Factory → the SAP toolkit → the "Converged Intelligence Stack" point of view.</w:t>
      </w:r>
    </w:p>
    <w:p>
      <w:pPr>
        <w:pStyle w:val="ListNumber"/>
      </w:pPr>
      <w:r>
        <w:t>A short enquiry form ★ and a get-in-touch band.</w:t>
      </w:r>
    </w:p>
    <w:p>
      <w:pPr>
        <w:pStyle w:val="Heading3"/>
      </w:pPr>
      <w:r>
        <w:rPr>
          <w:color w:val="121E3B"/>
        </w:rPr>
        <w:t>7.4 The Case Studies index — top to bottom</w:t>
      </w:r>
    </w:p>
    <w:p>
      <w:pPr>
        <w:pStyle w:val="ListNumber"/>
      </w:pPr>
      <w:r>
        <w:t>Banner: "150+ global enterprises."</w:t>
      </w:r>
    </w:p>
    <w:p>
      <w:pPr>
        <w:pStyle w:val="ListNumber"/>
      </w:pPr>
      <w:r>
        <w:t>A filter bar (sector / SAP route / service) and a search box.</w:t>
      </w:r>
    </w:p>
    <w:p>
      <w:pPr>
        <w:pStyle w:val="ListNumber"/>
      </w:pPr>
      <w:r>
        <w:t>A wall of client logos.</w:t>
      </w:r>
    </w:p>
    <w:p>
      <w:pPr>
        <w:pStyle w:val="ListNumber"/>
      </w:pPr>
      <w:r>
        <w:t>A grid of story cards (client, sector, solution, headline result, "Read the case study").</w:t>
      </w:r>
    </w:p>
    <w:p>
      <w:pPr>
        <w:pStyle w:val="ListNumber"/>
      </w:pPr>
      <w:r>
        <w:t>A get-in-touch band.</w:t>
      </w:r>
    </w:p>
    <w:p>
      <w:pPr>
        <w:pStyle w:val="Heading3"/>
      </w:pPr>
      <w:r>
        <w:rPr>
          <w:color w:val="121E3B"/>
        </w:rPr>
        <w:t>7.5 A single case-study page — top to bottom</w:t>
      </w:r>
    </w:p>
    <w:p>
      <w:pPr>
        <w:pStyle w:val="ListNumber"/>
      </w:pPr>
      <w:r>
        <w:t>Banner: client name, sector, solution.</w:t>
      </w:r>
    </w:p>
    <w:p>
      <w:pPr>
        <w:pStyle w:val="ListNumber"/>
      </w:pPr>
      <w:r>
        <w:t>Quick profile strip: industry, products, employees, solution used.</w:t>
      </w:r>
    </w:p>
    <w:p>
      <w:pPr>
        <w:pStyle w:val="ListNumber"/>
      </w:pPr>
      <w:r>
        <w:t>The business situation, with the solution details alongside.</w:t>
      </w:r>
    </w:p>
    <w:p>
      <w:pPr>
        <w:pStyle w:val="ListNumber"/>
      </w:pPr>
      <w:r>
        <w:t>The benefits to the client (two columns).</w:t>
      </w:r>
    </w:p>
    <w:p>
      <w:pPr>
        <w:pStyle w:val="ListNumber"/>
      </w:pPr>
      <w:r>
        <w:t>A standout quote on what made In2IT EBS different.</w:t>
      </w:r>
    </w:p>
    <w:p>
      <w:pPr>
        <w:pStyle w:val="ListNumber"/>
      </w:pPr>
      <w:r>
        <w:t>The measurable results (big number call-outs).</w:t>
      </w:r>
    </w:p>
    <w:p>
      <w:pPr>
        <w:pStyle w:val="ListNumber"/>
      </w:pPr>
      <w:r>
        <w:t>Related stories and a get-in-touch band.</w:t>
      </w:r>
    </w:p>
    <w:p>
      <w:pPr>
        <w:pStyle w:val="Heading3"/>
      </w:pPr>
      <w:r>
        <w:rPr>
          <w:color w:val="121E3B"/>
        </w:rPr>
        <w:t>7.6 A single industry page — top to bottom</w:t>
      </w:r>
    </w:p>
    <w:p>
      <w:pPr>
        <w:pStyle w:val="ListNumber"/>
      </w:pPr>
      <w:r>
        <w:t>Banner: the sector name, with a relevant photo ★.</w:t>
      </w:r>
    </w:p>
    <w:p>
      <w:pPr>
        <w:pStyle w:val="ListNumber"/>
      </w:pPr>
      <w:r>
        <w:t>A short description of how In2IT EBS serves the sector ★.</w:t>
      </w:r>
    </w:p>
    <w:p>
      <w:pPr>
        <w:pStyle w:val="ListNumber"/>
      </w:pPr>
      <w:r>
        <w:t>The capabilities that serve that sector.</w:t>
      </w:r>
    </w:p>
    <w:p>
      <w:pPr>
        <w:pStyle w:val="ListNumber"/>
      </w:pPr>
      <w:r>
        <w:t>That sector's client logos.</w:t>
      </w:r>
    </w:p>
    <w:p>
      <w:pPr>
        <w:pStyle w:val="ListNumber"/>
      </w:pPr>
      <w:r>
        <w:t>Related success stories.</w:t>
      </w:r>
    </w:p>
    <w:p>
      <w:pPr>
        <w:pStyle w:val="ListNumber"/>
      </w:pPr>
      <w:r>
        <w:t>A get-in-touch band.</w:t>
      </w:r>
    </w:p>
    <w:p>
      <w:pPr>
        <w:pStyle w:val="Heading3"/>
      </w:pPr>
      <w:r>
        <w:rPr>
          <w:color w:val="121E3B"/>
        </w:rPr>
        <w:t>7.7 The Contact page — top to bottom</w:t>
      </w:r>
    </w:p>
    <w:p>
      <w:pPr>
        <w:pStyle w:val="ListNumber"/>
      </w:pPr>
      <w:r>
        <w:t>Banner: "Let's talk about your transformation."</w:t>
      </w:r>
    </w:p>
    <w:p>
      <w:pPr>
        <w:pStyle w:val="ListNumber"/>
      </w:pPr>
      <w:r>
        <w:t>The enquiry form (leading to a thank-you page).</w:t>
      </w:r>
    </w:p>
    <w:p>
      <w:pPr>
        <w:pStyle w:val="ListNumber"/>
      </w:pPr>
      <w:r>
        <w:t>The four India offices (cards).</w:t>
      </w:r>
    </w:p>
    <w:p>
      <w:pPr>
        <w:pStyle w:val="ListNumber"/>
      </w:pPr>
      <w:r>
        <w:t>The five global entities (cards).</w:t>
      </w:r>
    </w:p>
    <w:p>
      <w:pPr>
        <w:pStyle w:val="ListNumber"/>
      </w:pPr>
      <w:r>
        <w:t>Contact channels (website, email, LinkedIn).</w:t>
      </w:r>
    </w:p>
    <w:p>
      <w:pPr>
        <w:pStyle w:val="ListNumber"/>
      </w:pPr>
      <w:r>
        <w:t>The certifications strip.</w:t>
      </w:r>
    </w:p>
    <w:p>
      <w:pPr>
        <w:pStyle w:val="Heading3"/>
      </w:pPr>
      <w:r>
        <w:rPr>
          <w:color w:val="121E3B"/>
        </w:rPr>
        <w:t>7.8 The key visitor journeys — step by step</w:t>
      </w:r>
    </w:p>
    <w:p>
      <w:r>
        <w:rPr>
          <w:b/>
        </w:rPr>
        <w:t>Journey 1 — A buyer researching a service, then making contact</w:t>
      </w:r>
    </w:p>
    <w:p>
      <w:pPr>
        <w:pStyle w:val="ListNumber"/>
      </w:pPr>
      <w:r>
        <w:t>Lands on the Home page and sees the three pillars.</w:t>
      </w:r>
    </w:p>
    <w:p>
      <w:pPr>
        <w:pStyle w:val="ListNumber"/>
      </w:pPr>
      <w:r>
        <w:t>Clicks into "What We Do," then the relevant pillar.</w:t>
      </w:r>
    </w:p>
    <w:p>
      <w:pPr>
        <w:pStyle w:val="ListNumber"/>
      </w:pPr>
      <w:r>
        <w:t>Reads a sub-page (e.g. SAP), seeing the capabilities, proof and numbers.</w:t>
      </w:r>
    </w:p>
    <w:p>
      <w:pPr>
        <w:pStyle w:val="ListNumber"/>
      </w:pPr>
      <w:r>
        <w:t>Clicks the get-in-touch button — the "area of interest" is already filled in.</w:t>
      </w:r>
    </w:p>
    <w:p>
      <w:pPr>
        <w:pStyle w:val="ListNumber"/>
      </w:pPr>
      <w:r>
        <w:t>Submits the form and lands on the thank-you page; the enquiry reaches the company inbox.</w:t>
      </w:r>
    </w:p>
    <w:p>
      <w:r>
        <w:t>*(At every step there are side-doors to "Why choose us" and a related success story.)*</w:t>
      </w:r>
    </w:p>
    <w:p>
      <w:r>
        <w:rPr>
          <w:b/>
        </w:rPr>
        <w:t>Journey 2 — Someone exploring success stories</w:t>
      </w:r>
    </w:p>
    <w:p>
      <w:pPr>
        <w:pStyle w:val="ListNumber"/>
      </w:pPr>
      <w:r>
        <w:t>Arrives from the Home clients band, an industry page, or the menu.</w:t>
      </w:r>
    </w:p>
    <w:p>
      <w:pPr>
        <w:pStyle w:val="ListNumber"/>
      </w:pPr>
      <w:r>
        <w:t>Opens the Case Studies index and filters by sector, SAP route or service.</w:t>
      </w:r>
    </w:p>
    <w:p>
      <w:pPr>
        <w:pStyle w:val="ListNumber"/>
      </w:pPr>
      <w:r>
        <w:t>Reads a story (situation → benefits → what made In2IT different → results).</w:t>
      </w:r>
    </w:p>
    <w:p>
      <w:pPr>
        <w:pStyle w:val="ListNumber"/>
      </w:pPr>
      <w:r>
        <w:t>Clicks a related story, "See how we serve [sector]," or the get-in-touch button.</w:t>
      </w:r>
    </w:p>
    <w:p>
      <w:r>
        <w:rPr>
          <w:b/>
        </w:rPr>
        <w:t>Journey 3 — A buyer choosing between RISE and GROW</w:t>
      </w:r>
    </w:p>
    <w:p>
      <w:pPr>
        <w:pStyle w:val="ListNumber"/>
      </w:pPr>
      <w:r>
        <w:t>Arrives from the SAP page, the menu, or a search.</w:t>
      </w:r>
    </w:p>
    <w:p>
      <w:pPr>
        <w:pStyle w:val="ListNumber"/>
      </w:pPr>
      <w:r>
        <w:t>Opens the "RISE vs GROW" help-me-choose page.</w:t>
      </w:r>
    </w:p>
    <w:p>
      <w:pPr>
        <w:pStyle w:val="ListNumber"/>
      </w:pPr>
      <w:r>
        <w:t>Answers a few simple questions (company size, complexity, timeline). ★</w:t>
      </w:r>
    </w:p>
    <w:p>
      <w:pPr>
        <w:pStyle w:val="ListNumber"/>
      </w:pPr>
      <w:r>
        <w:t>Sees an *indicative* suggestion, always with the honest caveat that it's guidance, not a quote.</w:t>
      </w:r>
    </w:p>
    <w:p>
      <w:pPr>
        <w:pStyle w:val="ListNumber"/>
      </w:pPr>
      <w:r>
        <w:t>Clicks "Take the 2-week Pathway Assessment," landing on the Contact form with SAP pre-selected.</w:t>
      </w:r>
    </w:p>
    <w:p>
      <w:r>
        <w:rPr>
          <w:b/>
        </w:rPr>
        <w:t>Journey 4 — A jobseeker</w:t>
      </w:r>
      <w:r>
        <w:t xml:space="preserve"> ★</w:t>
      </w:r>
    </w:p>
    <w:p>
      <w:pPr>
        <w:pStyle w:val="ListNumber"/>
      </w:pPr>
      <w:r>
        <w:t>Arrives via the Careers link.</w:t>
      </w:r>
    </w:p>
    <w:p>
      <w:pPr>
        <w:pStyle w:val="ListNumber"/>
      </w:pPr>
      <w:r>
        <w:t>Reads the culture page, browses openings, opens a role, and applies.</w:t>
      </w:r>
    </w:p>
    <w:p>
      <w:r>
        <w:rPr>
          <w:b/>
        </w:rPr>
        <w:t>Journey 5 — Checking the technology partners</w:t>
      </w:r>
    </w:p>
    <w:p>
      <w:pPr>
        <w:pStyle w:val="ListNumber"/>
      </w:pPr>
      <w:r>
        <w:t>Arrives from the Home partners strip or the menu.</w:t>
      </w:r>
    </w:p>
    <w:p>
      <w:pPr>
        <w:pStyle w:val="ListNumber"/>
      </w:pPr>
      <w:r>
        <w:t>Reads the four partner groups, follows a link to the relevant service page, then a get-in-touch button.</w:t>
      </w:r>
    </w:p>
    <w:p>
      <w:pPr>
        <w:pStyle w:val="Heading2"/>
      </w:pPr>
      <w:r>
        <w:rPr>
          <w:color w:val="121E3B"/>
        </w:rPr>
        <w:t>8. Key reminders for whoever builds the site</w:t>
      </w:r>
    </w:p>
    <w:p>
      <w:pPr>
        <w:pStyle w:val="ListBullet"/>
      </w:pPr>
      <w:r>
        <w:rPr>
          <w:b/>
        </w:rPr>
        <w:t>The three pillars are the backbone</w:t>
      </w:r>
      <w:r>
        <w:t xml:space="preserve"> — every menu, footer link and page nests under them. SAP, Salesforce and Workday live under *Platform Services*; the old "custom apps" practice is now *Application Engineering* under *Digital, Data &amp; AI*.</w:t>
      </w:r>
    </w:p>
    <w:p>
      <w:pPr>
        <w:pStyle w:val="ListBullet"/>
      </w:pPr>
      <w:r>
        <w:rPr>
          <w:b/>
        </w:rPr>
        <w:t>Two brand-new sections</w:t>
      </w:r>
      <w:r>
        <w:t xml:space="preserve"> compared with the old site: </w:t>
      </w:r>
      <w:r>
        <w:rPr>
          <w:b/>
        </w:rPr>
        <w:t>Clients &amp; Case Studies</w:t>
      </w:r>
      <w:r>
        <w:t xml:space="preserve"> (now public and named) and </w:t>
      </w:r>
      <w:r>
        <w:rPr>
          <w:b/>
        </w:rPr>
        <w:t>Partners &amp; Ecosystem</w:t>
      </w:r>
      <w:r>
        <w:t>.</w:t>
      </w:r>
    </w:p>
    <w:p>
      <w:pPr>
        <w:pStyle w:val="ListBullet"/>
      </w:pPr>
      <w:r>
        <w:rPr>
          <w:b/>
        </w:rPr>
        <w:t>"Why choose us" is now FOUR reasons</w:t>
      </w:r>
      <w:r>
        <w:t>, led by Converged Intelligence (not the old three or seven).</w:t>
      </w:r>
    </w:p>
    <w:p>
      <w:pPr>
        <w:pStyle w:val="ListBullet"/>
      </w:pPr>
      <w:r>
        <w:rPr>
          <w:b/>
        </w:rPr>
        <w:t>Leadership lists exactly two people.</w:t>
      </w:r>
    </w:p>
    <w:p>
      <w:pPr>
        <w:pStyle w:val="ListBullet"/>
      </w:pPr>
      <w:r>
        <w:rPr>
          <w:b/>
        </w:rPr>
        <w:t>Footprint is 4 delivery centres + 6 sales offices</w:t>
      </w:r>
      <w:r>
        <w:t xml:space="preserve"> (drop "10 delivery centres").</w:t>
      </w:r>
    </w:p>
    <w:p>
      <w:pPr>
        <w:pStyle w:val="ListBullet"/>
      </w:pPr>
      <w:r>
        <w:rPr>
          <w:b/>
        </w:rPr>
        <w:t>Settle the number conflicts (⚠ #1–#6)</w:t>
      </w:r>
      <w:r>
        <w:t xml:space="preserve"> — especially employees 380+ vs 550+ — before the words are finalised.</w:t>
      </w:r>
    </w:p>
    <w:p>
      <w:pPr>
        <w:pStyle w:val="ListBullet"/>
      </w:pPr>
      <w:r>
        <w:rPr>
          <w:b/>
        </w:rPr>
        <w:t>Anything marked ★ Additive</w:t>
      </w:r>
      <w:r>
        <w:t xml:space="preserve"> is optional and must never contradict the deck.</w:t>
      </w:r>
    </w:p>
    <w:p>
      <w:pPr>
        <w:pStyle w:val="Heading2"/>
      </w:pPr>
      <w:r>
        <w:rPr>
          <w:color w:val="121E3B"/>
        </w:rPr>
        <w:t>Glossary (plain-English)</w:t>
      </w:r>
    </w:p>
    <w:p>
      <w:pPr>
        <w:pStyle w:val="ListBullet"/>
      </w:pPr>
      <w:r>
        <w:rPr>
          <w:b/>
        </w:rPr>
        <w:t>SAP</w:t>
      </w:r>
      <w:r>
        <w:t xml:space="preserve"> — the world's most widely used software for running a large company's core operations (finance, supply chain, HR, etc.). In2IT EBS's biggest specialism.</w:t>
      </w:r>
    </w:p>
    <w:p>
      <w:pPr>
        <w:pStyle w:val="ListBullet"/>
      </w:pPr>
      <w:r>
        <w:rPr>
          <w:b/>
        </w:rPr>
        <w:t>ERP (Enterprise Resource Planning)</w:t>
      </w:r>
      <w:r>
        <w:t xml:space="preserve"> — the general term for the kind of all-in-one business software SAP provides; it ties a company's main functions into one system.</w:t>
      </w:r>
    </w:p>
    <w:p>
      <w:pPr>
        <w:pStyle w:val="ListBullet"/>
      </w:pPr>
      <w:r>
        <w:rPr>
          <w:b/>
        </w:rPr>
        <w:t>S/4HANA</w:t>
      </w:r>
      <w:r>
        <w:t xml:space="preserve"> — the name of SAP's current, modern generation of its core software. Moving to it is a major project for most companies.</w:t>
      </w:r>
    </w:p>
    <w:p>
      <w:pPr>
        <w:pStyle w:val="ListBullet"/>
      </w:pPr>
      <w:r>
        <w:rPr>
          <w:b/>
        </w:rPr>
        <w:t>RISE</w:t>
      </w:r>
      <w:r>
        <w:t xml:space="preserve"> — one route to adopting S/4HANA, suited to larger, more complex organisations that need more customisation.</w:t>
      </w:r>
    </w:p>
    <w:p>
      <w:pPr>
        <w:pStyle w:val="ListBullet"/>
      </w:pPr>
      <w:r>
        <w:rPr>
          <w:b/>
        </w:rPr>
        <w:t>GROW</w:t>
      </w:r>
      <w:r>
        <w:t xml:space="preserve"> — another route to adopting S/4HANA, suited to mid-sized or fast-moving organisations that want a quicker, more standardised set-up.</w:t>
      </w:r>
    </w:p>
    <w:p>
      <w:pPr>
        <w:pStyle w:val="ListBullet"/>
      </w:pPr>
      <w:r>
        <w:rPr>
          <w:b/>
        </w:rPr>
        <w:t>PCE (Private Cloud Edition)</w:t>
      </w:r>
      <w:r>
        <w:t xml:space="preserve"> — a version of S/4HANA run on a dedicated, private slice of the cloud, for organisations needing deep customisation or strict data isolation.</w:t>
      </w:r>
    </w:p>
    <w:p>
      <w:pPr>
        <w:pStyle w:val="ListBullet"/>
      </w:pPr>
      <w:r>
        <w:rPr>
          <w:b/>
        </w:rPr>
        <w:t>AMS (Application Management Services)</w:t>
      </w:r>
      <w:r>
        <w:t xml:space="preserve"> — ongoing support and improvement of software after it has gone live; the "run" stage.</w:t>
      </w:r>
    </w:p>
    <w:p>
      <w:pPr>
        <w:pStyle w:val="ListBullet"/>
      </w:pPr>
      <w:r>
        <w:rPr>
          <w:b/>
        </w:rPr>
        <w:t>BFSI (Banking, Financial Services and Insurance)</w:t>
      </w:r>
      <w:r>
        <w:t xml:space="preserve"> — shorthand for the finance industry as a sector.</w:t>
      </w:r>
    </w:p>
    <w:p>
      <w:pPr>
        <w:pStyle w:val="ListBullet"/>
      </w:pPr>
      <w:r>
        <w:rPr>
          <w:b/>
        </w:rPr>
        <w:t>SuccessFactors / HXM (Human Experience Management)</w:t>
      </w:r>
      <w:r>
        <w:t xml:space="preserve"> — SAP's software for HR (hiring, pay, learning, performance).</w:t>
      </w:r>
    </w:p>
    <w:p>
      <w:pPr>
        <w:pStyle w:val="ListBullet"/>
      </w:pPr>
      <w:r>
        <w:rPr>
          <w:b/>
        </w:rPr>
        <w:t>Salesforce</w:t>
      </w:r>
      <w:r>
        <w:t xml:space="preserve"> — leading software for managing sales, customer service and marketing.</w:t>
      </w:r>
    </w:p>
    <w:p>
      <w:pPr>
        <w:pStyle w:val="ListBullet"/>
      </w:pPr>
      <w:r>
        <w:rPr>
          <w:b/>
        </w:rPr>
        <w:t>Workday</w:t>
      </w:r>
      <w:r>
        <w:t xml:space="preserve"> — leading software for HR and finance.</w:t>
      </w:r>
    </w:p>
    <w:p>
      <w:pPr>
        <w:pStyle w:val="ListBullet"/>
      </w:pPr>
      <w:r>
        <w:rPr>
          <w:b/>
        </w:rPr>
        <w:t>Joule</w:t>
      </w:r>
      <w:r>
        <w:t xml:space="preserve"> — SAP's built-in artificial-intelligence assistant.</w:t>
      </w:r>
    </w:p>
    <w:p>
      <w:pPr>
        <w:pStyle w:val="ListBullet"/>
      </w:pPr>
      <w:r>
        <w:rPr>
          <w:b/>
        </w:rPr>
        <w:t>Cloud / hyperscalers</w:t>
      </w:r>
      <w:r>
        <w:t xml:space="preserve"> — "the cloud" means software running over the internet rather than on a company's own computers; "hyperscalers" are the giant cloud providers: Amazon Web Services (AWS), Microsoft Azure and Google Cloud.</w:t>
      </w:r>
    </w:p>
    <w:p>
      <w:pPr>
        <w:pStyle w:val="ListBullet"/>
      </w:pPr>
      <w:r>
        <w:rPr>
          <w:b/>
        </w:rPr>
        <w:t>Migration</w:t>
      </w:r>
      <w:r>
        <w:t xml:space="preserve"> — moving a company from old software to new software, including all its data.</w:t>
      </w:r>
    </w:p>
    <w:p>
      <w:pPr>
        <w:pStyle w:val="ListBullet"/>
      </w:pPr>
      <w:r>
        <w:rPr>
          <w:b/>
        </w:rPr>
        <w:t>Greenfield / Brownfield</w:t>
      </w:r>
      <w:r>
        <w:t xml:space="preserve"> — a "greenfield" project starts fresh with a clean system; a "brownfield" project upgrades the existing system in place, keeping its history.</w:t>
      </w:r>
    </w:p>
    <w:p>
      <w:pPr>
        <w:pStyle w:val="ListBullet"/>
      </w:pPr>
      <w:r>
        <w:rPr>
          <w:b/>
        </w:rPr>
        <w:t>AI (Artificial Intelligence) / GenAI (Generative AI)</w:t>
      </w:r>
      <w:r>
        <w:t xml:space="preserve"> — software that understands language, spots patterns and makes recommendations; "generative" AI can also create text, summaries or images on demand.</w:t>
      </w:r>
    </w:p>
    <w:p>
      <w:pPr>
        <w:pStyle w:val="ListBullet"/>
      </w:pPr>
      <w:r>
        <w:rPr>
          <w:b/>
        </w:rPr>
        <w:t>ABAP</w:t>
      </w:r>
      <w:r>
        <w:t xml:space="preserve"> — SAP's own programming language, used to build custom additions to SAP.</w:t>
      </w:r>
    </w:p>
    <w:p>
      <w:pPr>
        <w:pStyle w:val="ListBullet"/>
      </w:pPr>
      <w:r>
        <w:rPr>
          <w:b/>
        </w:rPr>
        <w:t>CMMI / ISO 9001 / ISO 27001</w:t>
      </w:r>
      <w:r>
        <w:t xml:space="preserve"> — independent quality and security certifications that signal the company meets recognised international standards.</w:t>
      </w:r>
    </w:p>
    <w:p>
      <w:pPr>
        <w:pStyle w:val="ListBullet"/>
      </w:pPr>
      <w:r>
        <w:rPr>
          <w:b/>
        </w:rPr>
        <w:t>ECC</w:t>
      </w:r>
      <w:r>
        <w:t xml:space="preserve"> — the older generation of SAP's core software, which many companies are now upgrading from to S/4HANA.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