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1E3B"/>
          <w:sz w:val="52"/>
        </w:rPr>
        <w:t>Website Design Plan</w:t>
      </w:r>
    </w:p>
    <w:p>
      <w:r>
        <w:rPr>
          <w:color w:val="3F75A3"/>
          <w:sz w:val="21"/>
        </w:rPr>
        <w:t>In2IT EBS  ·  Converged Intelligence  ·  Source of truth: Corporate Capability deck (Deck 2), May 2026</w:t>
      </w:r>
    </w:p>
    <w:p/>
    <w:p>
      <w:r>
        <w:t>I now have the full deck and the full design plan. I have everything needed to write the non-technical version. Producing the final document as clean GitHub-flavoured Markdown.</w:t>
      </w:r>
    </w:p>
    <w:p>
      <w:pPr>
        <w:pStyle w:val="Heading1"/>
      </w:pPr>
      <w:r>
        <w:rPr>
          <w:color w:val="121E3B"/>
        </w:rPr>
        <w:t>The In2IT EBS Website — How It Will Look and Feel</w:t>
      </w:r>
    </w:p>
    <w:p>
      <w:r>
        <w:rPr>
          <w:b/>
        </w:rPr>
        <w:t>A plain-language design plan for business and leadership readers</w:t>
      </w:r>
    </w:p>
    <w:p>
      <w:pPr>
        <w:pStyle w:val="Heading2"/>
      </w:pPr>
      <w:r>
        <w:rPr>
          <w:color w:val="121E3B"/>
        </w:rPr>
        <w:t>Before you start — please read this short note</w:t>
      </w:r>
    </w:p>
    <w:p>
      <w:r>
        <w:rPr>
          <w:b/>
        </w:rPr>
        <w:t>Where this comes from.</w:t>
      </w:r>
      <w:r>
        <w:t xml:space="preserve"> Everything in this document is built on one source of truth: the In2IT EBS </w:t>
      </w:r>
      <w:r>
        <w:rPr>
          <w:b/>
        </w:rPr>
        <w:t>"Corporate Capability" presentation deck, Deck 2, dated May 2026</w:t>
      </w:r>
      <w:r>
        <w:t xml:space="preserve"> (64 slides). The website's structure — its three main business areas, its sections, its headlines and its case studies — follows that deck faithfully. Where you see a fact, a number, a client name or a section, it comes from that deck.</w:t>
      </w:r>
    </w:p>
    <w:p>
      <w:r>
        <w:rPr>
          <w:b/>
        </w:rPr>
        <w:t>Two kinds of content in this document.</w:t>
      </w:r>
      <w:r>
        <w:t xml:space="preserve"> Some ideas are taken directly from the deck. Others are *our own recommendations* — extra suggestions from the design team to make the website stronger. We have kept these clearly separated so you always know which is which.</w:t>
      </w:r>
    </w:p>
    <w:p>
      <w:pPr>
        <w:pStyle w:val="IntenseQuote"/>
      </w:pPr>
      <w:r>
        <w:rPr>
          <w:b/>
        </w:rPr>
        <w:t>Legend</w:t>
      </w:r>
    </w:p>
    <w:p>
      <w:pPr>
        <w:pStyle w:val="IntenseQuote"/>
      </w:pPr>
      <w:r>
        <w:t xml:space="preserve">- </w:t>
      </w:r>
      <w:r>
        <w:rPr>
          <w:b/>
        </w:rPr>
        <w:t>(No tag)</w:t>
      </w:r>
      <w:r>
        <w:t xml:space="preserve"> = taken directly from the Corporate Capability deck (the source of truth).</w:t>
      </w:r>
    </w:p>
    <w:p>
      <w:pPr>
        <w:pStyle w:val="IntenseQuote"/>
      </w:pPr>
      <w:r>
        <w:t xml:space="preserve">- </w:t>
      </w:r>
      <w:r>
        <w:rPr>
          <w:b/>
        </w:rPr>
        <w:t>★ Additive</w:t>
      </w:r>
      <w:r>
        <w:t xml:space="preserve"> = our own added recommendation, not in the deck. Treat these as proposals for your approval.</w:t>
      </w:r>
    </w:p>
    <w:p>
      <w:r>
        <w:rPr>
          <w:b/>
        </w:rPr>
        <w:t>A few numbers need a decision from you.</w:t>
      </w:r>
      <w:r>
        <w:t xml:space="preserve"> The deck states the employee count two different ways — </w:t>
      </w:r>
      <w:r>
        <w:rPr>
          <w:b/>
        </w:rPr>
        <w:t>"380+"</w:t>
      </w:r>
      <w:r>
        <w:t xml:space="preserve"> on the At-a-Glance page and </w:t>
      </w:r>
      <w:r>
        <w:rPr>
          <w:b/>
        </w:rPr>
        <w:t>"550+"</w:t>
      </w:r>
      <w:r>
        <w:t xml:space="preserve"> on the "Why choose us" page. The website can only show one figure in its headline statistics, so please confirm which is correct. Similarly, please confirm the project-speed claim is worded consistently ("up to 30% faster"), and confirm whether </w:t>
      </w:r>
      <w:r>
        <w:rPr>
          <w:b/>
        </w:rPr>
        <w:t>"12+ packaged accelerators"</w:t>
      </w:r>
      <w:r>
        <w:t xml:space="preserve"> and </w:t>
      </w:r>
      <w:r>
        <w:rPr>
          <w:b/>
        </w:rPr>
        <w:t>"10+ proprietary accelerators"</w:t>
      </w:r>
      <w:r>
        <w:t xml:space="preserve"> are two genuinely different things or the same thing counted twice. (An "accelerator" here simply means a ready-made tool or template the firm reuses to deliver projects faster.)</w:t>
      </w:r>
    </w:p>
    <w:p>
      <w:pPr>
        <w:pStyle w:val="Heading2"/>
      </w:pPr>
      <w:r>
        <w:rPr>
          <w:color w:val="121E3B"/>
        </w:rPr>
        <w:t>1. The big idea — what the website is trying to say</w:t>
      </w:r>
    </w:p>
    <w:p>
      <w:r>
        <w:t>In2IT EBS describes itself as *"an AI-led enterprise transformation company across Platforms, Advisory and Digital Engineering."* In everyday terms: it helps large organisations modernise the core business software they run on, advises them on what to change, and builds the new digital and data tools around it — all under one roof.</w:t>
      </w:r>
    </w:p>
    <w:p>
      <w:r>
        <w:t xml:space="preserve">The single most important job of the website is to make a mid-sized firm look and feel like a </w:t>
      </w:r>
      <w:r>
        <w:rPr>
          <w:b/>
        </w:rPr>
        <w:t>credible, single-accountable partner</w:t>
      </w:r>
      <w:r>
        <w:t xml:space="preserve"> — the kind of trusted name a large company would hire — without pretending to be one of the giant global consultancies. We achieve that through a </w:t>
      </w:r>
      <w:r>
        <w:rPr>
          <w:b/>
        </w:rPr>
        <w:t>confident, magazine-quality look</w:t>
      </w:r>
      <w:r>
        <w:t xml:space="preserve"> rather than through sheer volume of content. Think of the polish of a high-end business publication (the kind of editorial feel you see in the Financial Times or The Economist), applied to a technology company.</w:t>
      </w:r>
    </w:p>
    <w:p>
      <w:r>
        <w:rPr>
          <w:b/>
        </w:rPr>
        <w:t>A note on one recurring phrase: "Converged Intelligence."</w:t>
      </w:r>
      <w:r>
        <w:t xml:space="preserve"> This is the firm's own term for its way of working — clear ownership of each business area, one shared delivery team underneath them all, and artificial intelligence (AI) built into everything rather than added as an afterthought. The website treats this as the firm's signature idea, not just one feature among many.</w:t>
      </w:r>
    </w:p>
    <w:p>
      <w:pPr>
        <w:pStyle w:val="Heading2"/>
      </w:pPr>
      <w:r>
        <w:rPr>
          <w:color w:val="121E3B"/>
        </w:rPr>
        <w:t>2. The overall style — and why it looks premium</w:t>
      </w:r>
    </w:p>
    <w:p>
      <w:r>
        <w:t>The website will feel calm, confident and editorial. Five simple principles guide every page:</w:t>
      </w:r>
    </w:p>
    <w:p>
      <w:pPr>
        <w:pStyle w:val="ListNumber"/>
      </w:pPr>
      <w:r>
        <w:rPr>
          <w:b/>
        </w:rPr>
        <w:t>It reads like a magazine, not a corporate template.</w:t>
      </w:r>
      <w:r>
        <w:t xml:space="preserve"> Most large competitors use a single plain typeface everywhere, which looks generic. We pair an elegant "storybook" headline style with a clean, modern body style. That combination signals quality and authority — and it's what the strongest competitors (IBM, Wipro and others) do too.</w:t>
      </w:r>
    </w:p>
    <w:p>
      <w:pPr>
        <w:pStyle w:val="ListNumber"/>
      </w:pPr>
      <w:r>
        <w:rPr>
          <w:b/>
        </w:rPr>
        <w:t>Deep navy is the hero colour; bright blue is used like a highlighter.</w:t>
      </w:r>
      <w:r>
        <w:t xml:space="preserve"> Navy carries most of the visual weight on every page. The brighter accent blue appears only on a single emphasised word in a headline, on links, and on one or two key call-outs per page. This restraint is exactly what makes the look feel expensive rather than "ordinary corporate blue."</w:t>
      </w:r>
    </w:p>
    <w:p>
      <w:pPr>
        <w:pStyle w:val="ListNumber"/>
      </w:pPr>
      <w:r>
        <w:rPr>
          <w:b/>
        </w:rPr>
        <w:t>Proof over promises.</w:t>
      </w:r>
      <w:r>
        <w:t xml:space="preserve"> The deck is full of real, named, measurable results — 25-plus major software programmes delivered, 99.5% data accuracy, brownfield migrations done in five months, and named clients such as a Telangana power utility, Wipro Infrastructure Engineering and Triveni Turbines. The competitor research found that rivals are weak on named proof. So every important page puts a real number or a named result high up, where visitors see it immediately.</w:t>
      </w:r>
    </w:p>
    <w:p>
      <w:pPr>
        <w:pStyle w:val="ListNumber"/>
      </w:pPr>
      <w:r>
        <w:rPr>
          <w:b/>
        </w:rPr>
        <w:t>The firm's own tools are made visible.</w:t>
      </w:r>
      <w:r>
        <w:t xml:space="preserve"> In2IT EBS has several branded, in-house tools and methods that today are buried in dense text. We give each one a clear, repeatable on-screen treatment and a place in the navigation menu, so visitors can see the firm has genuine intellectual property of its own. *(Intellectual property simply means tools and methods the firm built and owns.)*</w:t>
      </w:r>
    </w:p>
    <w:p>
      <w:pPr>
        <w:pStyle w:val="ListNumber"/>
      </w:pPr>
      <w:r>
        <w:rPr>
          <w:b/>
        </w:rPr>
        <w:t>Gentle, purposeful movement; fast pages.</w:t>
      </w:r>
      <w:r>
        <w:t xml:space="preserve"> Animation is subtle — things fade in softly as you scroll. We deliberately avoid auto-rotating slideshows, which the research found rivals overuse and visitors dislike.</w:t>
      </w:r>
    </w:p>
    <w:p>
      <w:r>
        <w:rPr>
          <w:b/>
        </w:rPr>
        <w:t>Why this beats the competition.</w:t>
      </w:r>
      <w:r>
        <w:t xml:space="preserve"> Against the giant consultancies, we win on editorial polish rather than scale. Against similar-sized rivals — who tend to use bland stock photos, repetitive "Read More" links and rotating banners — we win on disciplined design, purposeful wording and a consistent picture style. Against photo-heavy peers, we borrow their instinct to *prove things with imagery* but keep a more modern, AI-appropriate abstract graphic as our centrepiece.</w:t>
      </w:r>
    </w:p>
    <w:p>
      <w:pPr>
        <w:pStyle w:val="Heading2"/>
      </w:pPr>
      <w:r>
        <w:rPr>
          <w:color w:val="121E3B"/>
        </w:rPr>
        <w:t>3. The colours — plain names and where each one is used</w:t>
      </w:r>
    </w:p>
    <w:p>
      <w:r>
        <w:t>The brand palette is unchanged. Here is what each colour is called in plain terms and where the visitor sees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Colour (plain name)</w:t>
            </w:r>
          </w:p>
        </w:tc>
        <w:tc>
          <w:tcPr>
            <w:tcW w:type="dxa" w:w="2880"/>
          </w:tcPr>
          <w:p>
            <w:r>
              <w:rPr>
                <w:b/>
                <w:sz w:val="19"/>
              </w:rPr>
              <w:t>What it looks like</w:t>
            </w:r>
          </w:p>
        </w:tc>
        <w:tc>
          <w:tcPr>
            <w:tcW w:type="dxa" w:w="2880"/>
          </w:tcPr>
          <w:p>
            <w:r>
              <w:rPr>
                <w:b/>
                <w:sz w:val="19"/>
              </w:rPr>
              <w:t>Where it appears</w:t>
            </w:r>
          </w:p>
        </w:tc>
      </w:tr>
      <w:tr>
        <w:tc>
          <w:tcPr>
            <w:tcW w:type="dxa" w:w="2880"/>
          </w:tcPr>
          <w:p>
            <w:r>
              <w:rPr>
                <w:sz w:val="19"/>
              </w:rPr>
              <w:t>Navy (the dominant brand colour)</w:t>
            </w:r>
          </w:p>
        </w:tc>
        <w:tc>
          <w:tcPr>
            <w:tcW w:type="dxa" w:w="2880"/>
          </w:tcPr>
          <w:p>
            <w:r>
              <w:rPr>
                <w:sz w:val="19"/>
              </w:rPr>
              <w:t>Deep, dark blue</w:t>
            </w:r>
          </w:p>
        </w:tc>
        <w:tc>
          <w:tcPr>
            <w:tcW w:type="dxa" w:w="2880"/>
          </w:tcPr>
          <w:p>
            <w:r>
              <w:rPr>
                <w:sz w:val="19"/>
              </w:rPr>
              <w:t>Headlines, body text on light pages, and the big dark backgrounds (the home banner, section dividers, the footer). Carries most of the visual weight.</w:t>
            </w:r>
          </w:p>
        </w:tc>
      </w:tr>
      <w:tr>
        <w:tc>
          <w:tcPr>
            <w:tcW w:type="dxa" w:w="2880"/>
          </w:tcPr>
          <w:p>
            <w:r>
              <w:rPr>
                <w:sz w:val="19"/>
              </w:rPr>
              <w:t>White</w:t>
            </w:r>
          </w:p>
        </w:tc>
        <w:tc>
          <w:tcPr>
            <w:tcW w:type="dxa" w:w="2880"/>
          </w:tcPr>
          <w:p>
            <w:r>
              <w:rPr>
                <w:sz w:val="19"/>
              </w:rPr>
              <w:t>White</w:t>
            </w:r>
          </w:p>
        </w:tc>
        <w:tc>
          <w:tcPr>
            <w:tcW w:type="dxa" w:w="2880"/>
          </w:tcPr>
          <w:p>
            <w:r>
              <w:rPr>
                <w:sz w:val="19"/>
              </w:rPr>
              <w:t>The main background for most pages; text sitting on navy.</w:t>
            </w:r>
          </w:p>
        </w:tc>
      </w:tr>
      <w:tr>
        <w:tc>
          <w:tcPr>
            <w:tcW w:type="dxa" w:w="2880"/>
          </w:tcPr>
          <w:p>
            <w:r>
              <w:rPr>
                <w:sz w:val="19"/>
              </w:rPr>
              <w:t>Light blue</w:t>
            </w:r>
          </w:p>
        </w:tc>
        <w:tc>
          <w:tcPr>
            <w:tcW w:type="dxa" w:w="2880"/>
          </w:tcPr>
          <w:p>
            <w:r>
              <w:rPr>
                <w:sz w:val="19"/>
              </w:rPr>
              <w:t>Soft, muted blue</w:t>
            </w:r>
          </w:p>
        </w:tc>
        <w:tc>
          <w:tcPr>
            <w:tcW w:type="dxa" w:w="2880"/>
          </w:tcPr>
          <w:p>
            <w:r>
              <w:rPr>
                <w:sz w:val="19"/>
              </w:rPr>
              <w:t>Fills behind cards and supporting blocks. Used as a background colour, never as text.</w:t>
            </w:r>
          </w:p>
        </w:tc>
      </w:tr>
      <w:tr>
        <w:tc>
          <w:tcPr>
            <w:tcW w:type="dxa" w:w="2880"/>
          </w:tcPr>
          <w:p>
            <w:r>
              <w:rPr>
                <w:sz w:val="19"/>
              </w:rPr>
              <w:t>Accent blue</w:t>
            </w:r>
          </w:p>
        </w:tc>
        <w:tc>
          <w:tcPr>
            <w:tcW w:type="dxa" w:w="2880"/>
          </w:tcPr>
          <w:p>
            <w:r>
              <w:rPr>
                <w:sz w:val="19"/>
              </w:rPr>
              <w:t>A clear, mid-tone blue</w:t>
            </w:r>
          </w:p>
        </w:tc>
        <w:tc>
          <w:tcPr>
            <w:tcW w:type="dxa" w:w="2880"/>
          </w:tcPr>
          <w:p>
            <w:r>
              <w:rPr>
                <w:sz w:val="19"/>
              </w:rPr>
              <w:t>The single emphasised word in a headline, links, and the occasional key call-out. Used sparingly, for emphasis only.</w:t>
            </w:r>
          </w:p>
        </w:tc>
      </w:tr>
      <w:tr>
        <w:tc>
          <w:tcPr>
            <w:tcW w:type="dxa" w:w="2880"/>
          </w:tcPr>
          <w:p>
            <w:r>
              <w:rPr>
                <w:sz w:val="19"/>
              </w:rPr>
              <w:t>Pale blue</w:t>
            </w:r>
          </w:p>
        </w:tc>
        <w:tc>
          <w:tcPr>
            <w:tcW w:type="dxa" w:w="2880"/>
          </w:tcPr>
          <w:p>
            <w:r>
              <w:rPr>
                <w:sz w:val="19"/>
              </w:rPr>
              <w:t>A gentle, pale sky blue</w:t>
            </w:r>
          </w:p>
        </w:tc>
        <w:tc>
          <w:tcPr>
            <w:tcW w:type="dxa" w:w="2880"/>
          </w:tcPr>
          <w:p>
            <w:r>
              <w:rPr>
                <w:sz w:val="19"/>
              </w:rPr>
              <w:t>Soft highlight fills and the small backgrounds behind icons.</w:t>
            </w:r>
          </w:p>
        </w:tc>
      </w:tr>
      <w:tr>
        <w:tc>
          <w:tcPr>
            <w:tcW w:type="dxa" w:w="2880"/>
          </w:tcPr>
          <w:p>
            <w:r>
              <w:rPr>
                <w:sz w:val="19"/>
              </w:rPr>
              <w:t>Muted grey</w:t>
            </w:r>
          </w:p>
        </w:tc>
        <w:tc>
          <w:tcPr>
            <w:tcW w:type="dxa" w:w="2880"/>
          </w:tcPr>
          <w:p>
            <w:r>
              <w:rPr>
                <w:sz w:val="19"/>
              </w:rPr>
              <w:t>A soft blue-grey</w:t>
            </w:r>
          </w:p>
        </w:tc>
        <w:tc>
          <w:tcPr>
            <w:tcW w:type="dxa" w:w="2880"/>
          </w:tcPr>
          <w:p>
            <w:r>
              <w:rPr>
                <w:sz w:val="19"/>
              </w:rPr>
              <w:t>Secondary text and photo captions on white pages.</w:t>
            </w:r>
          </w:p>
        </w:tc>
      </w:tr>
      <w:tr>
        <w:tc>
          <w:tcPr>
            <w:tcW w:type="dxa" w:w="2880"/>
          </w:tcPr>
          <w:p>
            <w:r>
              <w:rPr>
                <w:sz w:val="19"/>
              </w:rPr>
              <w:t>Off-white</w:t>
            </w:r>
          </w:p>
        </w:tc>
        <w:tc>
          <w:tcPr>
            <w:tcW w:type="dxa" w:w="2880"/>
          </w:tcPr>
          <w:p>
            <w:r>
              <w:rPr>
                <w:sz w:val="19"/>
              </w:rPr>
              <w:t>A barely-there warm white</w:t>
            </w:r>
          </w:p>
        </w:tc>
        <w:tc>
          <w:tcPr>
            <w:tcW w:type="dxa" w:w="2880"/>
          </w:tcPr>
          <w:p>
            <w:r>
              <w:rPr>
                <w:sz w:val="19"/>
              </w:rPr>
              <w:t>An alternative page background and subtle card fills, so sections don't all look identical.</w:t>
            </w:r>
          </w:p>
        </w:tc>
      </w:tr>
      <w:tr>
        <w:tc>
          <w:tcPr>
            <w:tcW w:type="dxa" w:w="2880"/>
          </w:tcPr>
          <w:p>
            <w:r>
              <w:rPr>
                <w:sz w:val="19"/>
              </w:rPr>
              <w:t>Sand (muted gold)</w:t>
            </w:r>
          </w:p>
        </w:tc>
        <w:tc>
          <w:tcPr>
            <w:tcW w:type="dxa" w:w="2880"/>
          </w:tcPr>
          <w:p>
            <w:r>
              <w:rPr>
                <w:sz w:val="19"/>
              </w:rPr>
              <w:t>A soft, neutral gold</w:t>
            </w:r>
          </w:p>
        </w:tc>
        <w:tc>
          <w:tcPr>
            <w:tcW w:type="dxa" w:w="2880"/>
          </w:tcPr>
          <w:p>
            <w:r>
              <w:rPr>
                <w:sz w:val="19"/>
              </w:rPr>
              <w:t>Thin dividing lines and very subtle accents only. Used rarely.</w:t>
            </w:r>
          </w:p>
        </w:tc>
      </w:tr>
    </w:tbl>
    <w:p/>
    <w:p>
      <w:r>
        <w:rPr>
          <w:b/>
        </w:rPr>
        <w:t>On readability ★ Additive:</w:t>
      </w:r>
      <w:r>
        <w:t xml:space="preserve"> to be sure text is comfortable for everyone (including people with low vision), small accent-blue text will be deepened slightly so it stays easy to read on white. The light and pale blues are only ever used as background fills, never as text.</w:t>
      </w:r>
    </w:p>
    <w:p>
      <w:pPr>
        <w:pStyle w:val="Heading2"/>
      </w:pPr>
      <w:r>
        <w:rPr>
          <w:color w:val="121E3B"/>
        </w:rPr>
        <w:t>4. The two fonts — and what they convey</w:t>
      </w:r>
    </w:p>
    <w:p>
      <w:r>
        <w:t>The website uses a deliberate two-font system.</w:t>
      </w:r>
    </w:p>
    <w:p>
      <w:pPr>
        <w:pStyle w:val="ListBullet"/>
      </w:pPr>
      <w:r>
        <w:rPr>
          <w:b/>
        </w:rPr>
        <w:t>The headline font (a refined serif called Newsreader).</w:t>
      </w:r>
      <w:r>
        <w:t xml:space="preserve"> A serif is a typeface with small "feet" on the letters, the kind you see in quality books and newspapers. This font gives titles their distinctive editorial, trustworthy character. In every major headline, one key word is set in *italic* and in accent blue — this is the brand's signature move, lifted straight from the deck (for example, *"Data migration is the </w:t>
      </w:r>
      <w:r>
        <w:rPr>
          <w:b/>
        </w:rPr>
        <w:t>real risk</w:t>
      </w:r>
      <w:r>
        <w:t xml:space="preserve"> in S/4HANA"*).</w:t>
      </w:r>
    </w:p>
    <w:p>
      <w:pPr>
        <w:pStyle w:val="ListBullet"/>
      </w:pPr>
      <w:r>
        <w:rPr>
          <w:b/>
        </w:rPr>
        <w:t>The everyday font (a clean sans-serif called IBM Plex Sans).</w:t>
      </w:r>
      <w:r>
        <w:t xml:space="preserve"> "Sans-serif" simply means without the little feet — a clean, modern look. It handles all the readable content: introductions, body text, captions, tables, and the small spaced-out capital-letter labels that mark each section (for example, "AT A GLANCE").</w:t>
      </w:r>
    </w:p>
    <w:p>
      <w:r>
        <w:t xml:space="preserve">For Word documents and emails, where those two fonts may not be installed on every machine, the firm falls back to </w:t>
      </w:r>
      <w:r>
        <w:rPr>
          <w:b/>
        </w:rPr>
        <w:t>Calibri</w:t>
      </w:r>
      <w:r>
        <w:t xml:space="preserve"> so documents always look correct.</w:t>
      </w:r>
    </w:p>
    <w:p>
      <w:r>
        <w:t>Together: the serif says *established and editorial*; the sans-serif says *modern and precise*. The pairing is what gives the brand its premium, confident voice.</w:t>
      </w:r>
    </w:p>
    <w:p>
      <w:pPr>
        <w:pStyle w:val="Heading2"/>
      </w:pPr>
      <w:r>
        <w:rPr>
          <w:color w:val="121E3B"/>
        </w:rPr>
        <w:t>5. Three business areas — told apart, yet clearly one family</w:t>
      </w:r>
    </w:p>
    <w:p>
      <w:r>
        <w:t xml:space="preserve">The deck organises everything into </w:t>
      </w:r>
      <w:r>
        <w:rPr>
          <w:b/>
        </w:rPr>
        <w:t>three pillars</w:t>
      </w:r>
      <w:r>
        <w:t xml:space="preserve"> (the firm's word for its three main business areas), plus a shared delivery engine that sits underneath all three:</w:t>
      </w:r>
    </w:p>
    <w:p>
      <w:pPr>
        <w:pStyle w:val="ListBullet"/>
      </w:pPr>
      <w:r>
        <w:rPr>
          <w:b/>
        </w:rPr>
        <w:t>Pillar A — Platform Services:</w:t>
      </w:r>
      <w:r>
        <w:t xml:space="preserve"> modernising the big business-software platforms (SAP, Salesforce, Workday).</w:t>
      </w:r>
    </w:p>
    <w:p>
      <w:pPr>
        <w:pStyle w:val="ListBullet"/>
      </w:pPr>
      <w:r>
        <w:rPr>
          <w:b/>
        </w:rPr>
        <w:t>Pillar B — Advisory Services:</w:t>
      </w:r>
      <w:r>
        <w:t xml:space="preserve"> the consulting layer that decides *what* to change and *why*.</w:t>
      </w:r>
    </w:p>
    <w:p>
      <w:pPr>
        <w:pStyle w:val="ListBullet"/>
      </w:pPr>
      <w:r>
        <w:rPr>
          <w:b/>
        </w:rPr>
        <w:t>Pillar C — Digital, Data &amp; AI Services:</w:t>
      </w:r>
      <w:r>
        <w:t xml:space="preserve"> the engineering layer that builds modern apps, data tools and AI.</w:t>
      </w:r>
    </w:p>
    <w:p>
      <w:pPr>
        <w:pStyle w:val="ListBullet"/>
      </w:pPr>
      <w:r>
        <w:rPr>
          <w:b/>
        </w:rPr>
        <w:t>(D) Delivery Excellence:</w:t>
      </w:r>
      <w:r>
        <w:t xml:space="preserve"> the single shared delivery team and method that powers all three.</w:t>
      </w:r>
    </w:p>
    <w:p>
      <w:r>
        <w:t xml:space="preserve">The design's challenge is to make these instantly distinguishable while still looking like one brand. The trick: </w:t>
      </w:r>
      <w:r>
        <w:rPr>
          <w:b/>
        </w:rPr>
        <w:t>only one thing changes between them</w:t>
      </w:r>
      <w:r>
        <w:t xml:space="preserve"> — a single accent colour and a simple background pattern. Everything else stays identical, which guarantees they feel like one family.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r>
          </w:p>
        </w:tc>
        <w:tc>
          <w:tcPr>
            <w:tcW w:type="dxa" w:w="1728"/>
          </w:tcPr>
          <w:p>
            <w:r>
              <w:rPr>
                <w:b/>
                <w:sz w:val="19"/>
              </w:rPr>
              <w:t>A — Platform Services</w:t>
            </w:r>
          </w:p>
        </w:tc>
        <w:tc>
          <w:tcPr>
            <w:tcW w:type="dxa" w:w="1728"/>
          </w:tcPr>
          <w:p>
            <w:r>
              <w:rPr>
                <w:b/>
                <w:sz w:val="19"/>
              </w:rPr>
              <w:t>B — Advisory Services</w:t>
            </w:r>
          </w:p>
        </w:tc>
        <w:tc>
          <w:tcPr>
            <w:tcW w:type="dxa" w:w="1728"/>
          </w:tcPr>
          <w:p>
            <w:r>
              <w:rPr>
                <w:b/>
                <w:sz w:val="19"/>
              </w:rPr>
              <w:t>C — Digital, Data &amp; AI</w:t>
            </w:r>
          </w:p>
        </w:tc>
        <w:tc>
          <w:tcPr>
            <w:tcW w:type="dxa" w:w="1728"/>
          </w:tcPr>
          <w:p>
            <w:r>
              <w:rPr>
                <w:b/>
                <w:sz w:val="19"/>
              </w:rPr>
              <w:t>D — Delivery Excellence</w:t>
            </w:r>
          </w:p>
        </w:tc>
      </w:tr>
      <w:tr>
        <w:tc>
          <w:tcPr>
            <w:tcW w:type="dxa" w:w="1728"/>
          </w:tcPr>
          <w:p>
            <w:r>
              <w:rPr>
                <w:sz w:val="19"/>
              </w:rPr>
              <w:t>Letter</w:t>
            </w:r>
          </w:p>
        </w:tc>
        <w:tc>
          <w:tcPr>
            <w:tcW w:type="dxa" w:w="1728"/>
          </w:tcPr>
          <w:p>
            <w:r>
              <w:rPr>
                <w:sz w:val="19"/>
              </w:rPr>
              <w:t>A</w:t>
            </w:r>
          </w:p>
        </w:tc>
        <w:tc>
          <w:tcPr>
            <w:tcW w:type="dxa" w:w="1728"/>
          </w:tcPr>
          <w:p>
            <w:r>
              <w:rPr>
                <w:sz w:val="19"/>
              </w:rPr>
              <w:t>B</w:t>
            </w:r>
          </w:p>
        </w:tc>
        <w:tc>
          <w:tcPr>
            <w:tcW w:type="dxa" w:w="1728"/>
          </w:tcPr>
          <w:p>
            <w:r>
              <w:rPr>
                <w:sz w:val="19"/>
              </w:rPr>
              <w:t>C</w:t>
            </w:r>
          </w:p>
        </w:tc>
        <w:tc>
          <w:tcPr>
            <w:tcW w:type="dxa" w:w="1728"/>
          </w:tcPr>
          <w:p>
            <w:r>
              <w:rPr>
                <w:sz w:val="19"/>
              </w:rPr>
              <w:t>D</w:t>
            </w:r>
          </w:p>
        </w:tc>
      </w:tr>
      <w:tr>
        <w:tc>
          <w:tcPr>
            <w:tcW w:type="dxa" w:w="1728"/>
          </w:tcPr>
          <w:p>
            <w:r>
              <w:rPr>
                <w:sz w:val="19"/>
              </w:rPr>
              <w:t>Accent colour</w:t>
            </w:r>
          </w:p>
        </w:tc>
        <w:tc>
          <w:tcPr>
            <w:tcW w:type="dxa" w:w="1728"/>
          </w:tcPr>
          <w:p>
            <w:r>
              <w:rPr>
                <w:sz w:val="19"/>
              </w:rPr>
              <w:t>Navy</w:t>
            </w:r>
          </w:p>
        </w:tc>
        <w:tc>
          <w:tcPr>
            <w:tcW w:type="dxa" w:w="1728"/>
          </w:tcPr>
          <w:p>
            <w:r>
              <w:rPr>
                <w:sz w:val="19"/>
              </w:rPr>
              <w:t>Accent blue</w:t>
            </w:r>
          </w:p>
        </w:tc>
        <w:tc>
          <w:tcPr>
            <w:tcW w:type="dxa" w:w="1728"/>
          </w:tcPr>
          <w:p>
            <w:r>
              <w:rPr>
                <w:sz w:val="19"/>
              </w:rPr>
              <w:t>Light blue</w:t>
            </w:r>
          </w:p>
        </w:tc>
        <w:tc>
          <w:tcPr>
            <w:tcW w:type="dxa" w:w="1728"/>
          </w:tcPr>
          <w:p>
            <w:r>
              <w:rPr>
                <w:sz w:val="19"/>
              </w:rPr>
              <w:t>Sand (the shared one)</w:t>
            </w:r>
          </w:p>
        </w:tc>
      </w:tr>
      <w:tr>
        <w:tc>
          <w:tcPr>
            <w:tcW w:type="dxa" w:w="1728"/>
          </w:tcPr>
          <w:p>
            <w:r>
              <w:rPr>
                <w:sz w:val="19"/>
              </w:rPr>
              <w:t>Its nature (from the deck)</w:t>
            </w:r>
          </w:p>
        </w:tc>
        <w:tc>
          <w:tcPr>
            <w:tcW w:type="dxa" w:w="1728"/>
          </w:tcPr>
          <w:p>
            <w:r>
              <w:rPr>
                <w:sz w:val="19"/>
              </w:rPr>
              <w:t>Platform-led</w:t>
            </w:r>
          </w:p>
        </w:tc>
        <w:tc>
          <w:tcPr>
            <w:tcW w:type="dxa" w:w="1728"/>
          </w:tcPr>
          <w:p>
            <w:r>
              <w:rPr>
                <w:sz w:val="19"/>
              </w:rPr>
              <w:t>Consulting-led</w:t>
            </w:r>
          </w:p>
        </w:tc>
        <w:tc>
          <w:tcPr>
            <w:tcW w:type="dxa" w:w="1728"/>
          </w:tcPr>
          <w:p>
            <w:r>
              <w:rPr>
                <w:sz w:val="19"/>
              </w:rPr>
              <w:t>Engineering-led</w:t>
            </w:r>
          </w:p>
        </w:tc>
        <w:tc>
          <w:tcPr>
            <w:tcW w:type="dxa" w:w="1728"/>
          </w:tcPr>
          <w:p>
            <w:r>
              <w:rPr>
                <w:sz w:val="19"/>
              </w:rPr>
              <w:t>Shared delivery engine</w:t>
            </w:r>
          </w:p>
        </w:tc>
      </w:tr>
      <w:tr>
        <w:tc>
          <w:tcPr>
            <w:tcW w:type="dxa" w:w="1728"/>
          </w:tcPr>
          <w:p>
            <w:r>
              <w:rPr>
                <w:sz w:val="19"/>
              </w:rPr>
              <w:t>Background pattern ★ Additive</w:t>
            </w:r>
          </w:p>
        </w:tc>
        <w:tc>
          <w:tcPr>
            <w:tcW w:type="dxa" w:w="1728"/>
          </w:tcPr>
          <w:p>
            <w:r>
              <w:rPr>
                <w:sz w:val="19"/>
              </w:rPr>
              <w:t>Stacked layered tiles</w:t>
            </w:r>
          </w:p>
        </w:tc>
        <w:tc>
          <w:tcPr>
            <w:tcW w:type="dxa" w:w="1728"/>
          </w:tcPr>
          <w:p>
            <w:r>
              <w:rPr>
                <w:sz w:val="19"/>
              </w:rPr>
              <w:t>Concentric arcs, like a compass</w:t>
            </w:r>
          </w:p>
        </w:tc>
        <w:tc>
          <w:tcPr>
            <w:tcW w:type="dxa" w:w="1728"/>
          </w:tcPr>
          <w:p>
            <w:r>
              <w:rPr>
                <w:sz w:val="19"/>
              </w:rPr>
              <w:t>A network of connected dots</w:t>
            </w:r>
          </w:p>
        </w:tc>
        <w:tc>
          <w:tcPr>
            <w:tcW w:type="dxa" w:w="1728"/>
          </w:tcPr>
          <w:p>
            <w:r>
              <w:rPr>
                <w:sz w:val="19"/>
              </w:rPr>
              <w:t>Horizontal "track" lanes</w:t>
            </w:r>
          </w:p>
        </w:tc>
      </w:tr>
    </w:tbl>
    <w:p/>
    <w:p>
      <w:r>
        <w:t>How each area shows itself, in three consistent ways:</w:t>
      </w:r>
    </w:p>
    <w:p>
      <w:pPr>
        <w:pStyle w:val="ListNumber"/>
      </w:pPr>
      <w:r>
        <w:rPr>
          <w:b/>
        </w:rPr>
        <w:t>A small lettered badge</w:t>
      </w:r>
      <w:r>
        <w:t xml:space="preserve"> (A, B or C with its label) appears on each area's main page and in the navigation menu — a quiet wayfinding cue, taken from the deck's own "PILLAR A / PILLAR B" labelling.</w:t>
      </w:r>
    </w:p>
    <w:p>
      <w:pPr>
        <w:pStyle w:val="ListNumber"/>
      </w:pPr>
      <w:r>
        <w:rPr>
          <w:b/>
        </w:rPr>
        <w:t>A single thin coloured line and a faint background pattern.</w:t>
      </w:r>
      <w:r>
        <w:t xml:space="preserve"> Each area carries one slim line in its accent colour and a large, very faint background motif behind its banner — enough to feel distinct, never decorative clutter.</w:t>
      </w:r>
    </w:p>
    <w:p>
      <w:pPr>
        <w:pStyle w:val="ListNumber"/>
      </w:pPr>
      <w:r>
        <w:rPr>
          <w:b/>
        </w:rPr>
        <w:t>A coloured card edge.</w:t>
      </w:r>
      <w:r>
        <w:t xml:space="preserve"> Cards belonging to an area carry a thin coloured stripe down their left edge. When all four sit side by side (on the home page, for example), they read instantly as one orderly set.</w:t>
      </w:r>
    </w:p>
    <w:p>
      <w:r>
        <w:rPr>
          <w:b/>
        </w:rPr>
        <w:t>Why this stays cohesive ★ Additive:</w:t>
      </w:r>
      <w:r>
        <w:t xml:space="preserve"> no new colours are ever introduced — both accent blue and light blue already exist in the palette — and all four background patterns are drawn in the same simple, single-line style, so they look like one illustration family.</w:t>
      </w:r>
    </w:p>
    <w:p>
      <w:pPr>
        <w:pStyle w:val="Heading2"/>
      </w:pPr>
      <w:r>
        <w:rPr>
          <w:color w:val="121E3B"/>
        </w:rPr>
        <w:t>6. What each key page looks like, top to bottom</w:t>
      </w:r>
    </w:p>
    <w:p>
      <w:r>
        <w:t>Every page shares the same frame: a slim top bar that stays in view as you scroll (carrying the navy logo, the menu, a constant "Book a discovery workshop" button, a region switcher, search, and the SAP Gold Partner badge), a trail of links showing where you are on inner pages, and a navy footer carrying the firm's certifications.</w:t>
      </w:r>
    </w:p>
    <w:p>
      <w:pPr>
        <w:pStyle w:val="Heading3"/>
      </w:pPr>
      <w:r>
        <w:rPr>
          <w:color w:val="121E3B"/>
        </w:rPr>
        <w:t>6.1 Home page</w:t>
      </w:r>
    </w:p>
    <w:p>
      <w:pPr>
        <w:pStyle w:val="ListNumber"/>
      </w:pPr>
      <w:r>
        <w:rPr>
          <w:b/>
        </w:rPr>
        <w:t>Opening banner</w:t>
      </w:r>
      <w:r>
        <w:t xml:space="preserve"> — a large editorial headline (*"A decade of enterprise transformation, delivered globally"*) with one italic accent word, a one-line summary of the three-pillar, AI-led positioning, and two buttons. Beside the text (not behind it) sits an </w:t>
      </w:r>
      <w:r>
        <w:rPr>
          <w:b/>
        </w:rPr>
        <w:t>abstract, gently moving "connected dots" graphic</w:t>
      </w:r>
      <w:r>
        <w:t xml:space="preserve">. A real named-client result line sits just beneath — for example, *"Wipro Infrastructure Engineering: legacy-to-modern migration in 5 months."* </w:t>
      </w:r>
      <w:r>
        <w:rPr>
          <w:b/>
        </w:rPr>
        <w:t>★ Additive (the proof line placement)</w:t>
      </w:r>
    </w:p>
    <w:p>
      <w:pPr>
        <w:pStyle w:val="ListNumber"/>
      </w:pPr>
      <w:r>
        <w:rPr>
          <w:b/>
        </w:rPr>
        <w:t>Key statistics band</w:t>
      </w:r>
      <w:r>
        <w:t xml:space="preserve"> — the At-a-Glance figures: 10+ years, [380+ / 550+ — *please confirm*] employees, 150+ customers, 30+ countries, 14+ industries, 12+ accelerators. The numbers count up as you scroll to them.</w:t>
      </w:r>
    </w:p>
    <w:p>
      <w:pPr>
        <w:pStyle w:val="ListNumber"/>
      </w:pPr>
      <w:r>
        <w:rPr>
          <w:b/>
        </w:rPr>
        <w:t>The three pillars + delivery</w:t>
      </w:r>
      <w:r>
        <w:t xml:space="preserve"> — four cards leading into each area.</w:t>
      </w:r>
    </w:p>
    <w:p>
      <w:pPr>
        <w:pStyle w:val="ListNumber"/>
      </w:pPr>
      <w:r>
        <w:rPr>
          <w:b/>
        </w:rPr>
        <w:t>Converged Intelligence band</w:t>
      </w:r>
      <w:r>
        <w:t xml:space="preserve"> — a navy feature strip presenting the firm's signature idea as a differentiator.</w:t>
      </w:r>
    </w:p>
    <w:p>
      <w:pPr>
        <w:pStyle w:val="ListNumber"/>
      </w:pPr>
      <w:r>
        <w:rPr>
          <w:b/>
        </w:rPr>
        <w:t>Signature offerings</w:t>
      </w:r>
      <w:r>
        <w:t xml:space="preserve"> ★ Additive (surfacing them here) — three named in-house strengths shown up front.</w:t>
      </w:r>
    </w:p>
    <w:p>
      <w:pPr>
        <w:pStyle w:val="ListNumber"/>
      </w:pPr>
      <w:r>
        <w:rPr>
          <w:b/>
        </w:rPr>
        <w:t>Why In2IT EBS</w:t>
      </w:r>
      <w:r>
        <w:t xml:space="preserve"> — a teaser of the four reasons.</w:t>
      </w:r>
    </w:p>
    <w:p>
      <w:pPr>
        <w:pStyle w:val="ListNumber"/>
      </w:pPr>
      <w:r>
        <w:rPr>
          <w:b/>
        </w:rPr>
        <w:t>Clients &amp; case studies band</w:t>
      </w:r>
      <w:r>
        <w:t xml:space="preserve"> — a row of client logos plus two or three featured case-study cards (real names: a Telangana power utility, Triveni Turbines, WayCool Foods).</w:t>
      </w:r>
    </w:p>
    <w:p>
      <w:pPr>
        <w:pStyle w:val="ListNumber"/>
      </w:pPr>
      <w:r>
        <w:rPr>
          <w:b/>
        </w:rPr>
        <w:t>Partners &amp; ecosystem strip</w:t>
      </w:r>
      <w:r>
        <w:t xml:space="preserve"> — the grouped partner logos.</w:t>
      </w:r>
    </w:p>
    <w:p>
      <w:pPr>
        <w:pStyle w:val="ListNumber"/>
      </w:pPr>
      <w:r>
        <w:rPr>
          <w:b/>
        </w:rPr>
        <w:t>Credentials strip</w:t>
      </w:r>
      <w:r>
        <w:t xml:space="preserve"> — SAP Gold, RISE, PCE, CMMI, ISO.</w:t>
      </w:r>
    </w:p>
    <w:p>
      <w:pPr>
        <w:pStyle w:val="ListNumber"/>
      </w:pPr>
      <w:r>
        <w:rPr>
          <w:b/>
        </w:rPr>
        <w:t>Insights teaser ★ Additive</w:t>
      </w:r>
      <w:r>
        <w:t xml:space="preserve">, then a </w:t>
      </w:r>
      <w:r>
        <w:rPr>
          <w:b/>
        </w:rPr>
        <w:t>contact strip</w:t>
      </w:r>
      <w:r>
        <w:t xml:space="preserve"> with a short enquiry form.</w:t>
      </w:r>
    </w:p>
    <w:p>
      <w:pPr>
        <w:pStyle w:val="Heading3"/>
      </w:pPr>
      <w:r>
        <w:rPr>
          <w:color w:val="121E3B"/>
        </w:rPr>
        <w:t>6.2 Who We Are / About</w:t>
      </w:r>
    </w:p>
    <w:p>
      <w:r>
        <w:t xml:space="preserve">Banner → key statistics → a simple diagram of the three-pillar structure → the firm's footprint (4 delivery centres: Bengaluru, Hyderabad, Delhi NCR, Bhubaneswar; 6 sales offices: Mumbai, Chennai, Singapore, Dubai, Nairobi, Johannesburg — shown as a clear list) → credentials → </w:t>
      </w:r>
      <w:r>
        <w:rPr>
          <w:b/>
        </w:rPr>
        <w:t>leadership: two real photographs only</w:t>
      </w:r>
      <w:r>
        <w:t xml:space="preserve"> (Rudra Shankar Shatapathy and Parichay Joshi) → closing call to action. *We deliberately do not invent any additional leaders.* </w:t>
      </w:r>
      <w:r>
        <w:rPr>
          <w:b/>
        </w:rPr>
        <w:t>★ Additive (real headshots)</w:t>
      </w:r>
    </w:p>
    <w:p>
      <w:pPr>
        <w:pStyle w:val="Heading3"/>
      </w:pPr>
      <w:r>
        <w:rPr>
          <w:color w:val="121E3B"/>
        </w:rPr>
        <w:t>6.3 The three pillar pages (plus Delivery)</w:t>
      </w:r>
    </w:p>
    <w:p>
      <w:r>
        <w:t>All four follow the same recipe, so they feel like a set: a banner with the lettered badge and faint background pattern → an overview of that area's capabilities (the deck's four-box grids) → cards for each sub-area → one signature highlight for that area (for Digital, the 10-part AI map; for Delivery, the FastForward method) → links across to the other areas → call to action.</w:t>
      </w:r>
    </w:p>
    <w:p>
      <w:pPr>
        <w:pStyle w:val="Heading3"/>
      </w:pPr>
      <w:r>
        <w:rPr>
          <w:color w:val="121E3B"/>
        </w:rPr>
        <w:t>6.4 The deep SAP page — the flagship</w:t>
      </w:r>
    </w:p>
    <w:p>
      <w:r>
        <w:t xml:space="preserve">This is the richest page on the site (it draws on roughly 19 deck slides). Because it is long, it has a </w:t>
      </w:r>
      <w:r>
        <w:rPr>
          <w:b/>
        </w:rPr>
        <w:t>menu that follows you down the page</w:t>
      </w:r>
      <w:r>
        <w:t>, always showing which section you're in. Top to bottom:</w:t>
      </w:r>
    </w:p>
    <w:p>
      <w:pPr>
        <w:pStyle w:val="ListBullet"/>
      </w:pPr>
      <w:r>
        <w:rPr>
          <w:b/>
        </w:rPr>
        <w:t>Banner</w:t>
      </w:r>
      <w:r>
        <w:t xml:space="preserve"> — *"SAP Gold Partner. 300+ consultants. 1,000+ combined years."*</w:t>
      </w:r>
    </w:p>
    <w:p>
      <w:pPr>
        <w:pStyle w:val="ListBullet"/>
      </w:pPr>
      <w:r>
        <w:rPr>
          <w:b/>
        </w:rPr>
        <w:t>The SAP Gold Partner badge shown right below the banner</w:t>
      </w:r>
      <w:r>
        <w:t xml:space="preserve"> as a trust signal. </w:t>
      </w:r>
      <w:r>
        <w:rPr>
          <w:b/>
        </w:rPr>
        <w:t>★ Additive (badge placement)</w:t>
      </w:r>
    </w:p>
    <w:p>
      <w:pPr>
        <w:pStyle w:val="ListBullet"/>
      </w:pPr>
      <w:r>
        <w:rPr>
          <w:b/>
        </w:rPr>
        <w:t>Sections in the deck's order:</w:t>
      </w:r>
      <w:r>
        <w:t xml:space="preserve"> practice overview → the three routes to modern SAP (with the 30% / 25+ / 100% figures) → an honest "which route fits you" comparison → migrations (with the 99.5% accuracy figures) → SAP advisory → the HR suite and its AI health-check → expense, procurement and the Joule AI assistant → keeping the core "clean" → data migration → analytics → the custom-build factory → the SAP delivery toolkit → and a closing navy feature band on Converged Intelligence.</w:t>
      </w:r>
    </w:p>
    <w:p>
      <w:pPr>
        <w:pStyle w:val="ListBullet"/>
      </w:pPr>
      <w:r>
        <w:rPr>
          <w:b/>
        </w:rPr>
        <w:t>A short three-field enquiry form ★ Additive</w:t>
      </w:r>
      <w:r>
        <w:t xml:space="preserve"> before the final call to action.</w:t>
      </w:r>
    </w:p>
    <w:p>
      <w:pPr>
        <w:pStyle w:val="Heading3"/>
      </w:pPr>
      <w:r>
        <w:rPr>
          <w:color w:val="121E3B"/>
        </w:rPr>
        <w:t>6.5 Advisory page</w:t>
      </w:r>
    </w:p>
    <w:p>
      <w:r>
        <w:t>Banner → a four-box overview (Transformation Advisory, Strategy &amp; Governance, Enterprise Architecture, Change &amp; Assurance) → the three-tier engagement model (advise, build, run) → call to action. Accent-blue treatment throughout.</w:t>
      </w:r>
    </w:p>
    <w:p>
      <w:pPr>
        <w:pStyle w:val="Heading3"/>
      </w:pPr>
      <w:r>
        <w:rPr>
          <w:color w:val="121E3B"/>
        </w:rPr>
        <w:t>6.6 Digital, Data &amp; AI page</w:t>
      </w:r>
    </w:p>
    <w:p>
      <w:r>
        <w:t xml:space="preserve">Banner → four-box overview → the </w:t>
      </w:r>
      <w:r>
        <w:rPr>
          <w:b/>
        </w:rPr>
        <w:t>10-part AI capabilities map</w:t>
      </w:r>
      <w:r>
        <w:t xml:space="preserve"> as the centrepiece → cards for each sub-area → a band showing how industrial-AI projects are delivered in phases → call to action. Light-blue treatment.</w:t>
      </w:r>
    </w:p>
    <w:p>
      <w:pPr>
        <w:pStyle w:val="Heading3"/>
      </w:pPr>
      <w:r>
        <w:rPr>
          <w:color w:val="121E3B"/>
        </w:rPr>
        <w:t>6.7 Delivery Excellence page</w:t>
      </w:r>
    </w:p>
    <w:p>
      <w:r>
        <w:t xml:space="preserve">Banner → the </w:t>
      </w:r>
      <w:r>
        <w:rPr>
          <w:b/>
        </w:rPr>
        <w:t>FastForward</w:t>
      </w:r>
      <w:r>
        <w:t xml:space="preserve"> method (its four accelerating layers) → the </w:t>
      </w:r>
      <w:r>
        <w:rPr>
          <w:b/>
        </w:rPr>
        <w:t>16-week support-handover timeline</w:t>
      </w:r>
      <w:r>
        <w:t xml:space="preserve"> → the </w:t>
      </w:r>
      <w:r>
        <w:rPr>
          <w:b/>
        </w:rPr>
        <w:t>plan-build-run factory</w:t>
      </w:r>
      <w:r>
        <w:t xml:space="preserve"> workflow → the "one continuous engagement" model → call to action. Sand accent, signalling it is shared across all three areas.</w:t>
      </w:r>
    </w:p>
    <w:p>
      <w:pPr>
        <w:pStyle w:val="Heading3"/>
      </w:pPr>
      <w:r>
        <w:rPr>
          <w:color w:val="121E3B"/>
        </w:rPr>
        <w:t>6.8 Industries</w:t>
      </w:r>
    </w:p>
    <w:p>
      <w:r>
        <w:rPr>
          <w:b/>
        </w:rPr>
        <w:t>Index page:</w:t>
      </w:r>
      <w:r>
        <w:t xml:space="preserve"> banner (*"150+ global enterprises"*) → a grid of sectors (Food &amp; Beverages, Health &amp; Pharma, Apparel &amp; Fashion, Metals &amp; Mining, IT &amp; Professional Services, Infrastructure &amp; Housing, Automotive, Chemicals, public-sector enterprises, Services &amp; banking/insurance, Real Estate), each with a real industry photograph → more sectors → a wall of client logos → call to action.</w:t>
      </w:r>
    </w:p>
    <w:p>
      <w:r>
        <w:rPr>
          <w:b/>
        </w:rPr>
        <w:t>Sector page:</w:t>
      </w:r>
      <w:r>
        <w:t xml:space="preserve"> a navy-toned sector photo → the story → relevant case-study cards for that sector → call to action.</w:t>
      </w:r>
    </w:p>
    <w:p>
      <w:pPr>
        <w:pStyle w:val="Heading3"/>
      </w:pPr>
      <w:r>
        <w:rPr>
          <w:color w:val="121E3B"/>
        </w:rPr>
        <w:t>6.9 Clients &amp; Case Studies (the biggest brand-new section)</w:t>
      </w:r>
    </w:p>
    <w:p>
      <w:r>
        <w:t>Built from roughly 11 case studies in the deck.</w:t>
      </w:r>
    </w:p>
    <w:p>
      <w:r>
        <w:rPr>
          <w:b/>
        </w:rPr>
        <w:t>Index page:</w:t>
      </w:r>
      <w:r>
        <w:t xml:space="preserve"> banner → a </w:t>
      </w:r>
      <w:r>
        <w:rPr>
          <w:b/>
        </w:rPr>
        <w:t>grid of case studies you can filter</w:t>
      </w:r>
      <w:r>
        <w:t xml:space="preserve"> by sector, by SAP route, or by type of service ★ Additive (the filtering). Named studies include: a </w:t>
      </w:r>
      <w:r>
        <w:rPr>
          <w:b/>
        </w:rPr>
        <w:t>Telangana power utility, Wipro Infrastructure Engineering, WayCool Foods, VAHDAM India, Triveni Turbines, Kenya Railways, and two state electricity-transmission bodies</w:t>
      </w:r>
      <w:r>
        <w:t>. Three studies stay anonymous exactly as in the deck (a 1946 Japanese engineering consultancy, a Chandigarh IT-services provider, and an Indian education-technology "unicorn").</w:t>
      </w:r>
    </w:p>
    <w:p>
      <w:r>
        <w:rPr>
          <w:b/>
        </w:rPr>
        <w:t>Individual study page:</w:t>
      </w:r>
      <w:r>
        <w:t xml:space="preserve"> a navy banner leading with the headline result → the business situation → the customer benefits → what was delivered → a short "what made In2IT EBS different" quote → related studies → call to action.</w:t>
      </w:r>
    </w:p>
    <w:p>
      <w:pPr>
        <w:pStyle w:val="Heading3"/>
      </w:pPr>
      <w:r>
        <w:rPr>
          <w:color w:val="121E3B"/>
        </w:rPr>
        <w:t>6.10 Partners &amp; Ecosystem (brand-new)</w:t>
      </w:r>
    </w:p>
    <w:p>
      <w:r>
        <w:t xml:space="preserve">Banner → a grid in the deck's four groups — </w:t>
      </w:r>
      <w:r>
        <w:rPr>
          <w:b/>
        </w:rPr>
        <w:t>Application Platforms</w:t>
      </w:r>
      <w:r>
        <w:t xml:space="preserve"> (SAP, Salesforce, Workday, and SAP's expense/procurement/HR products), </w:t>
      </w:r>
      <w:r>
        <w:rPr>
          <w:b/>
        </w:rPr>
        <w:t>Cloud providers</w:t>
      </w:r>
      <w:r>
        <w:t xml:space="preserve"> (Amazon, Microsoft, Google), </w:t>
      </w:r>
      <w:r>
        <w:rPr>
          <w:b/>
        </w:rPr>
        <w:t>Data &amp; Analytics</w:t>
      </w:r>
      <w:r>
        <w:t xml:space="preserve"> (SAP's data tools, Syniti, Tableau, Power BI, Qlik, Snowflake, Databricks), and </w:t>
      </w:r>
      <w:r>
        <w:rPr>
          <w:b/>
        </w:rPr>
        <w:t>Specialised partners</w:t>
      </w:r>
      <w:r>
        <w:t xml:space="preserve"> (MuleSoft, OpenText, ServiceNow) → "+8 more" → call to action.</w:t>
      </w:r>
    </w:p>
    <w:p>
      <w:pPr>
        <w:pStyle w:val="Heading3"/>
      </w:pPr>
      <w:r>
        <w:rPr>
          <w:color w:val="121E3B"/>
        </w:rPr>
        <w:t>6.11 Why In2IT EBS</w:t>
      </w:r>
    </w:p>
    <w:p>
      <w:r>
        <w:t xml:space="preserve">Banner (*"Four reasons"*) → reason 01, </w:t>
      </w:r>
      <w:r>
        <w:rPr>
          <w:b/>
        </w:rPr>
        <w:t>Converged Intelligence</w:t>
      </w:r>
      <w:r>
        <w:t xml:space="preserve">, as a large navy lead band → three supporting cards: </w:t>
      </w:r>
      <w:r>
        <w:rPr>
          <w:b/>
        </w:rPr>
        <w:t>02 Partnership Depth</w:t>
      </w:r>
      <w:r>
        <w:t xml:space="preserve">, </w:t>
      </w:r>
      <w:r>
        <w:rPr>
          <w:b/>
        </w:rPr>
        <w:t>03 Delivery Economics</w:t>
      </w:r>
      <w:r>
        <w:t xml:space="preserve"> ([380+ / 550+] employees, 4 centres + 6 offices, 1,000+ SAP years), </w:t>
      </w:r>
      <w:r>
        <w:rPr>
          <w:b/>
        </w:rPr>
        <w:t>04 Accelerated Outcomes</w:t>
      </w:r>
      <w:r>
        <w:t xml:space="preserve"> (FastForward, up to 30% faster). Note this is now </w:t>
      </w:r>
      <w:r>
        <w:rPr>
          <w:b/>
        </w:rPr>
        <w:t>four</w:t>
      </w:r>
      <w:r>
        <w:t xml:space="preserve"> reasons, not three.</w:t>
      </w:r>
    </w:p>
    <w:p>
      <w:pPr>
        <w:pStyle w:val="Heading3"/>
      </w:pPr>
      <w:r>
        <w:rPr>
          <w:color w:val="121E3B"/>
        </w:rPr>
        <w:t>6.12 Contact</w:t>
      </w:r>
    </w:p>
    <w:p>
      <w:r>
        <w:t>Banner (*"Let's talk about your transformation"*) → an enquiry form (name, work email, company, region, area of interest, message) → India offices and global entities (the real addresses from the deck) → regional contacts → certifications → a thank-you page.</w:t>
      </w:r>
    </w:p>
    <w:p>
      <w:pPr>
        <w:pStyle w:val="Heading2"/>
      </w:pPr>
      <w:r>
        <w:rPr>
          <w:color w:val="121E3B"/>
        </w:rPr>
        <w:t>7. The reusable building blocks — described by how they look</w:t>
      </w:r>
    </w:p>
    <w:p>
      <w:r>
        <w:t>The website is assembled from a small kit of repeatable pieces, so it feels consistent everywhere.</w:t>
      </w:r>
    </w:p>
    <w:p>
      <w:pPr>
        <w:pStyle w:val="ListBullet"/>
      </w:pPr>
      <w:r>
        <w:rPr>
          <w:b/>
        </w:rPr>
        <w:t>The banner.</w:t>
      </w:r>
      <w:r>
        <w:t xml:space="preserve"> Several flavours: the big home banner (headline + moving dot-graphic + proof line + two buttons); the pillar banner (lettered badge + faint pattern); a case-study banner (navy, leading with the big result); and an industry banner (a full photo with a navy wash over it).</w:t>
      </w:r>
    </w:p>
    <w:p>
      <w:pPr>
        <w:pStyle w:val="ListBullet"/>
      </w:pPr>
      <w:r>
        <w:rPr>
          <w:b/>
        </w:rPr>
        <w:t>The signature card</w:t>
      </w:r>
      <w:r>
        <w:t xml:space="preserve"> — like a finely machined metal plate. A clean panel with softly rounded corners, a hairline border, a gentle shadow, and a subtle inner inset line. </w:t>
      </w:r>
      <w:r>
        <w:rPr>
          <w:b/>
        </w:rPr>
        <w:t>★ Additive:</w:t>
      </w:r>
      <w:r>
        <w:t xml:space="preserve"> a thin coloured stripe down the left edge tells you which business area the card belongs to.</w:t>
      </w:r>
    </w:p>
    <w:p>
      <w:pPr>
        <w:pStyle w:val="ListBullet"/>
      </w:pPr>
      <w:r>
        <w:rPr>
          <w:b/>
        </w:rPr>
        <w:t>The statistics band.</w:t>
      </w:r>
      <w:r>
        <w:t xml:space="preserve"> Large editorial numbers with small capital-letter labels; the numbers count up as they come into view. (One agreed employee figure throughout.)</w:t>
      </w:r>
    </w:p>
    <w:p>
      <w:pPr>
        <w:pStyle w:val="ListBullet"/>
      </w:pPr>
      <w:r>
        <w:rPr>
          <w:b/>
        </w:rPr>
        <w:t>The logo wall.</w:t>
      </w:r>
      <w:r>
        <w:t xml:space="preserve"> Rows of client or partner logos, evenly sized, that can brighten from grey to colour as you point at them.</w:t>
      </w:r>
    </w:p>
    <w:p>
      <w:pPr>
        <w:pStyle w:val="ListBullet"/>
      </w:pPr>
      <w:r>
        <w:rPr>
          <w:b/>
        </w:rPr>
        <w:t>The case-study card ★ Additive.</w:t>
      </w:r>
      <w:r>
        <w:t xml:space="preserve"> Either a real industry photo or a navy "result card" (one big number, no photo needed), with the headline outcome, small tags (such as the SAP route used), and a clear "Read the case study" button.</w:t>
      </w:r>
    </w:p>
    <w:p>
      <w:pPr>
        <w:pStyle w:val="ListBullet"/>
      </w:pPr>
      <w:r>
        <w:rPr>
          <w:b/>
        </w:rPr>
        <w:t>The partner ecosystem grid ★ Additive.</w:t>
      </w:r>
      <w:r>
        <w:t xml:space="preserve"> Four labelled groups of evenly sized logos, grey by default and colourful on hover.</w:t>
      </w:r>
    </w:p>
    <w:p>
      <w:pPr>
        <w:pStyle w:val="ListBullet"/>
      </w:pPr>
      <w:r>
        <w:rPr>
          <w:b/>
        </w:rPr>
        <w:t>The honest "which route fits you" comparison ★ Additive.</w:t>
      </w:r>
      <w:r>
        <w:t xml:space="preserve"> A neutral two-column side-by-side of the two main SAP routes, with matched rows (best for, flexibility, time, cost, and so on) and no "winner" colouring — deliberately even-handed, plus a panel explaining the firm's free two-week assessment to help clients choose.</w:t>
      </w:r>
    </w:p>
    <w:p>
      <w:pPr>
        <w:pStyle w:val="ListBullet"/>
      </w:pPr>
      <w:r>
        <w:rPr>
          <w:b/>
        </w:rPr>
        <w:t>The 10-part AI map ★ Additive.</w:t>
      </w:r>
      <w:r>
        <w:t xml:space="preserve"> A tidy grid of ten AI capability areas in four groups, tied together by the connected-dots motif.</w:t>
      </w:r>
    </w:p>
    <w:p>
      <w:pPr>
        <w:pStyle w:val="ListBullet"/>
      </w:pPr>
      <w:r>
        <w:rPr>
          <w:b/>
        </w:rPr>
        <w:t>The "three routes" / migrations trio ★ Additive.</w:t>
      </w:r>
      <w:r>
        <w:t xml:space="preserve"> Three equal cards with a strip of key figures beneath — reused for both the SAP routes and the migration approaches.</w:t>
      </w:r>
    </w:p>
    <w:p>
      <w:pPr>
        <w:pStyle w:val="ListBullet"/>
      </w:pPr>
      <w:r>
        <w:rPr>
          <w:b/>
        </w:rPr>
        <w:t>The method and timeline blocks.</w:t>
      </w:r>
      <w:r>
        <w:t xml:space="preserve"> The FastForward four layers; the 16-week handover shown as a horizontal timeline with quality checkpoints; the plan-build-run factory lanes.</w:t>
      </w:r>
    </w:p>
    <w:p>
      <w:pPr>
        <w:pStyle w:val="ListBullet"/>
      </w:pPr>
      <w:r>
        <w:rPr>
          <w:b/>
        </w:rPr>
        <w:t>The Converged Intelligence stack.</w:t>
      </w:r>
      <w:r>
        <w:t xml:space="preserve"> The firm's four-layer signature diagram on a navy background.</w:t>
      </w:r>
    </w:p>
    <w:p>
      <w:pPr>
        <w:pStyle w:val="ListBullet"/>
      </w:pPr>
      <w:r>
        <w:rPr>
          <w:b/>
        </w:rPr>
        <w:t>The leadership block ★ Additive (real photos).</w:t>
      </w:r>
      <w:r>
        <w:t xml:space="preserve"> Two professional headshots with name and title.</w:t>
      </w:r>
    </w:p>
    <w:p>
      <w:pPr>
        <w:pStyle w:val="ListBullet"/>
      </w:pPr>
      <w:r>
        <w:rPr>
          <w:b/>
        </w:rPr>
        <w:t>The call-to-action band.</w:t>
      </w:r>
      <w:r>
        <w:t xml:space="preserve"> A navy strip with a primary "Book a discovery workshop" button and a *specific* secondary button per page (such as "Compare the two SAP routes" or "Read the case study") — replacing vague "Explore" or "View" buttons. </w:t>
      </w:r>
      <w:r>
        <w:rPr>
          <w:b/>
        </w:rPr>
        <w:t>★ Additive (specific wording)</w:t>
      </w:r>
    </w:p>
    <w:p>
      <w:pPr>
        <w:pStyle w:val="Heading2"/>
      </w:pPr>
      <w:r>
        <w:rPr>
          <w:color w:val="121E3B"/>
        </w:rPr>
        <w:t>8. The imagery plan — exactly what picture goes where</w:t>
      </w:r>
    </w:p>
    <w:p>
      <w:r>
        <w:t xml:space="preserve">The single biggest gap today is that the current materials use </w:t>
      </w:r>
      <w:r>
        <w:rPr>
          <w:b/>
        </w:rPr>
        <w:t>no photography at all</w:t>
      </w:r>
      <w:r>
        <w:t>. The fix is a disciplined picture system — not random stock decoration. Every image must pass a simple test: would it look at home in a quality business newspaper? Does it show real operations rather than generic stock? Is it cool-toned, so it sits naturally with navy and blue? Will it still look current in two years?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Where</w:t>
            </w:r>
          </w:p>
        </w:tc>
        <w:tc>
          <w:tcPr>
            <w:tcW w:type="dxa" w:w="2880"/>
          </w:tcPr>
          <w:p>
            <w:r>
              <w:rPr>
                <w:b/>
                <w:sz w:val="19"/>
              </w:rPr>
              <w:t>What kind of picture</w:t>
            </w:r>
          </w:p>
        </w:tc>
        <w:tc>
          <w:tcPr>
            <w:tcW w:type="dxa" w:w="2880"/>
          </w:tcPr>
          <w:p>
            <w:r>
              <w:rPr>
                <w:b/>
                <w:sz w:val="19"/>
              </w:rPr>
              <w:t>The consistent treatment</w:t>
            </w:r>
          </w:p>
        </w:tc>
      </w:tr>
      <w:tr>
        <w:tc>
          <w:tcPr>
            <w:tcW w:type="dxa" w:w="2880"/>
          </w:tcPr>
          <w:p>
            <w:r>
              <w:rPr>
                <w:sz w:val="19"/>
              </w:rPr>
              <w:t>Home banner</w:t>
            </w:r>
          </w:p>
        </w:tc>
        <w:tc>
          <w:tcPr>
            <w:tcW w:type="dxa" w:w="2880"/>
          </w:tcPr>
          <w:p>
            <w:r>
              <w:rPr>
                <w:sz w:val="19"/>
              </w:rPr>
              <w:t>An abstract "connected dots" graphic on navy, with light- and pale-blue points. Sits beside the headline, not behind it.</w:t>
            </w:r>
          </w:p>
        </w:tc>
        <w:tc>
          <w:tcPr>
            <w:tcW w:type="dxa" w:w="2880"/>
          </w:tcPr>
          <w:p>
            <w:r>
              <w:rPr>
                <w:sz w:val="19"/>
              </w:rPr>
              <w:t>No people, offices, globes or handshakes. A brand-built graphic, so it can move gently and costs nothing in licensing.</w:t>
            </w:r>
          </w:p>
        </w:tc>
      </w:tr>
      <w:tr>
        <w:tc>
          <w:tcPr>
            <w:tcW w:type="dxa" w:w="2880"/>
          </w:tcPr>
          <w:p>
            <w:r>
              <w:rPr>
                <w:sz w:val="19"/>
              </w:rPr>
              <w:t>Pillar pages ★ Additive</w:t>
            </w:r>
          </w:p>
        </w:tc>
        <w:tc>
          <w:tcPr>
            <w:tcW w:type="dxa" w:w="2880"/>
          </w:tcPr>
          <w:p>
            <w:r>
              <w:rPr>
                <w:sz w:val="19"/>
              </w:rPr>
              <w:t>Each area's faint background pattern (layered tiles / arcs / connected dots / lanes).</w:t>
            </w:r>
          </w:p>
        </w:tc>
        <w:tc>
          <w:tcPr>
            <w:tcW w:type="dxa" w:w="2880"/>
          </w:tcPr>
          <w:p>
            <w:r>
              <w:rPr>
                <w:sz w:val="19"/>
              </w:rPr>
              <w:t>Single-line, one-colour, one illustration family.</w:t>
            </w:r>
          </w:p>
        </w:tc>
      </w:tr>
      <w:tr>
        <w:tc>
          <w:tcPr>
            <w:tcW w:type="dxa" w:w="2880"/>
          </w:tcPr>
          <w:p>
            <w:r>
              <w:rPr>
                <w:sz w:val="19"/>
              </w:rPr>
              <w:t>Industry pages</w:t>
            </w:r>
          </w:p>
        </w:tc>
        <w:tc>
          <w:tcPr>
            <w:tcW w:type="dxa" w:w="2880"/>
          </w:tcPr>
          <w:p>
            <w:r>
              <w:rPr>
                <w:sz w:val="19"/>
              </w:rPr>
              <w:t>Real operational photography — a factory floor, a power line, a turbine hall, a rail yard, a lab, a warehouse, a utility site.</w:t>
            </w:r>
          </w:p>
        </w:tc>
        <w:tc>
          <w:tcPr>
            <w:tcW w:type="dxa" w:w="2880"/>
          </w:tcPr>
          <w:p>
            <w:r>
              <w:rPr>
                <w:sz w:val="19"/>
              </w:rPr>
              <w:t>Every photo is toned to match the brand (slightly desaturated with a navy wash) so all photos feel like one set, with a navy gradient so banner text stays readable.</w:t>
            </w:r>
          </w:p>
        </w:tc>
      </w:tr>
      <w:tr>
        <w:tc>
          <w:tcPr>
            <w:tcW w:type="dxa" w:w="2880"/>
          </w:tcPr>
          <w:p>
            <w:r>
              <w:rPr>
                <w:sz w:val="19"/>
              </w:rPr>
              <w:t>Case studies</w:t>
            </w:r>
          </w:p>
        </w:tc>
        <w:tc>
          <w:tcPr>
            <w:tcW w:type="dxa" w:w="2880"/>
          </w:tcPr>
          <w:p>
            <w:r>
              <w:rPr>
                <w:sz w:val="19"/>
              </w:rPr>
              <w:t>A 16:9 industry photo, or a navy "result card" with one big number and no photo at all.</w:t>
            </w:r>
          </w:p>
        </w:tc>
        <w:tc>
          <w:tcPr>
            <w:tcW w:type="dxa" w:w="2880"/>
          </w:tcPr>
          <w:p>
            <w:r>
              <w:rPr>
                <w:sz w:val="19"/>
              </w:rPr>
              <w:t>Same navy toning; never generic office stock. Anonymous studies use a sector photo with no identifying logo or name.</w:t>
            </w:r>
          </w:p>
        </w:tc>
      </w:tr>
      <w:tr>
        <w:tc>
          <w:tcPr>
            <w:tcW w:type="dxa" w:w="2880"/>
          </w:tcPr>
          <w:p>
            <w:r>
              <w:rPr>
                <w:sz w:val="19"/>
              </w:rPr>
              <w:t>Leadership ★ Additive</w:t>
            </w:r>
          </w:p>
        </w:tc>
        <w:tc>
          <w:tcPr>
            <w:tcW w:type="dxa" w:w="2880"/>
          </w:tcPr>
          <w:p>
            <w:r>
              <w:rPr>
                <w:sz w:val="19"/>
              </w:rPr>
              <w:t>Two professional studio headshots (the two named leaders), neutral background, circular crop.</w:t>
            </w:r>
          </w:p>
        </w:tc>
        <w:tc>
          <w:tcPr>
            <w:tcW w:type="dxa" w:w="2880"/>
          </w:tcPr>
          <w:p>
            <w:r>
              <w:rPr>
                <w:sz w:val="19"/>
              </w:rPr>
              <w:t>Cool, neutral lighting to sit with navy. The simplest, highest-trust improvement.</w:t>
            </w:r>
          </w:p>
        </w:tc>
      </w:tr>
      <w:tr>
        <w:tc>
          <w:tcPr>
            <w:tcW w:type="dxa" w:w="2880"/>
          </w:tcPr>
          <w:p>
            <w:r>
              <w:rPr>
                <w:sz w:val="19"/>
              </w:rPr>
              <w:t>Partners</w:t>
            </w:r>
          </w:p>
        </w:tc>
        <w:tc>
          <w:tcPr>
            <w:tcW w:type="dxa" w:w="2880"/>
          </w:tcPr>
          <w:p>
            <w:r>
              <w:rPr>
                <w:sz w:val="19"/>
              </w:rPr>
              <w:t>Official partner and cloud-provider logos, grey by default, colour on hover.</w:t>
            </w:r>
          </w:p>
        </w:tc>
        <w:tc>
          <w:tcPr>
            <w:tcW w:type="dxa" w:w="2880"/>
          </w:tcPr>
          <w:p>
            <w:r>
              <w:rPr>
                <w:sz w:val="19"/>
              </w:rPr>
              <w:t>Equal sizing; each brand's required clear space respected.</w:t>
            </w:r>
          </w:p>
        </w:tc>
      </w:tr>
      <w:tr>
        <w:tc>
          <w:tcPr>
            <w:tcW w:type="dxa" w:w="2880"/>
          </w:tcPr>
          <w:p>
            <w:r>
              <w:rPr>
                <w:sz w:val="19"/>
              </w:rPr>
              <w:t>Content backgrounds</w:t>
            </w:r>
          </w:p>
        </w:tc>
        <w:tc>
          <w:tcPr>
            <w:tcW w:type="dxa" w:w="2880"/>
          </w:tcPr>
          <w:p>
            <w:r>
              <w:rPr>
                <w:sz w:val="19"/>
              </w:rPr>
              <w:t>White or off-white for content; navy for banners, feature bands, calls to action and the footer.</w:t>
            </w:r>
          </w:p>
        </w:tc>
        <w:tc>
          <w:tcPr>
            <w:tcW w:type="dxa" w:w="2880"/>
          </w:tcPr>
          <w:p>
            <w:r>
              <w:rPr>
                <w:sz w:val="19"/>
              </w:rPr>
              <w:t>No photos behind ordinary content — photography is reserved for industry and case-study banners and cards only.</w:t>
            </w:r>
          </w:p>
        </w:tc>
      </w:tr>
    </w:tbl>
    <w:p/>
    <w:p>
      <w:r>
        <w:rPr>
          <w:b/>
        </w:rPr>
        <w:t>Logo rules (the firm's own brand standard).</w:t>
      </w:r>
      <w:r>
        <w:t xml:space="preserve"> There are three approved logo versions — </w:t>
      </w:r>
      <w:r>
        <w:rPr>
          <w:b/>
        </w:rPr>
        <w:t>navy</w:t>
      </w:r>
      <w:r>
        <w:t xml:space="preserve"> on light backgrounds, </w:t>
      </w:r>
      <w:r>
        <w:rPr>
          <w:b/>
        </w:rPr>
        <w:t>light blue</w:t>
      </w:r>
      <w:r>
        <w:t xml:space="preserve"> on dark/navy backgrounds, and </w:t>
      </w:r>
      <w:r>
        <w:rPr>
          <w:b/>
        </w:rPr>
        <w:t>white</w:t>
      </w:r>
      <w:r>
        <w:t xml:space="preserve"> on photos or dark fills. Always keep the logo's proportions (never stretch or squash it), keep clear space around it at least equal to the height of the letter "E" in "EBS", never recolour it beyond the three approved versions, and never place a low-contrast version on a clashing background. On the toned industry and case-study photos, use the </w:t>
      </w:r>
      <w:r>
        <w:rPr>
          <w:b/>
        </w:rPr>
        <w:t>white</w:t>
      </w:r>
      <w:r>
        <w:t xml:space="preserve"> logo.</w:t>
      </w:r>
    </w:p>
    <w:p>
      <w:pPr>
        <w:pStyle w:val="Heading2"/>
      </w:pPr>
      <w:r>
        <w:rPr>
          <w:color w:val="121E3B"/>
        </w:rPr>
        <w:t>9. The motion — what gently moves, and where</w:t>
      </w:r>
    </w:p>
    <w:p>
      <w:r>
        <w:t xml:space="preserve">Movement is calm and purposeful. The research found that the strongest sites use one confident banner and that auto-rotating slideshows are the most common mistake — so </w:t>
      </w:r>
      <w:r>
        <w:rPr>
          <w:b/>
        </w:rPr>
        <w:t>we never use a rotating slideshow for main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What moves</w:t>
            </w:r>
          </w:p>
        </w:tc>
        <w:tc>
          <w:tcPr>
            <w:tcW w:type="dxa" w:w="2880"/>
          </w:tcPr>
          <w:p>
            <w:r>
              <w:rPr>
                <w:b/>
                <w:sz w:val="19"/>
              </w:rPr>
              <w:t>Where</w:t>
            </w:r>
          </w:p>
        </w:tc>
        <w:tc>
          <w:tcPr>
            <w:tcW w:type="dxa" w:w="2880"/>
          </w:tcPr>
          <w:p>
            <w:r>
              <w:rPr>
                <w:b/>
                <w:sz w:val="19"/>
              </w:rPr>
              <w:t>How it feels</w:t>
            </w:r>
          </w:p>
        </w:tc>
      </w:tr>
      <w:tr>
        <w:tc>
          <w:tcPr>
            <w:tcW w:type="dxa" w:w="2880"/>
          </w:tcPr>
          <w:p>
            <w:r>
              <w:rPr>
                <w:sz w:val="19"/>
              </w:rPr>
              <w:t>Soft fade-in</w:t>
            </w:r>
          </w:p>
        </w:tc>
        <w:tc>
          <w:tcPr>
            <w:tcW w:type="dxa" w:w="2880"/>
          </w:tcPr>
          <w:p>
            <w:r>
              <w:rPr>
                <w:sz w:val="19"/>
              </w:rPr>
              <w:t>Every section</w:t>
            </w:r>
          </w:p>
        </w:tc>
        <w:tc>
          <w:tcPr>
            <w:tcW w:type="dxa" w:w="2880"/>
          </w:tcPr>
          <w:p>
            <w:r>
              <w:rPr>
                <w:sz w:val="19"/>
              </w:rPr>
              <w:t>Content fades and rises a touch as it scrolls into view; items in a group appear one shortly after another.</w:t>
            </w:r>
          </w:p>
        </w:tc>
      </w:tr>
      <w:tr>
        <w:tc>
          <w:tcPr>
            <w:tcW w:type="dxa" w:w="2880"/>
          </w:tcPr>
          <w:p>
            <w:r>
              <w:rPr>
                <w:sz w:val="19"/>
              </w:rPr>
              <w:t>Counting numbers</w:t>
            </w:r>
          </w:p>
        </w:tc>
        <w:tc>
          <w:tcPr>
            <w:tcW w:type="dxa" w:w="2880"/>
          </w:tcPr>
          <w:p>
            <w:r>
              <w:rPr>
                <w:sz w:val="19"/>
              </w:rPr>
              <w:t>Statistics bands</w:t>
            </w:r>
          </w:p>
        </w:tc>
        <w:tc>
          <w:tcPr>
            <w:tcW w:type="dxa" w:w="2880"/>
          </w:tcPr>
          <w:p>
            <w:r>
              <w:rPr>
                <w:sz w:val="19"/>
              </w:rPr>
              <w:t>Figures count up once when you reach them.</w:t>
            </w:r>
          </w:p>
        </w:tc>
      </w:tr>
      <w:tr>
        <w:tc>
          <w:tcPr>
            <w:tcW w:type="dxa" w:w="2880"/>
          </w:tcPr>
          <w:p>
            <w:r>
              <w:rPr>
                <w:sz w:val="19"/>
              </w:rPr>
              <w:t>The dot-graphic</w:t>
            </w:r>
          </w:p>
        </w:tc>
        <w:tc>
          <w:tcPr>
            <w:tcW w:type="dxa" w:w="2880"/>
          </w:tcPr>
          <w:p>
            <w:r>
              <w:rPr>
                <w:sz w:val="19"/>
              </w:rPr>
              <w:t>Home banner</w:t>
            </w:r>
          </w:p>
        </w:tc>
        <w:tc>
          <w:tcPr>
            <w:tcW w:type="dxa" w:w="2880"/>
          </w:tcPr>
          <w:p>
            <w:r>
              <w:rPr>
                <w:sz w:val="19"/>
              </w:rPr>
              <w:t>The points pulse and drift very slowly.</w:t>
            </w:r>
          </w:p>
        </w:tc>
      </w:tr>
      <w:tr>
        <w:tc>
          <w:tcPr>
            <w:tcW w:type="dxa" w:w="2880"/>
          </w:tcPr>
          <w:p>
            <w:r>
              <w:rPr>
                <w:sz w:val="19"/>
              </w:rPr>
              <w:t>The follow-along menu</w:t>
            </w:r>
          </w:p>
        </w:tc>
        <w:tc>
          <w:tcPr>
            <w:tcW w:type="dxa" w:w="2880"/>
          </w:tcPr>
          <w:p>
            <w:r>
              <w:rPr>
                <w:sz w:val="19"/>
              </w:rPr>
              <w:t>SAP page</w:t>
            </w:r>
          </w:p>
        </w:tc>
        <w:tc>
          <w:tcPr>
            <w:tcW w:type="dxa" w:w="2880"/>
          </w:tcPr>
          <w:p>
            <w:r>
              <w:rPr>
                <w:sz w:val="19"/>
              </w:rPr>
              <w:t>The current section quietly highlights itself as you scroll.</w:t>
            </w:r>
          </w:p>
        </w:tc>
      </w:tr>
      <w:tr>
        <w:tc>
          <w:tcPr>
            <w:tcW w:type="dxa" w:w="2880"/>
          </w:tcPr>
          <w:p>
            <w:r>
              <w:rPr>
                <w:sz w:val="19"/>
              </w:rPr>
              <w:t>Card lift on hover</w:t>
            </w:r>
          </w:p>
        </w:tc>
        <w:tc>
          <w:tcPr>
            <w:tcW w:type="dxa" w:w="2880"/>
          </w:tcPr>
          <w:p>
            <w:r>
              <w:rPr>
                <w:sz w:val="19"/>
              </w:rPr>
              <w:t>All cards</w:t>
            </w:r>
          </w:p>
        </w:tc>
        <w:tc>
          <w:tcPr>
            <w:tcW w:type="dxa" w:w="2880"/>
          </w:tcPr>
          <w:p>
            <w:r>
              <w:rPr>
                <w:sz w:val="19"/>
              </w:rPr>
              <w:t>A card rises slightly and its edge stripe brightens when you point at it.</w:t>
            </w:r>
          </w:p>
        </w:tc>
      </w:tr>
      <w:tr>
        <w:tc>
          <w:tcPr>
            <w:tcW w:type="dxa" w:w="2880"/>
          </w:tcPr>
          <w:p>
            <w:r>
              <w:rPr>
                <w:sz w:val="19"/>
              </w:rPr>
              <w:t>Menu open</w:t>
            </w:r>
          </w:p>
        </w:tc>
        <w:tc>
          <w:tcPr>
            <w:tcW w:type="dxa" w:w="2880"/>
          </w:tcPr>
          <w:p>
            <w:r>
              <w:rPr>
                <w:sz w:val="19"/>
              </w:rPr>
              <w:t>Top bar</w:t>
            </w:r>
          </w:p>
        </w:tc>
        <w:tc>
          <w:tcPr>
            <w:tcW w:type="dxa" w:w="2880"/>
          </w:tcPr>
          <w:p>
            <w:r>
              <w:rPr>
                <w:sz w:val="19"/>
              </w:rPr>
              <w:t>The menu fades and slides down gently.</w:t>
            </w:r>
          </w:p>
        </w:tc>
      </w:tr>
      <w:tr>
        <w:tc>
          <w:tcPr>
            <w:tcW w:type="dxa" w:w="2880"/>
          </w:tcPr>
          <w:p>
            <w:r>
              <w:rPr>
                <w:sz w:val="19"/>
              </w:rPr>
              <w:t>Case-study filtering ★ Additive</w:t>
            </w:r>
          </w:p>
        </w:tc>
        <w:tc>
          <w:tcPr>
            <w:tcW w:type="dxa" w:w="2880"/>
          </w:tcPr>
          <w:p>
            <w:r>
              <w:rPr>
                <w:sz w:val="19"/>
              </w:rPr>
              <w:t>Case-studies page</w:t>
            </w:r>
          </w:p>
        </w:tc>
        <w:tc>
          <w:tcPr>
            <w:tcW w:type="dxa" w:w="2880"/>
          </w:tcPr>
          <w:p>
            <w:r>
              <w:rPr>
                <w:sz w:val="19"/>
              </w:rPr>
              <w:t>Cards re-arrange smoothly when you change a filter.</w:t>
            </w:r>
          </w:p>
        </w:tc>
      </w:tr>
    </w:tbl>
    <w:p/>
    <w:p>
      <w:r>
        <w:rPr>
          <w:b/>
        </w:rPr>
        <w:t>Important:</w:t>
      </w:r>
      <w:r>
        <w:t xml:space="preserve"> anyone whose device is set to reduce motion (a standard accessibility setting) sees a still version — numbers simply appear at their final value and nothing drifts or animates. This protects people who find movement uncomfortable.</w:t>
      </w:r>
    </w:p>
    <w:p>
      <w:pPr>
        <w:pStyle w:val="Heading2"/>
      </w:pPr>
      <w:r>
        <w:rPr>
          <w:color w:val="121E3B"/>
        </w:rPr>
        <w:t>10. Accessibility, mobile and speed — in plain terms</w:t>
      </w:r>
    </w:p>
    <w:p>
      <w:r>
        <w:rPr>
          <w:b/>
        </w:rPr>
        <w:t>Accessibility (so everyone can use it).</w:t>
      </w:r>
      <w:r>
        <w:t xml:space="preserve"> The site is built to a recognised accessibility standard. Text contrast is strong enough to read comfortably; small accent-blue text is deepened to be safe. Everything can be operated with a keyboard alone, not just a mouse — important for people who cannot use a pointer. Colour is never the *only* way information is conveyed (the area badges always carry a letter as well as a colour). Every photo and logo has a written description for screen-reader users, and all movement respects the "reduce motion" setting.</w:t>
      </w:r>
    </w:p>
    <w:p>
      <w:r>
        <w:rPr>
          <w:b/>
        </w:rPr>
        <w:t>Mobile (phones and tablets).</w:t>
      </w:r>
      <w:r>
        <w:t xml:space="preserve"> The layout is designed for small screens first. On a phone, the top menu collapses into a tidy expandable menu with the main button and region switcher kept handy; multi-column grids stack into a single readable column; the long SAP page's follow-along menu becomes a slim bar across the top; and spacing tightens so pages don't feel stretched.</w:t>
      </w:r>
    </w:p>
    <w:p>
      <w:r>
        <w:rPr>
          <w:b/>
        </w:rPr>
        <w:t>Speed.</w:t>
      </w:r>
      <w:r>
        <w:t xml:space="preserve"> Pages are built to load fast and feel instant. Photos are delivered in efficient, modern formats and only loaded as you scroll to them; the two fonts are hosted by the firm itself (no reliance on an outside service); a single icon set keeps the site lean; and image spaces are reserved in advance so nothing jumps around while loading. The target is a fast first view and a stable, no-jump layout.</w:t>
      </w:r>
    </w:p>
    <w:p>
      <w:pPr>
        <w:pStyle w:val="Heading2"/>
      </w:pPr>
      <w:r>
        <w:rPr>
          <w:color w:val="121E3B"/>
        </w:rPr>
        <w:t>11. Summary — what changes for the build team</w:t>
      </w:r>
    </w:p>
    <w:p>
      <w:pPr>
        <w:pStyle w:val="ListBullet"/>
      </w:pPr>
      <w:r>
        <w:t xml:space="preserve">The "Why choose us" section becomes </w:t>
      </w:r>
      <w:r>
        <w:rPr>
          <w:b/>
        </w:rPr>
        <w:t>four reasons</w:t>
      </w:r>
      <w:r>
        <w:t xml:space="preserve"> (one lead idea plus three supporting), matching the deck.</w:t>
      </w:r>
    </w:p>
    <w:p>
      <w:pPr>
        <w:pStyle w:val="ListBullet"/>
      </w:pPr>
      <w:r>
        <w:rPr>
          <w:b/>
        </w:rPr>
        <w:t>New building blocks needed:</w:t>
      </w:r>
      <w:r>
        <w:t xml:space="preserve"> the pillar banner, the honest two-route comparison, the 10-part AI map, the three-routes/migrations trio, the case-study card and filterable index, the partner grid, the three-pillar diagram, the named-result proof line, and the industry photo banner.</w:t>
      </w:r>
    </w:p>
    <w:p>
      <w:pPr>
        <w:pStyle w:val="ListBullet"/>
      </w:pPr>
      <w:r>
        <w:rPr>
          <w:b/>
        </w:rPr>
        <w:t>Existing cards gain</w:t>
      </w:r>
      <w:r>
        <w:t xml:space="preserve"> a coloured left edge; </w:t>
      </w:r>
      <w:r>
        <w:rPr>
          <w:b/>
        </w:rPr>
        <w:t>leadership gains</w:t>
      </w:r>
      <w:r>
        <w:t xml:space="preserve"> two real headshots (and no invented extra leaders).</w:t>
      </w:r>
    </w:p>
    <w:p>
      <w:pPr>
        <w:pStyle w:val="ListBullet"/>
      </w:pPr>
      <w:r>
        <w:rPr>
          <w:b/>
        </w:rPr>
        <w:t>New sections in the navigation:</w:t>
      </w:r>
      <w:r>
        <w:t xml:space="preserve"> Clients &amp; Case Studies, and Partners &amp; Ecosystem; the main menu is regrouped by the three pillars, with the firm's own named tools surfaced.</w:t>
      </w:r>
    </w:p>
    <w:p>
      <w:pPr>
        <w:pStyle w:val="ListBullet"/>
      </w:pPr>
      <w:r>
        <w:rPr>
          <w:b/>
        </w:rPr>
        <w:t>Decisions needed from you before building:</w:t>
      </w:r>
      <w:r>
        <w:t xml:space="preserve"> the employee count (380+ or 550+), the wording of the speed claim ("up to 30% faster"), and whether the two "accelerator" counts are genuinely different.</w:t>
      </w:r>
    </w:p>
    <w:p>
      <w:pPr>
        <w:pStyle w:val="Heading2"/>
      </w:pPr>
      <w:r>
        <w:rPr>
          <w:color w:val="121E3B"/>
        </w:rPr>
        <w:t>Glossary — plain-language definitions</w:t>
      </w:r>
    </w:p>
    <w:p>
      <w:pPr>
        <w:pStyle w:val="ListBullet"/>
      </w:pPr>
      <w:r>
        <w:rPr>
          <w:b/>
        </w:rPr>
        <w:t>AI (Artificial Intelligence):</w:t>
      </w:r>
      <w:r>
        <w:t xml:space="preserve"> software that performs tasks normally needing human judgement — such as answering questions, spotting patterns, or making recommendations.</w:t>
      </w:r>
    </w:p>
    <w:p>
      <w:pPr>
        <w:pStyle w:val="ListBullet"/>
      </w:pPr>
      <w:r>
        <w:rPr>
          <w:b/>
        </w:rPr>
        <w:t>AMS (Application Management Services):</w:t>
      </w:r>
      <w:r>
        <w:t xml:space="preserve"> the ongoing "run and support" service that keeps business software healthy, fixes issues and makes improvements after the initial project is done.</w:t>
      </w:r>
    </w:p>
    <w:p>
      <w:pPr>
        <w:pStyle w:val="ListBullet"/>
      </w:pPr>
      <w:r>
        <w:rPr>
          <w:b/>
        </w:rPr>
        <w:t>BFSI (Banking, Financial Services and Insurance):</w:t>
      </w:r>
      <w:r>
        <w:t xml:space="preserve"> a common shorthand for the finance industry as a whole.</w:t>
      </w:r>
    </w:p>
    <w:p>
      <w:pPr>
        <w:pStyle w:val="ListBullet"/>
      </w:pPr>
      <w:r>
        <w:rPr>
          <w:b/>
        </w:rPr>
        <w:t>Brownfield / Greenfield (migration approaches):</w:t>
      </w:r>
      <w:r>
        <w:t xml:space="preserve"> *Brownfield* means upgrading the existing system in place, keeping its history and customisations. *Greenfield* means starting fresh with a clean new system. (*Selective Data Transition* is a middle path — a fresh system that carries over only chosen data.)</w:t>
      </w:r>
    </w:p>
    <w:p>
      <w:pPr>
        <w:pStyle w:val="ListBullet"/>
      </w:pPr>
      <w:r>
        <w:rPr>
          <w:b/>
        </w:rPr>
        <w:t>Cloud:</w:t>
      </w:r>
      <w:r>
        <w:t xml:space="preserve"> delivering software and computing power over the internet rather than from machines on a company's own premises. The big providers are Amazon, Microsoft and Google.</w:t>
      </w:r>
    </w:p>
    <w:p>
      <w:pPr>
        <w:pStyle w:val="ListBullet"/>
      </w:pPr>
      <w:r>
        <w:rPr>
          <w:b/>
        </w:rPr>
        <w:t>Converged Intelligence:</w:t>
      </w:r>
      <w:r>
        <w:t xml:space="preserve"> In2IT EBS's own term for its operating approach — clear ownership of each business area, one shared delivery team underneath, and AI built into everything.</w:t>
      </w:r>
    </w:p>
    <w:p>
      <w:pPr>
        <w:pStyle w:val="ListBullet"/>
      </w:pPr>
      <w:r>
        <w:rPr>
          <w:b/>
        </w:rPr>
        <w:t>ERP (Enterprise Resource Planning):</w:t>
      </w:r>
      <w:r>
        <w:t xml:space="preserve"> the central business software that runs core operations — finance, procurement, manufacturing, HR and more — in one connected system.</w:t>
      </w:r>
    </w:p>
    <w:p>
      <w:pPr>
        <w:pStyle w:val="ListBullet"/>
      </w:pPr>
      <w:r>
        <w:rPr>
          <w:b/>
        </w:rPr>
        <w:t>GROW with SAP:</w:t>
      </w:r>
      <w:r>
        <w:t xml:space="preserve"> a faster, lower-cost, pre-configured version of SAP's modern system aimed at mid-sized organisations.</w:t>
      </w:r>
    </w:p>
    <w:p>
      <w:pPr>
        <w:pStyle w:val="ListBullet"/>
      </w:pPr>
      <w:r>
        <w:rPr>
          <w:b/>
        </w:rPr>
        <w:t>PCE (Private Cloud Edition):</w:t>
      </w:r>
      <w:r>
        <w:t xml:space="preserve"> a version of SAP's modern system hosted on dedicated cloud space, for organisations needing heavy customisation or stricter data isolation.</w:t>
      </w:r>
    </w:p>
    <w:p>
      <w:pPr>
        <w:pStyle w:val="ListBullet"/>
      </w:pPr>
      <w:r>
        <w:rPr>
          <w:b/>
        </w:rPr>
        <w:t>RISE with SAP:</w:t>
      </w:r>
      <w:r>
        <w:t xml:space="preserve"> SAP's all-in-one package that bundles its modern system together with cloud hosting and supporting services.</w:t>
      </w:r>
    </w:p>
    <w:p>
      <w:pPr>
        <w:pStyle w:val="ListBullet"/>
      </w:pPr>
      <w:r>
        <w:rPr>
          <w:b/>
        </w:rPr>
        <w:t>S/4HANA:</w:t>
      </w:r>
      <w:r>
        <w:t xml:space="preserve"> SAP's current-generation core business software — the modern successor to its older "ECC" system.</w:t>
      </w:r>
    </w:p>
    <w:p>
      <w:pPr>
        <w:pStyle w:val="ListBullet"/>
      </w:pPr>
      <w:r>
        <w:rPr>
          <w:b/>
        </w:rPr>
        <w:t>SAP:</w:t>
      </w:r>
      <w:r>
        <w:t xml:space="preserve"> one of the world's largest business-software companies; its products run the core operations of many large enterprises. ("SAP Gold Partner," "PCE Partner" and "Co-Innovation Partner" are levels of recognition SAP awards to expert delivery firms.)</w:t>
      </w:r>
    </w:p>
    <w:p>
      <w:pPr>
        <w:pStyle w:val="ListBullet"/>
      </w:pPr>
      <w:r>
        <w:rPr>
          <w:b/>
        </w:rPr>
        <w:t>SAP Joule:</w:t>
      </w:r>
      <w:r>
        <w:t xml:space="preserve"> SAP's built-in AI assistant that lets people ask questions and get help in plain language inside SAP software.</w:t>
      </w:r>
    </w:p>
    <w:p>
      <w:pPr>
        <w:pStyle w:val="ListBullet"/>
      </w:pPr>
      <w:r>
        <w:rPr>
          <w:b/>
        </w:rPr>
        <w:t>Salesforce / Workday:</w:t>
      </w:r>
      <w:r>
        <w:t xml:space="preserve"> two other major business-software platforms — Salesforce for customer relationships and sales; Workday for HR and finance.</w:t>
      </w:r>
    </w:p>
    <w:p>
      <w:pPr>
        <w:pStyle w:val="ListBullet"/>
      </w:pPr>
      <w:r>
        <w:rPr>
          <w:b/>
        </w:rPr>
        <w:t>Syniti:</w:t>
      </w:r>
      <w:r>
        <w:t xml:space="preserve"> a specialist data-migration toolset and method used to move information safely and accurately into a new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