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1E3B"/>
          <w:sz w:val="52"/>
        </w:rPr>
        <w:t>Website Features Plan</w:t>
      </w:r>
    </w:p>
    <w:p>
      <w:r>
        <w:rPr>
          <w:color w:val="3F75A3"/>
          <w:sz w:val="21"/>
        </w:rPr>
        <w:t>In2IT EBS  ·  Converged Intelligence  ·  Source of truth: Corporate Capability deck (Deck 2), May 2026</w:t>
      </w:r>
    </w:p>
    <w:p/>
    <w:p>
      <w:r>
        <w:t>I now have the complete deck and the full existing draft. I have everything needed to rewrite the Features Plan for a non-technical reader, faithful to the deck's structure, separating deck-sourced content from additive recommendations, and translating all technical jargon into plain English.</w:t>
      </w:r>
    </w:p>
    <w:p>
      <w:r>
        <w:t>Here is the rewritten plan:</w:t>
      </w:r>
    </w:p>
    <w:p>
      <w:pPr>
        <w:pStyle w:val="Heading1"/>
      </w:pPr>
      <w:r>
        <w:rPr>
          <w:color w:val="121E3B"/>
        </w:rPr>
        <w:t>In2IT EBS Website — Features Plan (Plain-English Edition)</w:t>
      </w:r>
    </w:p>
    <w:p>
      <w:pPr>
        <w:pStyle w:val="Heading2"/>
      </w:pPr>
      <w:r>
        <w:rPr>
          <w:color w:val="121E3B"/>
        </w:rPr>
        <w:t>Opening Note: Where This Comes From</w:t>
      </w:r>
    </w:p>
    <w:p>
      <w:r>
        <w:t>This plan explains, in everyday language, every feature we recommend building for the new In2IT EBS website. It is written for business leaders and marketing colleagues — no technical background needed.</w:t>
      </w:r>
    </w:p>
    <w:p>
      <w:r>
        <w:rPr>
          <w:b/>
        </w:rPr>
        <w:t>Our single source of truth is the In2IT EBS "Corporate Capability" presentation, Deck 2 (May 2026).</w:t>
      </w:r>
      <w:r>
        <w:t xml:space="preserve"> Every fact, statistic, client name and service description in this plan is drawn from that deck. Where we suggest something the deck does not directly call for — an idea we believe will help the website win more business — we clearly mark it as our own recommendation.</w:t>
      </w:r>
    </w:p>
    <w:p>
      <w:r>
        <w:t xml:space="preserve">We have kept the deck's own structure: the company is organised around </w:t>
      </w:r>
      <w:r>
        <w:rPr>
          <w:b/>
        </w:rPr>
        <w:t>three pillars</w:t>
      </w:r>
      <w:r>
        <w:t xml:space="preserve"> (Platform Services; Advisory Services; Digital, Data &amp; AI Services) plus a fourth section on how work is delivered. The website's menus, sections and headings follow that same shape so the site and the sales deck tell one consistent story.</w:t>
      </w:r>
    </w:p>
    <w:p>
      <w:pPr>
        <w:pStyle w:val="Heading3"/>
      </w:pPr>
      <w:r>
        <w:rPr>
          <w:color w:val="121E3B"/>
        </w:rPr>
        <w:t>How to Read This Document — Legend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Tag</w:t>
            </w:r>
          </w:p>
        </w:tc>
        <w:tc>
          <w:tcPr>
            <w:tcW w:type="dxa" w:w="4320"/>
          </w:tcPr>
          <w:p>
            <w:r>
              <w:rPr>
                <w:b/>
                <w:sz w:val="19"/>
              </w:rPr>
              <w:t>Meaning</w:t>
            </w:r>
          </w:p>
        </w:tc>
      </w:tr>
      <w:tr>
        <w:tc>
          <w:tcPr>
            <w:tcW w:type="dxa" w:w="4320"/>
          </w:tcPr>
          <w:p>
            <w:r>
              <w:rPr>
                <w:sz w:val="19"/>
              </w:rPr>
              <w:t>(Deck)</w:t>
            </w:r>
          </w:p>
        </w:tc>
        <w:tc>
          <w:tcPr>
            <w:tcW w:type="dxa" w:w="4320"/>
          </w:tcPr>
          <w:p>
            <w:r>
              <w:rPr>
                <w:sz w:val="19"/>
              </w:rPr>
              <w:t>The feature is directly based on content or instructions in the May 2026 Corporate Capability deck.</w:t>
            </w:r>
          </w:p>
        </w:tc>
      </w:tr>
      <w:tr>
        <w:tc>
          <w:tcPr>
            <w:tcW w:type="dxa" w:w="4320"/>
          </w:tcPr>
          <w:p>
            <w:r>
              <w:rPr>
                <w:sz w:val="19"/>
              </w:rPr>
              <w:t>★ Additive</w:t>
            </w:r>
          </w:p>
        </w:tc>
        <w:tc>
          <w:tcPr>
            <w:tcW w:type="dxa" w:w="4320"/>
          </w:tcPr>
          <w:p>
            <w:r>
              <w:rPr>
                <w:sz w:val="19"/>
              </w:rPr>
              <w:t>Our own recommendation. The deck does not explicitly ask for it, but we believe it adds real business value.</w:t>
            </w:r>
          </w:p>
        </w:tc>
      </w:tr>
    </w:tbl>
    <w:p/>
    <w:p>
      <w:r>
        <w:rPr>
          <w:b/>
        </w:rPr>
        <w:t>Priority</w:t>
      </w:r>
      <w:r>
        <w:t xml:space="preserve"> tells you how important a feature is:</w:t>
      </w:r>
    </w:p>
    <w:p>
      <w:pPr>
        <w:pStyle w:val="ListBullet"/>
      </w:pPr>
      <w:r>
        <w:rPr>
          <w:b/>
        </w:rPr>
        <w:t>Must-have</w:t>
      </w:r>
      <w:r>
        <w:t xml:space="preserve"> — the site is not credible or complete without it.</w:t>
      </w:r>
    </w:p>
    <w:p>
      <w:pPr>
        <w:pStyle w:val="ListBullet"/>
      </w:pPr>
      <w:r>
        <w:rPr>
          <w:b/>
        </w:rPr>
        <w:t>Should-have</w:t>
      </w:r>
      <w:r>
        <w:t xml:space="preserve"> — strongly recommended; adds clear value soon after launch.</w:t>
      </w:r>
    </w:p>
    <w:p>
      <w:pPr>
        <w:pStyle w:val="ListBullet"/>
      </w:pPr>
      <w:r>
        <w:rPr>
          <w:b/>
        </w:rPr>
        <w:t>Nice-to-have</w:t>
      </w:r>
      <w:r>
        <w:t xml:space="preserve"> — a good future idea once the basics are working.</w:t>
      </w:r>
    </w:p>
    <w:p>
      <w:r>
        <w:rPr>
          <w:b/>
        </w:rPr>
        <w:t>Build effort</w:t>
      </w:r>
      <w:r>
        <w:t xml:space="preserve"> is a rough sense of how much work each feature is:</w:t>
      </w:r>
    </w:p>
    <w:p>
      <w:pPr>
        <w:pStyle w:val="ListBullet"/>
      </w:pPr>
      <w:r>
        <w:rPr>
          <w:b/>
        </w:rPr>
        <w:t>Small</w:t>
      </w:r>
      <w:r>
        <w:t xml:space="preserve"> — a few hours to a couple of days; mostly using things we already have.</w:t>
      </w:r>
    </w:p>
    <w:p>
      <w:pPr>
        <w:pStyle w:val="ListBullet"/>
      </w:pPr>
      <w:r>
        <w:rPr>
          <w:b/>
        </w:rPr>
        <w:t>Medium</w:t>
      </w:r>
      <w:r>
        <w:t xml:space="preserve"> — roughly half a week to a week of work; a new page or interactive piece.</w:t>
      </w:r>
    </w:p>
    <w:p>
      <w:pPr>
        <w:pStyle w:val="ListBullet"/>
      </w:pPr>
      <w:r>
        <w:rPr>
          <w:b/>
        </w:rPr>
        <w:t>Large</w:t>
      </w:r>
      <w:r>
        <w:t xml:space="preserve"> — a week or more; a genuinely new capability that needs careful building and ongoing care.</w:t>
      </w:r>
    </w:p>
    <w:p>
      <w:pPr>
        <w:pStyle w:val="Heading2"/>
      </w:pPr>
      <w:r>
        <w:rPr>
          <w:color w:val="121E3B"/>
        </w:rPr>
        <w:t>A Note Before Launch: Three Numbers to Confirm</w:t>
      </w:r>
    </w:p>
    <w:p>
      <w:r>
        <w:t xml:space="preserve">The deck contains a few figures that don't quite line up. Leadership should pick the correct version </w:t>
      </w:r>
      <w:r>
        <w:rPr>
          <w:b/>
        </w:rPr>
        <w:t>before these numbers go live on the website</w:t>
      </w:r>
      <w:r>
        <w:t>, because they will appear prominently:</w:t>
      </w:r>
    </w:p>
    <w:p>
      <w:pPr>
        <w:pStyle w:val="ListNumber"/>
      </w:pPr>
      <w:r>
        <w:rPr>
          <w:b/>
        </w:rPr>
        <w:t>Number of employees.</w:t>
      </w:r>
      <w:r>
        <w:t xml:space="preserve"> The deck says "380+" in one place (the "At a Glance" summary) and "550+" in another (the "Why In2IT EBS" page). We need one agreed figure.</w:t>
      </w:r>
    </w:p>
    <w:p>
      <w:pPr>
        <w:pStyle w:val="ListNumber"/>
      </w:pPr>
      <w:r>
        <w:rPr>
          <w:b/>
        </w:rPr>
        <w:t>Accelerators (our ready-built tools that speed up projects).</w:t>
      </w:r>
      <w:r>
        <w:t xml:space="preserve"> The summary lists "12+ packaged accelerators" and separately "10+ proprietary accelerators." Please confirm whether these are two different things or the same set counted twice.</w:t>
      </w:r>
    </w:p>
    <w:p>
      <w:pPr>
        <w:pStyle w:val="ListNumber"/>
      </w:pPr>
      <w:r>
        <w:rPr>
          <w:b/>
        </w:rPr>
        <w:t>Project speed claim.</w:t>
      </w:r>
      <w:r>
        <w:t xml:space="preserve"> The deck consistently says our method makes SAP projects "up to 30% faster." We recommend a quick legal/leadership sign-off before publishing this as a public promise.</w:t>
      </w:r>
    </w:p>
    <w:p>
      <w:pPr>
        <w:pStyle w:val="Heading2"/>
      </w:pPr>
      <w:r>
        <w:rPr>
          <w:color w:val="121E3B"/>
        </w:rPr>
        <w:t>Group 1 — Helping Visitors Find Their Way Around</w:t>
      </w:r>
    </w:p>
    <w:p>
      <w:pPr>
        <w:pStyle w:val="Heading3"/>
      </w:pPr>
      <w:r>
        <w:rPr>
          <w:color w:val="121E3B"/>
        </w:rPr>
        <w:t>1.1 Pillar-Based Main Menu (Deck)</w:t>
      </w:r>
    </w:p>
    <w:p>
      <w:r>
        <w:rPr>
          <w:b/>
        </w:rPr>
        <w:t>What the visitor sees.</w:t>
      </w:r>
      <w:r>
        <w:t xml:space="preserve"> A clear, organised drop-down menu at the top of the site. Instead of one long list of services, it is grouped exactly the way the company describes itself: Platform Services (SAP, Salesforce, Workday); Advisory Services; Digital, Data &amp; AI; and Delivery Excellence. Under SAP, visitors can jump straight to specific topics such as the RISE vs GROW chooser, migrations, SuccessFactors, the AI Health Check, and more. The menu also links to About, Clients, Partners, Insights, Careers and Contact.</w:t>
      </w:r>
    </w:p>
    <w:p>
      <w:r>
        <w:rPr>
          <w:b/>
        </w:rPr>
        <w:t>Why it matters.</w:t>
      </w:r>
      <w:r>
        <w:t xml:space="preserve"> The deck is built around these three pillars; the menu makes the website match the way the sales team already presents the company. A well-organised menu helps a busy executive find the exact service they care about in seconds.</w:t>
      </w:r>
    </w:p>
    <w:p>
      <w:r>
        <w:rPr>
          <w:b/>
        </w:rPr>
        <w:t>Priority:</w:t>
      </w:r>
      <w:r>
        <w:t xml:space="preserve"> Must-have. </w:t>
      </w:r>
      <w:r>
        <w:rPr>
          <w:b/>
        </w:rPr>
        <w:t>Effort:</w:t>
      </w:r>
      <w:r>
        <w:t xml:space="preserve"> Small (we re-organise an existing menu rather than build a new one).</w:t>
      </w:r>
    </w:p>
    <w:p>
      <w:pPr>
        <w:pStyle w:val="Heading3"/>
      </w:pPr>
      <w:r>
        <w:rPr>
          <w:color w:val="121E3B"/>
        </w:rPr>
        <w:t>1.2 Always-Visible "Get in Touch" Button (Deck)</w:t>
      </w:r>
    </w:p>
    <w:p>
      <w:r>
        <w:rPr>
          <w:b/>
        </w:rPr>
        <w:t>What the visitor sees.</w:t>
      </w:r>
      <w:r>
        <w:t xml:space="preserve"> A standout button — "Book a discovery workshop" — pinned to the top of every page, so it stays visible no matter how far they scroll. On phones, it becomes a small, fixed bar at the bottom of the screen. The wording mirrors the deck's closing line: "Let's schedule a 30-minute discovery workshop."</w:t>
      </w:r>
    </w:p>
    <w:p>
      <w:r>
        <w:rPr>
          <w:b/>
        </w:rPr>
        <w:t>Why it matters.</w:t>
      </w:r>
      <w:r>
        <w:t xml:space="preserve"> Wherever a visitor is on the site, the next step is one tap away. This is the single most important thing for turning interest into a conversation.</w:t>
      </w:r>
    </w:p>
    <w:p>
      <w:r>
        <w:rPr>
          <w:b/>
        </w:rPr>
        <w:t>Priority:</w:t>
      </w:r>
      <w:r>
        <w:t xml:space="preserve"> Must-have. </w:t>
      </w:r>
      <w:r>
        <w:rPr>
          <w:b/>
        </w:rPr>
        <w:t>Effort:</w:t>
      </w:r>
      <w:r>
        <w:t xml:space="preserve"> Small.</w:t>
      </w:r>
    </w:p>
    <w:p>
      <w:pPr>
        <w:pStyle w:val="Heading3"/>
      </w:pPr>
      <w:r>
        <w:rPr>
          <w:color w:val="121E3B"/>
        </w:rPr>
        <w:t>1.3 Region Selector — India / Kenya / South Africa / Middle East (Deck)</w:t>
      </w:r>
    </w:p>
    <w:p>
      <w:r>
        <w:rPr>
          <w:b/>
        </w:rPr>
        <w:t>What the visitor sees.</w:t>
      </w:r>
      <w:r>
        <w:t xml:space="preserve"> A small selector to choose their region. Picking one quietly tailors the experience — for example, showing the right office and email on the Contact page and a relevant local touch in the homepage greeting. The site remembers the choice for next time. Everything stays in English; no separate websites.</w:t>
      </w:r>
    </w:p>
    <w:p>
      <w:r>
        <w:rPr>
          <w:b/>
        </w:rPr>
        <w:t>Why it matters.</w:t>
      </w:r>
      <w:r>
        <w:t xml:space="preserve"> The deck highlights offices in Mumbai, Chennai, Singapore, Dubai, Nairobi and Johannesburg, and names clients in India, Kenya and South Africa. Showing local relevance helps the company feel present "on the ground," which sets it apart from rivals who only operate in India.</w:t>
      </w:r>
    </w:p>
    <w:p>
      <w:r>
        <w:rPr>
          <w:b/>
        </w:rPr>
        <w:t>Priority:</w:t>
      </w:r>
      <w:r>
        <w:t xml:space="preserve"> Should-have. </w:t>
      </w:r>
      <w:r>
        <w:rPr>
          <w:b/>
        </w:rPr>
        <w:t>Effort:</w:t>
      </w:r>
      <w:r>
        <w:t xml:space="preserve"> Small.</w:t>
      </w:r>
    </w:p>
    <w:p>
      <w:pPr>
        <w:pStyle w:val="Heading3"/>
      </w:pPr>
      <w:r>
        <w:rPr>
          <w:color w:val="121E3B"/>
        </w:rPr>
        <w:t>1.4 Site Search ★ Additive</w:t>
      </w:r>
    </w:p>
    <w:p>
      <w:r>
        <w:rPr>
          <w:b/>
        </w:rPr>
        <w:t>What the visitor sees.</w:t>
      </w:r>
      <w:r>
        <w:t xml:space="preserve"> A search icon (magnifying glass) that opens a search box. Typing a term — say "Joule" or "data migration" — returns matching pages, articles and services, neatly grouped.</w:t>
      </w:r>
    </w:p>
    <w:p>
      <w:r>
        <w:rPr>
          <w:b/>
        </w:rPr>
        <w:t>Why it matters.</w:t>
      </w:r>
      <w:r>
        <w:t xml:space="preserve"> The SAP side of the business is deep, with many specialist topics. Visitors who arrive from a Google search for one specific thing can go straight to it without hunting through menus. *(Technical note in one sentence: the early version searches a pre-built list of the site's own pages, so it is fast and needs no outside service.)*</w:t>
      </w:r>
    </w:p>
    <w:p>
      <w:r>
        <w:rPr>
          <w:b/>
        </w:rPr>
        <w:t>Priority:</w:t>
      </w:r>
      <w:r>
        <w:t xml:space="preserve"> Should-have (basic version). </w:t>
      </w:r>
      <w:r>
        <w:rPr>
          <w:b/>
        </w:rPr>
        <w:t>Effort:</w:t>
      </w:r>
      <w:r>
        <w:t xml:space="preserve"> Small for the basic version; Large if we later upgrade it to a smarter, meaning-aware search.</w:t>
      </w:r>
    </w:p>
    <w:p>
      <w:pPr>
        <w:pStyle w:val="Heading3"/>
      </w:pPr>
      <w:r>
        <w:rPr>
          <w:color w:val="121E3B"/>
        </w:rPr>
        <w:t>1.5 "Breadcrumb" Trail (Deck)</w:t>
      </w:r>
    </w:p>
    <w:p>
      <w:r>
        <w:rPr>
          <w:b/>
        </w:rPr>
        <w:t>What the visitor sees.</w:t>
      </w:r>
      <w:r>
        <w:t xml:space="preserve"> A small trail of links near the top of inner pages showing where they are, for example: *Home › What We Do › Platform Services › SAP › SuccessFactors.* Each step is clickable.</w:t>
      </w:r>
    </w:p>
    <w:p>
      <w:r>
        <w:rPr>
          <w:b/>
        </w:rPr>
        <w:t>Why it matters.</w:t>
      </w:r>
      <w:r>
        <w:t xml:space="preserve"> On a content-rich site, this helps visitors stay oriented and step back easily. It also helps the site show up more attractively in Google results.</w:t>
      </w:r>
    </w:p>
    <w:p>
      <w:r>
        <w:rPr>
          <w:b/>
        </w:rPr>
        <w:t>Priority:</w:t>
      </w:r>
      <w:r>
        <w:t xml:space="preserve"> Should-have. </w:t>
      </w:r>
      <w:r>
        <w:rPr>
          <w:b/>
        </w:rPr>
        <w:t>Effort:</w:t>
      </w:r>
      <w:r>
        <w:t xml:space="preserve"> Small.</w:t>
      </w:r>
    </w:p>
    <w:p>
      <w:pPr>
        <w:pStyle w:val="Heading2"/>
      </w:pPr>
      <w:r>
        <w:rPr>
          <w:color w:val="121E3B"/>
        </w:rPr>
        <w:t>Group 2 — Making It Easy to Get in Touch</w:t>
      </w:r>
    </w:p>
    <w:p>
      <w:pPr>
        <w:pStyle w:val="Heading3"/>
      </w:pPr>
      <w:r>
        <w:rPr>
          <w:color w:val="121E3B"/>
        </w:rPr>
        <w:t>2.1 Main Contact Form → info@in2itebs.com (Deck)</w:t>
      </w:r>
    </w:p>
    <w:p>
      <w:r>
        <w:rPr>
          <w:b/>
        </w:rPr>
        <w:t>What the visitor sees.</w:t>
      </w:r>
      <w:r>
        <w:t xml:space="preserve"> A short, friendly form on the Contact page: name, work email, company, region, what they're interested in (a drop-down covering the three pillars and key SAP options), and a message box. After sending, they see a thank-you page; the enquiry lands in the company inbox (info@in2itebs.com).</w:t>
      </w:r>
    </w:p>
    <w:p>
      <w:r>
        <w:rPr>
          <w:b/>
        </w:rPr>
        <w:t>Why it matters.</w:t>
      </w:r>
      <w:r>
        <w:t xml:space="preserve"> This is the front door for new business. The deck names this exact email as the contact point. We will make sure the "interest" choices match the new three-pillar structure.</w:t>
      </w:r>
    </w:p>
    <w:p>
      <w:r>
        <w:rPr>
          <w:b/>
        </w:rPr>
        <w:t>Priority:</w:t>
      </w:r>
      <w:r>
        <w:t xml:space="preserve"> Must-have. </w:t>
      </w:r>
      <w:r>
        <w:rPr>
          <w:b/>
        </w:rPr>
        <w:t>Effort:</w:t>
      </w:r>
      <w:r>
        <w:t xml:space="preserve"> Small.</w:t>
      </w:r>
    </w:p>
    <w:p>
      <w:pPr>
        <w:pStyle w:val="Heading3"/>
      </w:pPr>
      <w:r>
        <w:rPr>
          <w:color w:val="121E3B"/>
        </w:rPr>
        <w:t>2.2 Short Forms Built Into Key Service Pages ★ Additive</w:t>
      </w:r>
    </w:p>
    <w:p>
      <w:r>
        <w:rPr>
          <w:b/>
        </w:rPr>
        <w:t>What the visitor sees.</w:t>
      </w:r>
      <w:r>
        <w:t xml:space="preserve"> A very short version of the contact form (just name, work email and topic) placed directly on the busiest service pages — the main SAP page, the RISE-vs-GROW chooser and the AI HR Health-Check page — so there's no need to go hunting for a separate Contact page.</w:t>
      </w:r>
    </w:p>
    <w:p>
      <w:r>
        <w:rPr>
          <w:b/>
        </w:rPr>
        <w:t>Why it matters.</w:t>
      </w:r>
      <w:r>
        <w:t xml:space="preserve"> The fewer the steps, the more enquiries. The deck positions the Health Check and the Pathway Assessment as paid first engagements, so capturing interest right where it peaks is valuable.</w:t>
      </w:r>
    </w:p>
    <w:p>
      <w:r>
        <w:rPr>
          <w:b/>
        </w:rPr>
        <w:t>Priority:</w:t>
      </w:r>
      <w:r>
        <w:t xml:space="preserve"> Should-have. </w:t>
      </w:r>
      <w:r>
        <w:rPr>
          <w:b/>
        </w:rPr>
        <w:t>Effort:</w:t>
      </w:r>
      <w:r>
        <w:t xml:space="preserve"> Small.</w:t>
      </w:r>
    </w:p>
    <w:p>
      <w:pPr>
        <w:pStyle w:val="Heading3"/>
      </w:pPr>
      <w:r>
        <w:rPr>
          <w:color w:val="121E3B"/>
        </w:rPr>
        <w:t>2.3 "Talk to an Expert" Prompt on Long Pages ★ Additive</w:t>
      </w:r>
    </w:p>
    <w:p>
      <w:r>
        <w:rPr>
          <w:b/>
        </w:rPr>
        <w:t>What the visitor sees.</w:t>
      </w:r>
      <w:r>
        <w:t xml:space="preserve"> On longer pages, a small, polite prompt slides in once the visitor has read a fair amount — "Speak to an SAP expert" — with two quick fields. It can be closed and won't nag again in the same visit. (Shown on computers only; phones already have the bottom button.)</w:t>
      </w:r>
    </w:p>
    <w:p>
      <w:r>
        <w:rPr>
          <w:b/>
        </w:rPr>
        <w:t>Why it matters.</w:t>
      </w:r>
      <w:r>
        <w:t xml:space="preserve"> The main SAP page is long. Offering help mid-read, at the moment someone is clearly engaged, is a proven way to start conversations.</w:t>
      </w:r>
    </w:p>
    <w:p>
      <w:r>
        <w:rPr>
          <w:b/>
        </w:rPr>
        <w:t>Priority:</w:t>
      </w:r>
      <w:r>
        <w:t xml:space="preserve"> Should-have. </w:t>
      </w:r>
      <w:r>
        <w:rPr>
          <w:b/>
        </w:rPr>
        <w:t>Effort:</w:t>
      </w:r>
      <w:r>
        <w:t xml:space="preserve"> Small.</w:t>
      </w:r>
    </w:p>
    <w:p>
      <w:pPr>
        <w:pStyle w:val="Heading3"/>
      </w:pPr>
      <w:r>
        <w:rPr>
          <w:color w:val="121E3B"/>
        </w:rPr>
        <w:t>2.4 Newsletter Sign-Up ★ Additive</w:t>
      </w:r>
    </w:p>
    <w:p>
      <w:r>
        <w:rPr>
          <w:b/>
        </w:rPr>
        <w:t>What the visitor sees.</w:t>
      </w:r>
      <w:r>
        <w:t xml:space="preserve"> A simple "enter your email" box in the footer and on the Insights page to receive an occasional digest of company news and SAP-world updates.</w:t>
      </w:r>
    </w:p>
    <w:p>
      <w:r>
        <w:rPr>
          <w:b/>
        </w:rPr>
        <w:t>Why it matters.</w:t>
      </w:r>
      <w:r>
        <w:t xml:space="preserve"> Enterprise software decisions take a long time. A light, regular email keeps In2IT EBS visible to prospects throughout that long buying journey.</w:t>
      </w:r>
    </w:p>
    <w:p>
      <w:r>
        <w:rPr>
          <w:b/>
        </w:rPr>
        <w:t>Priority:</w:t>
      </w:r>
      <w:r>
        <w:t xml:space="preserve"> Nice-to-have. </w:t>
      </w:r>
      <w:r>
        <w:rPr>
          <w:b/>
        </w:rPr>
        <w:t>Effort:</w:t>
      </w:r>
      <w:r>
        <w:t xml:space="preserve"> Small for the sign-up box; Medium because it needs a steady supply of content.</w:t>
      </w:r>
    </w:p>
    <w:p>
      <w:pPr>
        <w:pStyle w:val="Heading2"/>
      </w:pPr>
      <w:r>
        <w:rPr>
          <w:color w:val="121E3B"/>
        </w:rPr>
        <w:t>Group 3 — Signature Interactive Tools (Our Showpieces)</w:t>
      </w:r>
    </w:p>
    <w:p>
      <w:r>
        <w:t>These are the standout, hands-on features that make the site memorable and generate high-quality leads.</w:t>
      </w:r>
    </w:p>
    <w:p>
      <w:pPr>
        <w:pStyle w:val="Heading3"/>
      </w:pPr>
      <w:r>
        <w:rPr>
          <w:color w:val="121E3B"/>
        </w:rPr>
        <w:t>3.1 RISE-vs-GROW Guided Chooser (Deck)</w:t>
      </w:r>
    </w:p>
    <w:p>
      <w:r>
        <w:rPr>
          <w:b/>
        </w:rPr>
        <w:t>What the visitor sees.</w:t>
      </w:r>
      <w:r>
        <w:t xml:space="preserve"> A friendly, step-by-step questionnaire (about seven questions) that helps a visitor work out which path to SAP's modern system suits them: </w:t>
      </w:r>
      <w:r>
        <w:rPr>
          <w:b/>
        </w:rPr>
        <w:t>RISE</w:t>
      </w:r>
      <w:r>
        <w:t xml:space="preserve"> (for larger, more complex organisations) or </w:t>
      </w:r>
      <w:r>
        <w:rPr>
          <w:b/>
        </w:rPr>
        <w:t>GROW</w:t>
      </w:r>
      <w:r>
        <w:t xml:space="preserve"> (for faster-moving, mid-sized ones). Questions cover company size, how much customisation they need, how complex their existing systems are, how quickly they want results, budget preference, and any regulatory constraints. At the end, the tool gives a recommendation — RISE, GROW, or a mix — explains the reasons, and invites them to "Get your full Pathway Assessment — speak to an expert." Visitors can even share their result via a link.</w:t>
      </w:r>
    </w:p>
    <w:p>
      <w:r>
        <w:rPr>
          <w:b/>
        </w:rPr>
        <w:t>Why it matters.</w:t>
      </w:r>
      <w:r>
        <w:t xml:space="preserve"> The deck describes a paid "2-week Pathway Assessment workshop" and stresses that In2IT EBS is honest and vendor-neutral ("either is fine for us"). A free, self-serve mini-version of this builds trust, proves the company's expertise, and gently qualifies serious buyers. No competitor in this market segment offers such a tool — a genuine chance to stand out. *(One plain note: all the working-out happens in the visitor's own browser; nothing is recorded unless they choose to contact us.)*</w:t>
      </w:r>
    </w:p>
    <w:p>
      <w:r>
        <w:rPr>
          <w:b/>
        </w:rPr>
        <w:t>Priority:</w:t>
      </w:r>
      <w:r>
        <w:t xml:space="preserve"> Must-have (a flagship differentiator). </w:t>
      </w:r>
      <w:r>
        <w:rPr>
          <w:b/>
        </w:rPr>
        <w:t>Effort:</w:t>
      </w:r>
      <w:r>
        <w:t xml:space="preserve"> Medium.</w:t>
      </w:r>
    </w:p>
    <w:p>
      <w:pPr>
        <w:pStyle w:val="Heading3"/>
      </w:pPr>
      <w:r>
        <w:rPr>
          <w:color w:val="121E3B"/>
        </w:rPr>
        <w:t>3.2 AI-Powered HR Health-Check (Deck)</w:t>
      </w:r>
    </w:p>
    <w:p>
      <w:r>
        <w:rPr>
          <w:b/>
        </w:rPr>
        <w:t>What the visitor sees.</w:t>
      </w:r>
      <w:r>
        <w:t xml:space="preserve"> A dedicated page presenting the company's "Health Check 360" service for SAP's HR system (SuccessFactors). It explains the three parts in plain panels — an automated diagnostic, a comparison against industry peers, and a prioritised improvement plan — and shows headline results as eye-catching figures:</w:t>
      </w:r>
    </w:p>
    <w:p>
      <w:pPr>
        <w:pStyle w:val="ListBullet"/>
      </w:pPr>
      <w:r>
        <w:t>30–40% cut in unnecessary customisation</w:t>
      </w:r>
    </w:p>
    <w:p>
      <w:pPr>
        <w:pStyle w:val="ListBullet"/>
      </w:pPr>
      <w:r>
        <w:t>25% more people actively using the system each month</w:t>
      </w:r>
    </w:p>
    <w:p>
      <w:pPr>
        <w:pStyle w:val="ListBullet"/>
      </w:pPr>
      <w:r>
        <w:t>Twice as fast to switch on new AI features</w:t>
      </w:r>
    </w:p>
    <w:p>
      <w:pPr>
        <w:pStyle w:val="ListBullet"/>
      </w:pPr>
      <w:r>
        <w:t>Typically completed in 4–6 weeks</w:t>
      </w:r>
    </w:p>
    <w:p>
      <w:r>
        <w:t>A clear button — "Request your complimentary Health Check briefing" — opens a short form. The page also states the credibility point that the comparison draws on "200+ companies across 12 industries."</w:t>
      </w:r>
    </w:p>
    <w:p>
      <w:r>
        <w:rPr>
          <w:b/>
        </w:rPr>
        <w:t>Why it matters.</w:t>
      </w:r>
      <w:r>
        <w:t xml:space="preserve"> This is the most sales-ready asset in the entire deck, with rare, specific, believable results. Turning it into a named, branded feature on the website gives the company a strong "door-opener" product for new HR prospects.</w:t>
      </w:r>
    </w:p>
    <w:p>
      <w:r>
        <w:rPr>
          <w:b/>
        </w:rPr>
        <w:t>Priority:</w:t>
      </w:r>
      <w:r>
        <w:t xml:space="preserve"> Must-have (high conversion value). </w:t>
      </w:r>
      <w:r>
        <w:rPr>
          <w:b/>
        </w:rPr>
        <w:t>Effort:</w:t>
      </w:r>
      <w:r>
        <w:t xml:space="preserve"> Medium.</w:t>
      </w:r>
    </w:p>
    <w:p>
      <w:pPr>
        <w:pStyle w:val="Heading3"/>
      </w:pPr>
      <w:r>
        <w:rPr>
          <w:color w:val="121E3B"/>
        </w:rPr>
        <w:t>3.3 "Converged Intelligence" Picture (Deck)</w:t>
      </w:r>
    </w:p>
    <w:p>
      <w:r>
        <w:rPr>
          <w:b/>
        </w:rPr>
        <w:t>What the visitor sees.</w:t>
      </w:r>
      <w:r>
        <w:t xml:space="preserve"> An attractive, layered diagram (on the homepage and the SAP page) showing how the company brings everything together into one approach — from the core business systems at the bottom, up through a layer of AI capability, then everyday AI assistants, and finally the business results at the top. Hovering over each layer reveals a one-line explanation, with three highlighted ideas: it's flexible, it's intelligent, and it keeps improving. The deck's own line anchors it: "Convergence is where SAP investments turn into measurable business outcomes."</w:t>
      </w:r>
    </w:p>
    <w:p>
      <w:r>
        <w:rPr>
          <w:b/>
        </w:rPr>
        <w:t>Why it matters.</w:t>
      </w:r>
      <w:r>
        <w:t xml:space="preserve"> This is the company's signature idea and its number-one reason customers choose it. A clear, interactive picture makes a complex idea instantly graspable — and it's something the rival firms don't show.</w:t>
      </w:r>
    </w:p>
    <w:p>
      <w:r>
        <w:rPr>
          <w:b/>
        </w:rPr>
        <w:t>Priority:</w:t>
      </w:r>
      <w:r>
        <w:t xml:space="preserve"> Should-have. </w:t>
      </w:r>
      <w:r>
        <w:rPr>
          <w:b/>
        </w:rPr>
        <w:t>Effort:</w:t>
      </w:r>
      <w:r>
        <w:t xml:space="preserve"> Small to upgrade the existing version; Medium for the fully interactive version.</w:t>
      </w:r>
    </w:p>
    <w:p>
      <w:pPr>
        <w:pStyle w:val="Heading3"/>
      </w:pPr>
      <w:r>
        <w:rPr>
          <w:color w:val="121E3B"/>
        </w:rPr>
        <w:t>3.4 SAP Delivery Toolset Showcase (Deck)</w:t>
      </w:r>
    </w:p>
    <w:p>
      <w:r>
        <w:rPr>
          <w:b/>
        </w:rPr>
        <w:t>What the visitor sees.</w:t>
      </w:r>
      <w:r>
        <w:t xml:space="preserve"> A neat row of tiles on the SAP page showing the professional, SAP-recommended tools the company uses to run projects (covering process discovery, architecture planning, quality testing, and user adoption). Each tile names the tool, its role, and a short note on how In2IT EBS uses it.</w:t>
      </w:r>
    </w:p>
    <w:p>
      <w:r>
        <w:rPr>
          <w:b/>
        </w:rPr>
        <w:t>Why it matters.</w:t>
      </w:r>
      <w:r>
        <w:t xml:space="preserve"> It reassures large-organisation buyers that In2IT EBS works with serious, enterprise-grade tools — not improvised, generic ones — which smaller competitors often can't claim.</w:t>
      </w:r>
    </w:p>
    <w:p>
      <w:r>
        <w:rPr>
          <w:b/>
        </w:rPr>
        <w:t>Priority:</w:t>
      </w:r>
      <w:r>
        <w:t xml:space="preserve"> Should-have. </w:t>
      </w:r>
      <w:r>
        <w:rPr>
          <w:b/>
        </w:rPr>
        <w:t>Effort:</w:t>
      </w:r>
      <w:r>
        <w:t xml:space="preserve"> Small.</w:t>
      </w:r>
    </w:p>
    <w:p>
      <w:pPr>
        <w:pStyle w:val="Heading2"/>
      </w:pPr>
      <w:r>
        <w:rPr>
          <w:color w:val="121E3B"/>
        </w:rPr>
        <w:t>Group 4 — Clients and Case Studies</w:t>
      </w:r>
    </w:p>
    <w:p>
      <w:pPr>
        <w:pStyle w:val="Heading3"/>
      </w:pPr>
      <w:r>
        <w:rPr>
          <w:color w:val="121E3B"/>
        </w:rPr>
        <w:t>4.1 Filterable Case-Study Gallery (Deck)</w:t>
      </w:r>
    </w:p>
    <w:p>
      <w:r>
        <w:rPr>
          <w:b/>
        </w:rPr>
        <w:t>What the visitor sees.</w:t>
      </w:r>
      <w:r>
        <w:t xml:space="preserve"> A dedicated "Clients &amp; Case Studies" page with a grid of project cards visitors can filter — by type of work, by SAP path (RISE, GROW, etc.), by industry, and by region. Each card shows the client (or a respectful anonymous label where confidentiality applies), the industry, the solution and a one-line result. Named clients from the deck include Telangana power utility TGNPDCL, Wipro Infrastructure Engineering, WayCool Foods, VAHDAM India, Triveni Turbines, Kenya Railways, APTRANSCO and Delhi Transco. Below the grid, a scrolling band of client logos conveys the "150+ enterprises" scale.</w:t>
      </w:r>
    </w:p>
    <w:p>
      <w:r>
        <w:rPr>
          <w:b/>
        </w:rPr>
        <w:t>Why it matters.</w:t>
      </w:r>
      <w:r>
        <w:t xml:space="preserve"> The deck devotes a large section to case studies — a clear signal that client proof is a top selling tool. Letting a visitor instantly filter to "an energy client in India like me" is far more persuasive than a flat list.</w:t>
      </w:r>
    </w:p>
    <w:p>
      <w:r>
        <w:rPr>
          <w:b/>
        </w:rPr>
        <w:t>Priority:</w:t>
      </w:r>
      <w:r>
        <w:t xml:space="preserve"> Must-have. </w:t>
      </w:r>
      <w:r>
        <w:rPr>
          <w:b/>
        </w:rPr>
        <w:t>Effort:</w:t>
      </w:r>
      <w:r>
        <w:t xml:space="preserve"> Medium.</w:t>
      </w:r>
    </w:p>
    <w:p>
      <w:pPr>
        <w:pStyle w:val="Heading3"/>
      </w:pPr>
      <w:r>
        <w:rPr>
          <w:color w:val="121E3B"/>
        </w:rPr>
        <w:t>4.2 Full Case-Study Pages (Deck)</w:t>
      </w:r>
    </w:p>
    <w:p>
      <w:r>
        <w:rPr>
          <w:b/>
        </w:rPr>
        <w:t>What the visitor sees.</w:t>
      </w:r>
      <w:r>
        <w:t xml:space="preserve"> Click any project card and open a full story laid out the way the deck presents it: the client's background, the business challenge, the benefits delivered, what was implemented, and "what made In2IT EBS different." Each page has share buttons and links to related stories. For confidential clients, it shows the anonymous summary plus a "request the full story under a confidentiality agreement" prompt.</w:t>
      </w:r>
    </w:p>
    <w:p>
      <w:r>
        <w:rPr>
          <w:b/>
        </w:rPr>
        <w:t>Why it matters.</w:t>
      </w:r>
      <w:r>
        <w:t xml:space="preserve"> Telling each story in full — rather than summarising — preserves the deck's precise, credible language and gives prospects the depth they need to trust the company.</w:t>
      </w:r>
    </w:p>
    <w:p>
      <w:r>
        <w:rPr>
          <w:b/>
        </w:rPr>
        <w:t>Priority:</w:t>
      </w:r>
      <w:r>
        <w:t xml:space="preserve"> Should-have. </w:t>
      </w:r>
      <w:r>
        <w:rPr>
          <w:b/>
        </w:rPr>
        <w:t>Effort:</w:t>
      </w:r>
      <w:r>
        <w:t xml:space="preserve"> Medium.</w:t>
      </w:r>
    </w:p>
    <w:p>
      <w:pPr>
        <w:pStyle w:val="Heading3"/>
      </w:pPr>
      <w:r>
        <w:rPr>
          <w:color w:val="121E3B"/>
        </w:rPr>
        <w:t>4.3 "Request the Full Case Study" (Confidential) (Deck)</w:t>
      </w:r>
    </w:p>
    <w:p>
      <w:r>
        <w:rPr>
          <w:b/>
        </w:rPr>
        <w:t>What the visitor sees.</w:t>
      </w:r>
      <w:r>
        <w:t xml:space="preserve"> For confidential clients, a short request form. The deck explicitly notes that "detailed case studies are available on request, under NDA" (a confidentiality agreement). The request reaches the company inbox tagged for follow-up.</w:t>
      </w:r>
    </w:p>
    <w:p>
      <w:r>
        <w:rPr>
          <w:b/>
        </w:rPr>
        <w:t>Why it matters.</w:t>
      </w:r>
      <w:r>
        <w:t xml:space="preserve"> This is a direct instruction from the deck. It also acts as a quality filter — only genuinely interested buyers will fill it in, so the leads are strong.</w:t>
      </w:r>
    </w:p>
    <w:p>
      <w:r>
        <w:rPr>
          <w:b/>
        </w:rPr>
        <w:t>Priority:</w:t>
      </w:r>
      <w:r>
        <w:t xml:space="preserve"> Should-have. </w:t>
      </w:r>
      <w:r>
        <w:rPr>
          <w:b/>
        </w:rPr>
        <w:t>Effort:</w:t>
      </w:r>
      <w:r>
        <w:t xml:space="preserve"> Small.</w:t>
      </w:r>
    </w:p>
    <w:p>
      <w:pPr>
        <w:pStyle w:val="Heading3"/>
      </w:pPr>
      <w:r>
        <w:rPr>
          <w:color w:val="121E3B"/>
        </w:rPr>
        <w:t>4.4 Scrolling Client Logo Band (Deck)</w:t>
      </w:r>
    </w:p>
    <w:p>
      <w:r>
        <w:rPr>
          <w:b/>
        </w:rPr>
        <w:t>What the visitor sees.</w:t>
      </w:r>
      <w:r>
        <w:t xml:space="preserve"> A gently moving row of recognisable client logos on the homepage. Logos appear in a subtle, uniform style and gain colour when hovered.</w:t>
      </w:r>
    </w:p>
    <w:p>
      <w:r>
        <w:rPr>
          <w:b/>
        </w:rPr>
        <w:t>Why it matters.</w:t>
      </w:r>
      <w:r>
        <w:t xml:space="preserve"> The deck claims "150+ global enterprises." A logo band conveys that scale and reputation at a glance — instant social proof.</w:t>
      </w:r>
    </w:p>
    <w:p>
      <w:r>
        <w:rPr>
          <w:b/>
        </w:rPr>
        <w:t>Priority:</w:t>
      </w:r>
      <w:r>
        <w:t xml:space="preserve"> Must-have. </w:t>
      </w:r>
      <w:r>
        <w:rPr>
          <w:b/>
        </w:rPr>
        <w:t>Effort:</w:t>
      </w:r>
      <w:r>
        <w:t xml:space="preserve"> Small.</w:t>
      </w:r>
    </w:p>
    <w:p>
      <w:pPr>
        <w:pStyle w:val="Heading2"/>
      </w:pPr>
      <w:r>
        <w:rPr>
          <w:color w:val="121E3B"/>
        </w:rPr>
        <w:t>Group 5 — Partners and Ecosystem</w:t>
      </w:r>
    </w:p>
    <w:p>
      <w:pPr>
        <w:pStyle w:val="Heading3"/>
      </w:pPr>
      <w:r>
        <w:rPr>
          <w:color w:val="121E3B"/>
        </w:rPr>
        <w:t>5.1 Partners &amp; Ecosystem Page (Deck)</w:t>
      </w:r>
    </w:p>
    <w:p>
      <w:r>
        <w:rPr>
          <w:b/>
        </w:rPr>
        <w:t>What the visitor sees.</w:t>
      </w:r>
      <w:r>
        <w:t xml:space="preserve"> A dedicated page showing the company's partnerships, grouped just as the deck presents them:</w:t>
      </w:r>
    </w:p>
    <w:p>
      <w:pPr>
        <w:pStyle w:val="ListBullet"/>
      </w:pPr>
      <w:r>
        <w:rPr>
          <w:b/>
        </w:rPr>
        <w:t>Software platforms:</w:t>
      </w:r>
      <w:r>
        <w:t xml:space="preserve"> SAP (Gold, RISE, PCE partner status), Salesforce, Workday, plus SAP's Concur, Ariba and SuccessFactors.</w:t>
      </w:r>
    </w:p>
    <w:p>
      <w:pPr>
        <w:pStyle w:val="ListBullet"/>
      </w:pPr>
      <w:r>
        <w:rPr>
          <w:b/>
        </w:rPr>
        <w:t>Major cloud providers:</w:t>
      </w:r>
      <w:r>
        <w:t xml:space="preserve"> Amazon Web Services, Microsoft Azure, Google Cloud.</w:t>
      </w:r>
    </w:p>
    <w:p>
      <w:pPr>
        <w:pStyle w:val="ListBullet"/>
      </w:pPr>
      <w:r>
        <w:rPr>
          <w:b/>
        </w:rPr>
        <w:t>Data &amp; analytics partners:</w:t>
      </w:r>
      <w:r>
        <w:t xml:space="preserve"> including SAP's analytics tools, the data-migration specialist Syniti, and reporting tools like Tableau, Power BI and Qlik.</w:t>
      </w:r>
    </w:p>
    <w:p>
      <w:pPr>
        <w:pStyle w:val="ListBullet"/>
      </w:pPr>
      <w:r>
        <w:rPr>
          <w:b/>
        </w:rPr>
        <w:t>Specialist partners:</w:t>
      </w:r>
      <w:r>
        <w:t xml:space="preserve"> integration, content and IT-service tools, plus "8 more strategic partners."</w:t>
      </w:r>
    </w:p>
    <w:p>
      <w:r>
        <w:t>Each partner appears as a card with its logo, the partnership level, and a one-line note on its role.</w:t>
      </w:r>
    </w:p>
    <w:p>
      <w:r>
        <w:rPr>
          <w:b/>
        </w:rPr>
        <w:t>Why it matters.</w:t>
      </w:r>
      <w:r>
        <w:t xml:space="preserve"> The deck gives partnerships their own section — a sign the company wants to lead with the strength of its ecosystem. Showing top cloud partnerships signals that In2IT EBS can deliver modern, cloud-based SAP projects, a key buying factor.</w:t>
      </w:r>
    </w:p>
    <w:p>
      <w:r>
        <w:rPr>
          <w:b/>
        </w:rPr>
        <w:t>Priority:</w:t>
      </w:r>
      <w:r>
        <w:t xml:space="preserve"> Should-have. </w:t>
      </w:r>
      <w:r>
        <w:rPr>
          <w:b/>
        </w:rPr>
        <w:t>Effort:</w:t>
      </w:r>
      <w:r>
        <w:t xml:space="preserve"> Medium.</w:t>
      </w:r>
    </w:p>
    <w:p>
      <w:pPr>
        <w:pStyle w:val="Heading2"/>
      </w:pPr>
      <w:r>
        <w:rPr>
          <w:color w:val="121E3B"/>
        </w:rPr>
        <w:t>Group 6 — Insights, Careers and Leadership</w:t>
      </w:r>
    </w:p>
    <w:p>
      <w:pPr>
        <w:pStyle w:val="Heading3"/>
      </w:pPr>
      <w:r>
        <w:rPr>
          <w:color w:val="121E3B"/>
        </w:rPr>
        <w:t>6.1 Insights / Blog Section (Deck) for the section; ★ Additive for ongoing publishing</w:t>
      </w:r>
    </w:p>
    <w:p>
      <w:r>
        <w:rPr>
          <w:b/>
        </w:rPr>
        <w:t>What the visitor sees.</w:t>
      </w:r>
      <w:r>
        <w:t xml:space="preserve"> An "Insights" area with articles on SAP trends, AI in HR, and client outcomes. Each article has a clear layout with author, date, reading time and related-article suggestions. Older articles from the previous website are carried over so no value is lost.</w:t>
      </w:r>
    </w:p>
    <w:p>
      <w:r>
        <w:rPr>
          <w:b/>
        </w:rPr>
        <w:t>Why it matters.</w:t>
      </w:r>
      <w:r>
        <w:t xml:space="preserve"> Regular, expert articles are the main way Google notices a site is active and authoritative — helping the company rank for valuable searches like "RISE vs GROW for mid-sized companies." The company's deep SAP experience gives it genuine authority to write with credibility.</w:t>
      </w:r>
    </w:p>
    <w:p>
      <w:r>
        <w:rPr>
          <w:b/>
        </w:rPr>
        <w:t>Priority:</w:t>
      </w:r>
      <w:r>
        <w:t xml:space="preserve"> Should-have for the section; the ongoing writing is a steady commitment. </w:t>
      </w:r>
      <w:r>
        <w:rPr>
          <w:b/>
        </w:rPr>
        <w:t>Effort:</w:t>
      </w:r>
      <w:r>
        <w:t xml:space="preserve"> Small to set up; Medium to keep it fed with content.</w:t>
      </w:r>
    </w:p>
    <w:p>
      <w:pPr>
        <w:pStyle w:val="Heading3"/>
      </w:pPr>
      <w:r>
        <w:rPr>
          <w:color w:val="121E3B"/>
        </w:rPr>
        <w:t>6.2 Careers Page (Jobs Added Later) (Deck)</w:t>
      </w:r>
    </w:p>
    <w:p>
      <w:r>
        <w:rPr>
          <w:b/>
        </w:rPr>
        <w:t>What the visitor sees.</w:t>
      </w:r>
      <w:r>
        <w:t xml:space="preserve"> A page about the company's culture and values, with a "current openings" area left empty for now. When roles are ready, they can be listed easily.</w:t>
      </w:r>
    </w:p>
    <w:p>
      <w:r>
        <w:rPr>
          <w:b/>
        </w:rPr>
        <w:t>Why it matters.</w:t>
      </w:r>
      <w:r>
        <w:t xml:space="preserve"> A healthy careers page reassures large enterprise buyers that the company is stable and growing — relevant given the "hundreds of employees" headline.</w:t>
      </w:r>
    </w:p>
    <w:p>
      <w:r>
        <w:rPr>
          <w:b/>
        </w:rPr>
        <w:t>Priority:</w:t>
      </w:r>
      <w:r>
        <w:t xml:space="preserve"> Nice-to-have. </w:t>
      </w:r>
      <w:r>
        <w:rPr>
          <w:b/>
        </w:rPr>
        <w:t>Effort:</w:t>
      </w:r>
      <w:r>
        <w:t xml:space="preserve"> Small.</w:t>
      </w:r>
    </w:p>
    <w:p>
      <w:pPr>
        <w:pStyle w:val="Heading3"/>
      </w:pPr>
      <w:r>
        <w:rPr>
          <w:color w:val="121E3B"/>
        </w:rPr>
        <w:t>6.3 Leadership Profiles on the About Page ★ Additive</w:t>
      </w:r>
    </w:p>
    <w:p>
      <w:r>
        <w:rPr>
          <w:b/>
        </w:rPr>
        <w:t>What the visitor sees.</w:t>
      </w:r>
      <w:r>
        <w:t xml:space="preserve"> A "Leadership" section with real photos, names, titles, a one-line bio and a LinkedIn link for senior leaders.</w:t>
      </w:r>
    </w:p>
    <w:p>
      <w:r>
        <w:rPr>
          <w:b/>
        </w:rPr>
        <w:t>Why it matters.</w:t>
      </w:r>
      <w:r>
        <w:t xml:space="preserve"> Real, photographed leaders are one of the strongest, cheapest trust signals a professional-services firm can offer. It puts a human face to the company — something prospects expect to see.</w:t>
      </w:r>
    </w:p>
    <w:p>
      <w:r>
        <w:rPr>
          <w:b/>
        </w:rPr>
        <w:t>Priority:</w:t>
      </w:r>
      <w:r>
        <w:t xml:space="preserve"> Should-have. </w:t>
      </w:r>
      <w:r>
        <w:rPr>
          <w:b/>
        </w:rPr>
        <w:t>Effort:</w:t>
      </w:r>
      <w:r>
        <w:t xml:space="preserve"> Small to build; Medium because it needs a short photo session.</w:t>
      </w:r>
    </w:p>
    <w:p>
      <w:pPr>
        <w:pStyle w:val="Heading2"/>
      </w:pPr>
      <w:r>
        <w:rPr>
          <w:color w:val="121E3B"/>
        </w:rPr>
        <w:t>Group 7 — Trust Signals</w:t>
      </w:r>
    </w:p>
    <w:p>
      <w:pPr>
        <w:pStyle w:val="Heading3"/>
      </w:pPr>
      <w:r>
        <w:rPr>
          <w:color w:val="121E3B"/>
        </w:rPr>
        <w:t>7.1 SAP Gold Partner and Other Badges (Deck)</w:t>
      </w:r>
    </w:p>
    <w:p>
      <w:r>
        <w:rPr>
          <w:b/>
        </w:rPr>
        <w:t>What the visitor sees.</w:t>
      </w:r>
      <w:r>
        <w:t xml:space="preserve"> The SAP Gold Partner badge (plus RISE and PCE partner badges) shown in the right places: near the top of the homepage, just under the heading on the SAP page, and in the footer alongside quality certifications (CMMI, ISO 9001, ISO 27001).</w:t>
      </w:r>
    </w:p>
    <w:p>
      <w:r>
        <w:rPr>
          <w:b/>
        </w:rPr>
        <w:t>Why it matters.</w:t>
      </w:r>
      <w:r>
        <w:t xml:space="preserve"> The deck opens its SAP section with "A Proud SAP Gold Partner." These badges are quick, recognised proof of credibility — and only a small number of firms hold this combination.</w:t>
      </w:r>
    </w:p>
    <w:p>
      <w:r>
        <w:rPr>
          <w:b/>
        </w:rPr>
        <w:t>Priority:</w:t>
      </w:r>
      <w:r>
        <w:t xml:space="preserve"> Must-have. </w:t>
      </w:r>
      <w:r>
        <w:rPr>
          <w:b/>
        </w:rPr>
        <w:t>Effort:</w:t>
      </w:r>
      <w:r>
        <w:t xml:space="preserve"> Small.</w:t>
      </w:r>
    </w:p>
    <w:p>
      <w:pPr>
        <w:pStyle w:val="Heading3"/>
      </w:pPr>
      <w:r>
        <w:rPr>
          <w:color w:val="121E3B"/>
        </w:rPr>
        <w:t>7.2 Certifications Strip and Animated Key Numbers (Deck)</w:t>
      </w:r>
    </w:p>
    <w:p>
      <w:r>
        <w:rPr>
          <w:b/>
        </w:rPr>
        <w:t>What the visitor sees.</w:t>
      </w:r>
      <w:r>
        <w:t xml:space="preserve"> A tidy strip of certification and partner badges, and a band of headline numbers that count up as they come into view, for example:</w:t>
      </w:r>
    </w:p>
    <w:p>
      <w:pPr>
        <w:pStyle w:val="ListBullet"/>
      </w:pPr>
      <w:r>
        <w:t>10+ years of experience</w:t>
      </w:r>
    </w:p>
    <w:p>
      <w:pPr>
        <w:pStyle w:val="ListBullet"/>
      </w:pPr>
      <w:r>
        <w:t>150+ global customers</w:t>
      </w:r>
    </w:p>
    <w:p>
      <w:pPr>
        <w:pStyle w:val="ListBullet"/>
      </w:pPr>
      <w:r>
        <w:t>30+ countries delivered</w:t>
      </w:r>
    </w:p>
    <w:p>
      <w:pPr>
        <w:pStyle w:val="ListBullet"/>
      </w:pPr>
      <w:r>
        <w:t>300+ SAP consultants and 1,000+ combined years of SAP experience</w:t>
      </w:r>
    </w:p>
    <w:p>
      <w:pPr>
        <w:pStyle w:val="ListBullet"/>
      </w:pPr>
      <w:r>
        <w:t>25+ S/4HANA programmes with a 100% successful go-live record</w:t>
      </w:r>
    </w:p>
    <w:p>
      <w:r>
        <w:t>*(The employee number and accelerator counts are held back pending the confirmation noted at the top of this document.)*</w:t>
      </w:r>
    </w:p>
    <w:p>
      <w:r>
        <w:rPr>
          <w:b/>
        </w:rPr>
        <w:t>Why it matters.</w:t>
      </w:r>
      <w:r>
        <w:t xml:space="preserve"> These figures, drawn straight from the deck, build instant confidence. The gentle count-up animation draws the eye and signals quiet confidence.</w:t>
      </w:r>
    </w:p>
    <w:p>
      <w:r>
        <w:rPr>
          <w:b/>
        </w:rPr>
        <w:t>Priority:</w:t>
      </w:r>
      <w:r>
        <w:t xml:space="preserve"> Must-have. </w:t>
      </w:r>
      <w:r>
        <w:rPr>
          <w:b/>
        </w:rPr>
        <w:t>Effort:</w:t>
      </w:r>
      <w:r>
        <w:t xml:space="preserve"> Small.</w:t>
      </w:r>
    </w:p>
    <w:p>
      <w:pPr>
        <w:pStyle w:val="Heading2"/>
      </w:pPr>
      <w:r>
        <w:rPr>
          <w:color w:val="121E3B"/>
        </w:rPr>
        <w:t>Group 8 — Being Found on Google and Measuring Results</w:t>
      </w:r>
    </w:p>
    <w:p>
      <w:r>
        <w:t>These features are mostly behind the scenes, but they are essential to getting found and to knowing what's working.</w:t>
      </w:r>
    </w:p>
    <w:p>
      <w:pPr>
        <w:pStyle w:val="Heading3"/>
      </w:pPr>
      <w:r>
        <w:rPr>
          <w:color w:val="121E3B"/>
        </w:rPr>
        <w:t>8.1 Visitor Measurement and Cookie Consent (Deck) for consent; ★ Additive for the wider setup</w:t>
      </w:r>
    </w:p>
    <w:p>
      <w:r>
        <w:rPr>
          <w:b/>
        </w:rPr>
        <w:t>What the visitor sees.</w:t>
      </w:r>
      <w:r>
        <w:t xml:space="preserve"> A polite cookie banner that asks permission before any tracking begins. Behind the scenes, the company can see how many people visit, which pages and tools they use, and how many submit forms.</w:t>
      </w:r>
    </w:p>
    <w:p>
      <w:r>
        <w:rPr>
          <w:b/>
        </w:rPr>
        <w:t>Why it matters.</w:t>
      </w:r>
      <w:r>
        <w:t xml:space="preserve"> The company operates where privacy laws are strict (India, Kenya, South Africa, the Middle East and beyond), so asking consent first is both respectful and required. Measurement lets the company see what's working and improve over time. *(One plain note: a LinkedIn tracking tag lets the company later reach decision-makers who visited the site, with an advert on LinkedIn — only switched on after consent.)*</w:t>
      </w:r>
    </w:p>
    <w:p>
      <w:r>
        <w:rPr>
          <w:b/>
        </w:rPr>
        <w:t>Priority:</w:t>
      </w:r>
      <w:r>
        <w:t xml:space="preserve"> Must-have. </w:t>
      </w:r>
      <w:r>
        <w:rPr>
          <w:b/>
        </w:rPr>
        <w:t>Effort:</w:t>
      </w:r>
      <w:r>
        <w:t xml:space="preserve"> Small.</w:t>
      </w:r>
    </w:p>
    <w:p>
      <w:pPr>
        <w:pStyle w:val="Heading3"/>
      </w:pPr>
      <w:r>
        <w:rPr>
          <w:color w:val="121E3B"/>
        </w:rPr>
        <w:t>8.2 Helping Google Understand the Site ★ Additive</w:t>
      </w:r>
    </w:p>
    <w:p>
      <w:r>
        <w:rPr>
          <w:b/>
        </w:rPr>
        <w:t>What the visitor sees.</w:t>
      </w:r>
      <w:r>
        <w:t xml:space="preserve"> Nothing directly — but in Google results, the company's pages can show richer, more useful listings (clear navigation trails, article dates, organisation details).</w:t>
      </w:r>
    </w:p>
    <w:p>
      <w:r>
        <w:rPr>
          <w:b/>
        </w:rPr>
        <w:t>Why it matters.</w:t>
      </w:r>
      <w:r>
        <w:t xml:space="preserve"> This is free, behind-the-scenes labelling that makes search results more attractive and trustworthy, helping the company stand out on the results page. *(One plain note: it's a small piece of hidden description on each page that search engines read.)*</w:t>
      </w:r>
    </w:p>
    <w:p>
      <w:r>
        <w:rPr>
          <w:b/>
        </w:rPr>
        <w:t>Priority:</w:t>
      </w:r>
      <w:r>
        <w:t xml:space="preserve"> Should-have. </w:t>
      </w:r>
      <w:r>
        <w:rPr>
          <w:b/>
        </w:rPr>
        <w:t>Effort:</w:t>
      </w:r>
      <w:r>
        <w:t xml:space="preserve"> Small.</w:t>
      </w:r>
    </w:p>
    <w:p>
      <w:pPr>
        <w:pStyle w:val="Heading3"/>
      </w:pPr>
      <w:r>
        <w:rPr>
          <w:color w:val="121E3B"/>
        </w:rPr>
        <w:t>8.3 Keeping Old Web Addresses Working (Deck/Additive)</w:t>
      </w:r>
    </w:p>
    <w:p>
      <w:r>
        <w:rPr>
          <w:b/>
        </w:rPr>
        <w:t>What the visitor sees.</w:t>
      </w:r>
      <w:r>
        <w:t xml:space="preserve"> If someone clicks an old link to the previous website, they land smoothly on the matching new page instead of an error.</w:t>
      </w:r>
    </w:p>
    <w:p>
      <w:r>
        <w:rPr>
          <w:b/>
        </w:rPr>
        <w:t>Why it matters.</w:t>
      </w:r>
      <w:r>
        <w:t xml:space="preserve"> The old site has built up reputation with Google over years. Forwarding old addresses to the right new pages protects that hard-won search ranking during the relaunch — skipping this would quietly lose valuable traffic.</w:t>
      </w:r>
    </w:p>
    <w:p>
      <w:r>
        <w:rPr>
          <w:b/>
        </w:rPr>
        <w:t>Priority:</w:t>
      </w:r>
      <w:r>
        <w:t xml:space="preserve"> Must-have (before launch). </w:t>
      </w:r>
      <w:r>
        <w:rPr>
          <w:b/>
        </w:rPr>
        <w:t>Effort:</w:t>
      </w:r>
      <w:r>
        <w:t xml:space="preserve"> Small.</w:t>
      </w:r>
    </w:p>
    <w:p>
      <w:pPr>
        <w:pStyle w:val="Heading3"/>
      </w:pPr>
      <w:r>
        <w:rPr>
          <w:color w:val="121E3B"/>
        </w:rPr>
        <w:t>8.4 Fast, Accessible, Reliable Site ★ Additive</w:t>
      </w:r>
    </w:p>
    <w:p>
      <w:r>
        <w:rPr>
          <w:b/>
        </w:rPr>
        <w:t>What the visitor sees.</w:t>
      </w:r>
      <w:r>
        <w:t xml:space="preserve"> Pages that load quickly — even on slower mobile connections — and that work well for everyone, including people using a keyboard or screen reader.</w:t>
      </w:r>
    </w:p>
    <w:p>
      <w:r>
        <w:rPr>
          <w:b/>
        </w:rPr>
        <w:t>Why it matters.</w:t>
      </w:r>
      <w:r>
        <w:t xml:space="preserve"> Speed affects both how visitors feel and how Google ranks the site. Accessibility is also a legal expectation for government and public-sector clients — several of which (power utilities, a national railway) are showcased as references, so the site itself must meet that bar. *(One plain note: we set clear speed and accessibility targets and check them automatically as the site is built.)*</w:t>
      </w:r>
    </w:p>
    <w:p>
      <w:r>
        <w:rPr>
          <w:b/>
        </w:rPr>
        <w:t>Priority:</w:t>
      </w:r>
      <w:r>
        <w:t xml:space="preserve"> Must-have. </w:t>
      </w:r>
      <w:r>
        <w:rPr>
          <w:b/>
        </w:rPr>
        <w:t>Effort:</w:t>
      </w:r>
      <w:r>
        <w:t xml:space="preserve"> Small (it's mostly setting standards and checking, not building new things).</w:t>
      </w:r>
    </w:p>
    <w:p>
      <w:pPr>
        <w:pStyle w:val="Heading2"/>
      </w:pPr>
      <w:r>
        <w:rPr>
          <w:color w:val="121E3B"/>
        </w:rPr>
        <w:t>Group 9 — Optional Future Ideas</w:t>
      </w:r>
    </w:p>
    <w:p>
      <w:r>
        <w:t>Good ideas for later, once the core site is live and proving itself.</w:t>
      </w:r>
    </w:p>
    <w:p>
      <w:pPr>
        <w:pStyle w:val="Heading3"/>
      </w:pPr>
      <w:r>
        <w:rPr>
          <w:color w:val="121E3B"/>
        </w:rPr>
        <w:t>9.1 AI Assistant / Chatbot ★ Additive</w:t>
      </w:r>
    </w:p>
    <w:p>
      <w:r>
        <w:rPr>
          <w:b/>
        </w:rPr>
        <w:t>What the visitor sees.</w:t>
      </w:r>
      <w:r>
        <w:t xml:space="preserve"> A small, friendly chat window that can answer common questions about the company's services and point visitors to the right person or page.</w:t>
      </w:r>
    </w:p>
    <w:p>
      <w:r>
        <w:rPr>
          <w:b/>
        </w:rPr>
        <w:t>Why it matters.</w:t>
      </w:r>
      <w:r>
        <w:t xml:space="preserve"> The company sells AI capability, so running a smart assistant on its own website is a living proof point. The caution: it must be accurate — a poorly trained assistant that gives wrong answers would do more harm than good, so it should only launch once quality is assured.</w:t>
      </w:r>
    </w:p>
    <w:p>
      <w:r>
        <w:rPr>
          <w:b/>
        </w:rPr>
        <w:t>Priority:</w:t>
      </w:r>
      <w:r>
        <w:t xml:space="preserve"> Nice-to-have (later). </w:t>
      </w:r>
      <w:r>
        <w:rPr>
          <w:b/>
        </w:rPr>
        <w:t>Effort:</w:t>
      </w:r>
      <w:r>
        <w:t xml:space="preserve"> Large.</w:t>
      </w:r>
    </w:p>
    <w:p>
      <w:pPr>
        <w:pStyle w:val="Heading3"/>
      </w:pPr>
      <w:r>
        <w:rPr>
          <w:color w:val="121E3B"/>
        </w:rPr>
        <w:t>9.2 Savings / Return-on-Investment Calculator ★ Additive</w:t>
      </w:r>
    </w:p>
    <w:p>
      <w:r>
        <w:rPr>
          <w:b/>
        </w:rPr>
        <w:t>What the visitor sees.</w:t>
      </w:r>
      <w:r>
        <w:t xml:space="preserve"> A simple calculator: enter a few numbers about their current SAP setup, and see an estimated time-and-cost saving from the company's faster delivery method, with an invitation to book a workshop to validate it.</w:t>
      </w:r>
    </w:p>
    <w:p>
      <w:r>
        <w:rPr>
          <w:b/>
        </w:rPr>
        <w:t>Why it matters.</w:t>
      </w:r>
      <w:r>
        <w:t xml:space="preserve"> It turns an abstract "up to 30% faster" claim into a personal, concrete number — a proven way to attract serious enterprise enquiries. It must be clearly labelled an estimate, not a promise.</w:t>
      </w:r>
    </w:p>
    <w:p>
      <w:r>
        <w:rPr>
          <w:b/>
        </w:rPr>
        <w:t>Priority:</w:t>
      </w:r>
      <w:r>
        <w:t xml:space="preserve"> Nice-to-have (later). </w:t>
      </w:r>
      <w:r>
        <w:rPr>
          <w:b/>
        </w:rPr>
        <w:t>Effort:</w:t>
      </w:r>
      <w:r>
        <w:t xml:space="preserve"> Medium.</w:t>
      </w:r>
    </w:p>
    <w:p>
      <w:pPr>
        <w:pStyle w:val="Heading3"/>
      </w:pPr>
      <w:r>
        <w:rPr>
          <w:color w:val="121E3B"/>
        </w:rPr>
        <w:t>9.3 Downloadable Guides (Resource Centre) ★ Additive</w:t>
      </w:r>
    </w:p>
    <w:p>
      <w:r>
        <w:rPr>
          <w:b/>
        </w:rPr>
        <w:t>What the visitor sees.</w:t>
      </w:r>
      <w:r>
        <w:t xml:space="preserve"> A library of helpful PDF guides — for example, a "Choosing your SAP path" guide or an "HR AI readiness checklist" — available in exchange for a name, work email and company.</w:t>
      </w:r>
    </w:p>
    <w:p>
      <w:r>
        <w:rPr>
          <w:b/>
        </w:rPr>
        <w:t>Why it matters.</w:t>
      </w:r>
      <w:r>
        <w:t xml:space="preserve"> Useful free guides attract prospects who aren't quite ready to talk, and capture their details for later follow-up. Much of the content can be adapted from material already in the deck.</w:t>
      </w:r>
    </w:p>
    <w:p>
      <w:r>
        <w:rPr>
          <w:b/>
        </w:rPr>
        <w:t>Priority:</w:t>
      </w:r>
      <w:r>
        <w:t xml:space="preserve"> Nice-to-have (later). </w:t>
      </w:r>
      <w:r>
        <w:rPr>
          <w:b/>
        </w:rPr>
        <w:t>Effort:</w:t>
      </w:r>
      <w:r>
        <w:t xml:space="preserve"> Medium.</w:t>
      </w:r>
    </w:p>
    <w:p>
      <w:pPr>
        <w:pStyle w:val="Heading3"/>
      </w:pPr>
      <w:r>
        <w:rPr>
          <w:color w:val="121E3B"/>
        </w:rPr>
        <w:t>9.4 Tailoring the Site by Region and Industry ★ Additive</w:t>
      </w:r>
    </w:p>
    <w:p>
      <w:r>
        <w:rPr>
          <w:b/>
        </w:rPr>
        <w:t>What the visitor sees.</w:t>
      </w:r>
      <w:r>
        <w:t xml:space="preserve"> Over time, the site could quietly adapt — for instance, showing an energy-sector visitor from India relevant clients and offerings first.</w:t>
      </w:r>
    </w:p>
    <w:p>
      <w:r>
        <w:rPr>
          <w:b/>
        </w:rPr>
        <w:t>Why it matters.</w:t>
      </w:r>
      <w:r>
        <w:t xml:space="preserve"> With many industries and regions, one homepage can't be equally relevant to everyone. Tailoring can lift engagement — but it's best done later, once we have enough visitor data to know which audiences matter most.</w:t>
      </w:r>
    </w:p>
    <w:p>
      <w:r>
        <w:rPr>
          <w:b/>
        </w:rPr>
        <w:t>Priority:</w:t>
      </w:r>
      <w:r>
        <w:t xml:space="preserve"> Nice-to-have (later). </w:t>
      </w:r>
      <w:r>
        <w:rPr>
          <w:b/>
        </w:rPr>
        <w:t>Effort:</w:t>
      </w:r>
      <w:r>
        <w:t xml:space="preserve"> Large.</w:t>
      </w:r>
    </w:p>
    <w:p>
      <w:pPr>
        <w:pStyle w:val="Heading2"/>
      </w:pPr>
      <w:r>
        <w:rPr>
          <w:color w:val="121E3B"/>
        </w:rPr>
        <w:t>Phased Roadmap at a Glance</w:t>
      </w:r>
    </w:p>
    <w:p>
      <w:pPr>
        <w:pStyle w:val="Heading3"/>
      </w:pPr>
      <w:r>
        <w:rPr>
          <w:color w:val="121E3B"/>
        </w:rPr>
        <w:t>Phase 1 — Quick Wins (launch and the first couple of weeks)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Feature</w:t>
            </w:r>
          </w:p>
        </w:tc>
        <w:tc>
          <w:tcPr>
            <w:tcW w:type="dxa" w:w="2160"/>
          </w:tcPr>
          <w:p>
            <w:r>
              <w:rPr>
                <w:b/>
                <w:sz w:val="19"/>
              </w:rPr>
              <w:t>Source</w:t>
            </w:r>
          </w:p>
        </w:tc>
        <w:tc>
          <w:tcPr>
            <w:tcW w:type="dxa" w:w="2160"/>
          </w:tcPr>
          <w:p>
            <w:r>
              <w:rPr>
                <w:b/>
                <w:sz w:val="19"/>
              </w:rPr>
              <w:t>Priority</w:t>
            </w:r>
          </w:p>
        </w:tc>
        <w:tc>
          <w:tcPr>
            <w:tcW w:type="dxa" w:w="2160"/>
          </w:tcPr>
          <w:p>
            <w:r>
              <w:rPr>
                <w:b/>
                <w:sz w:val="19"/>
              </w:rPr>
              <w:t>Effort</w:t>
            </w:r>
          </w:p>
        </w:tc>
      </w:tr>
      <w:tr>
        <w:tc>
          <w:tcPr>
            <w:tcW w:type="dxa" w:w="2160"/>
          </w:tcPr>
          <w:p>
            <w:r>
              <w:rPr>
                <w:sz w:val="19"/>
              </w:rPr>
              <w:t>Pillar-based main menu</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Always-visible "Get in Touch" button</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Region selector</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Breadcrumb trail</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Main contact form</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Short forms on key service pages</w:t>
            </w:r>
          </w:p>
        </w:tc>
        <w:tc>
          <w:tcPr>
            <w:tcW w:type="dxa" w:w="2160"/>
          </w:tcPr>
          <w:p>
            <w:r>
              <w:rPr>
                <w:sz w:val="19"/>
              </w:rPr>
              <w:t>★ Additive</w:t>
            </w:r>
          </w:p>
        </w:tc>
        <w:tc>
          <w:tcPr>
            <w:tcW w:type="dxa" w:w="2160"/>
          </w:tcPr>
          <w:p>
            <w:r>
              <w:rPr>
                <w:sz w:val="19"/>
              </w:rPr>
              <w:t>Should-have</w:t>
            </w:r>
          </w:p>
        </w:tc>
        <w:tc>
          <w:tcPr>
            <w:tcW w:type="dxa" w:w="2160"/>
          </w:tcPr>
          <w:p>
            <w:r>
              <w:rPr>
                <w:sz w:val="19"/>
              </w:rPr>
              <w:t>Small</w:t>
            </w:r>
          </w:p>
        </w:tc>
      </w:tr>
      <w:tr>
        <w:tc>
          <w:tcPr>
            <w:tcW w:type="dxa" w:w="2160"/>
          </w:tcPr>
          <w:p>
            <w:r>
              <w:rPr>
                <w:sz w:val="19"/>
              </w:rPr>
              <w:t>"Talk to an expert" prompt</w:t>
            </w:r>
          </w:p>
        </w:tc>
        <w:tc>
          <w:tcPr>
            <w:tcW w:type="dxa" w:w="2160"/>
          </w:tcPr>
          <w:p>
            <w:r>
              <w:rPr>
                <w:sz w:val="19"/>
              </w:rPr>
              <w:t>★ Additive</w:t>
            </w:r>
          </w:p>
        </w:tc>
        <w:tc>
          <w:tcPr>
            <w:tcW w:type="dxa" w:w="2160"/>
          </w:tcPr>
          <w:p>
            <w:r>
              <w:rPr>
                <w:sz w:val="19"/>
              </w:rPr>
              <w:t>Should-have</w:t>
            </w:r>
          </w:p>
        </w:tc>
        <w:tc>
          <w:tcPr>
            <w:tcW w:type="dxa" w:w="2160"/>
          </w:tcPr>
          <w:p>
            <w:r>
              <w:rPr>
                <w:sz w:val="19"/>
              </w:rPr>
              <w:t>Small</w:t>
            </w:r>
          </w:p>
        </w:tc>
      </w:tr>
      <w:tr>
        <w:tc>
          <w:tcPr>
            <w:tcW w:type="dxa" w:w="2160"/>
          </w:tcPr>
          <w:p>
            <w:r>
              <w:rPr>
                <w:sz w:val="19"/>
              </w:rPr>
              <w:t>"Converged Intelligence" picture (interactive)</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SAP delivery toolset showcase</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"Request full case study" (confidential)</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Scrolling client logo band</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Partners &amp; Ecosystem page</w:t>
            </w:r>
          </w:p>
        </w:tc>
        <w:tc>
          <w:tcPr>
            <w:tcW w:type="dxa" w:w="2160"/>
          </w:tcPr>
          <w:p>
            <w:r>
              <w:rPr>
                <w:sz w:val="19"/>
              </w:rPr>
              <w:t>Deck</w:t>
            </w:r>
          </w:p>
        </w:tc>
        <w:tc>
          <w:tcPr>
            <w:tcW w:type="dxa" w:w="2160"/>
          </w:tcPr>
          <w:p>
            <w:r>
              <w:rPr>
                <w:sz w:val="19"/>
              </w:rPr>
              <w:t>Should-have</w:t>
            </w:r>
          </w:p>
        </w:tc>
        <w:tc>
          <w:tcPr>
            <w:tcW w:type="dxa" w:w="2160"/>
          </w:tcPr>
          <w:p>
            <w:r>
              <w:rPr>
                <w:sz w:val="19"/>
              </w:rPr>
              <w:t>Medium</w:t>
            </w:r>
          </w:p>
        </w:tc>
      </w:tr>
      <w:tr>
        <w:tc>
          <w:tcPr>
            <w:tcW w:type="dxa" w:w="2160"/>
          </w:tcPr>
          <w:p>
            <w:r>
              <w:rPr>
                <w:sz w:val="19"/>
              </w:rPr>
              <w:t>SAP and certification badges</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Certifications strip + animated numbers</w:t>
            </w:r>
          </w:p>
        </w:tc>
        <w:tc>
          <w:tcPr>
            <w:tcW w:type="dxa" w:w="2160"/>
          </w:tcPr>
          <w:p>
            <w:r>
              <w:rPr>
                <w:sz w:val="19"/>
              </w:rPr>
              <w:t>Deck</w:t>
            </w:r>
          </w:p>
        </w:tc>
        <w:tc>
          <w:tcPr>
            <w:tcW w:type="dxa" w:w="2160"/>
          </w:tcPr>
          <w:p>
            <w:r>
              <w:rPr>
                <w:sz w:val="19"/>
              </w:rPr>
              <w:t>Must-have</w:t>
            </w:r>
          </w:p>
        </w:tc>
        <w:tc>
          <w:tcPr>
            <w:tcW w:type="dxa" w:w="2160"/>
          </w:tcPr>
          <w:p>
            <w:r>
              <w:rPr>
                <w:sz w:val="19"/>
              </w:rPr>
              <w:t>Small</w:t>
            </w:r>
          </w:p>
        </w:tc>
      </w:tr>
      <w:tr>
        <w:tc>
          <w:tcPr>
            <w:tcW w:type="dxa" w:w="2160"/>
          </w:tcPr>
          <w:p>
            <w:r>
              <w:rPr>
                <w:sz w:val="19"/>
              </w:rPr>
              <w:t>Visitor measurement + cookie consent</w:t>
            </w:r>
          </w:p>
        </w:tc>
        <w:tc>
          <w:tcPr>
            <w:tcW w:type="dxa" w:w="2160"/>
          </w:tcPr>
          <w:p>
            <w:r>
              <w:rPr>
                <w:sz w:val="19"/>
              </w:rPr>
              <w:t>Deck / Additive</w:t>
            </w:r>
          </w:p>
        </w:tc>
        <w:tc>
          <w:tcPr>
            <w:tcW w:type="dxa" w:w="2160"/>
          </w:tcPr>
          <w:p>
            <w:r>
              <w:rPr>
                <w:sz w:val="19"/>
              </w:rPr>
              <w:t>Must-have</w:t>
            </w:r>
          </w:p>
        </w:tc>
        <w:tc>
          <w:tcPr>
            <w:tcW w:type="dxa" w:w="2160"/>
          </w:tcPr>
          <w:p>
            <w:r>
              <w:rPr>
                <w:sz w:val="19"/>
              </w:rPr>
              <w:t>Small</w:t>
            </w:r>
          </w:p>
        </w:tc>
      </w:tr>
      <w:tr>
        <w:tc>
          <w:tcPr>
            <w:tcW w:type="dxa" w:w="2160"/>
          </w:tcPr>
          <w:p>
            <w:r>
              <w:rPr>
                <w:sz w:val="19"/>
              </w:rPr>
              <w:t>Helping Google understand the site</w:t>
            </w:r>
          </w:p>
        </w:tc>
        <w:tc>
          <w:tcPr>
            <w:tcW w:type="dxa" w:w="2160"/>
          </w:tcPr>
          <w:p>
            <w:r>
              <w:rPr>
                <w:sz w:val="19"/>
              </w:rPr>
              <w:t>★ Additive</w:t>
            </w:r>
          </w:p>
        </w:tc>
        <w:tc>
          <w:tcPr>
            <w:tcW w:type="dxa" w:w="2160"/>
          </w:tcPr>
          <w:p>
            <w:r>
              <w:rPr>
                <w:sz w:val="19"/>
              </w:rPr>
              <w:t>Should-have</w:t>
            </w:r>
          </w:p>
        </w:tc>
        <w:tc>
          <w:tcPr>
            <w:tcW w:type="dxa" w:w="2160"/>
          </w:tcPr>
          <w:p>
            <w:r>
              <w:rPr>
                <w:sz w:val="19"/>
              </w:rPr>
              <w:t>Small</w:t>
            </w:r>
          </w:p>
        </w:tc>
      </w:tr>
      <w:tr>
        <w:tc>
          <w:tcPr>
            <w:tcW w:type="dxa" w:w="2160"/>
          </w:tcPr>
          <w:p>
            <w:r>
              <w:rPr>
                <w:sz w:val="19"/>
              </w:rPr>
              <w:t>Keeping old web addresses working</w:t>
            </w:r>
          </w:p>
        </w:tc>
        <w:tc>
          <w:tcPr>
            <w:tcW w:type="dxa" w:w="2160"/>
          </w:tcPr>
          <w:p>
            <w:r>
              <w:rPr>
                <w:sz w:val="19"/>
              </w:rPr>
              <w:t>Deck / Additive</w:t>
            </w:r>
          </w:p>
        </w:tc>
        <w:tc>
          <w:tcPr>
            <w:tcW w:type="dxa" w:w="2160"/>
          </w:tcPr>
          <w:p>
            <w:r>
              <w:rPr>
                <w:sz w:val="19"/>
              </w:rPr>
              <w:t>Must-have</w:t>
            </w:r>
          </w:p>
        </w:tc>
        <w:tc>
          <w:tcPr>
            <w:tcW w:type="dxa" w:w="2160"/>
          </w:tcPr>
          <w:p>
            <w:r>
              <w:rPr>
                <w:sz w:val="19"/>
              </w:rPr>
              <w:t>Small</w:t>
            </w:r>
          </w:p>
        </w:tc>
      </w:tr>
      <w:tr>
        <w:tc>
          <w:tcPr>
            <w:tcW w:type="dxa" w:w="2160"/>
          </w:tcPr>
          <w:p>
            <w:r>
              <w:rPr>
                <w:sz w:val="19"/>
              </w:rPr>
              <w:t>Fast, accessible, reliable site</w:t>
            </w:r>
          </w:p>
        </w:tc>
        <w:tc>
          <w:tcPr>
            <w:tcW w:type="dxa" w:w="2160"/>
          </w:tcPr>
          <w:p>
            <w:r>
              <w:rPr>
                <w:sz w:val="19"/>
              </w:rPr>
              <w:t>★ Additive</w:t>
            </w:r>
          </w:p>
        </w:tc>
        <w:tc>
          <w:tcPr>
            <w:tcW w:type="dxa" w:w="2160"/>
          </w:tcPr>
          <w:p>
            <w:r>
              <w:rPr>
                <w:sz w:val="19"/>
              </w:rPr>
              <w:t>Must-have</w:t>
            </w:r>
          </w:p>
        </w:tc>
        <w:tc>
          <w:tcPr>
            <w:tcW w:type="dxa" w:w="2160"/>
          </w:tcPr>
          <w:p>
            <w:r>
              <w:rPr>
                <w:sz w:val="19"/>
              </w:rPr>
              <w:t>Small</w:t>
            </w:r>
          </w:p>
        </w:tc>
      </w:tr>
      <w:tr>
        <w:tc>
          <w:tcPr>
            <w:tcW w:type="dxa" w:w="2160"/>
          </w:tcPr>
          <w:p>
            <w:r>
              <w:rPr>
                <w:sz w:val="19"/>
              </w:rPr>
              <w:t>Insights / blog section (set-up)</w:t>
            </w:r>
          </w:p>
        </w:tc>
        <w:tc>
          <w:tcPr>
            <w:tcW w:type="dxa" w:w="2160"/>
          </w:tcPr>
          <w:p>
            <w:r>
              <w:rPr>
                <w:sz w:val="19"/>
              </w:rPr>
              <w:t>Deck</w:t>
            </w:r>
          </w:p>
        </w:tc>
        <w:tc>
          <w:tcPr>
            <w:tcW w:type="dxa" w:w="2160"/>
          </w:tcPr>
          <w:p>
            <w:r>
              <w:rPr>
                <w:sz w:val="19"/>
              </w:rPr>
              <w:t>Should-have</w:t>
            </w:r>
          </w:p>
        </w:tc>
        <w:tc>
          <w:tcPr>
            <w:tcW w:type="dxa" w:w="2160"/>
          </w:tcPr>
          <w:p>
            <w:r>
              <w:rPr>
                <w:sz w:val="19"/>
              </w:rPr>
              <w:t>Small</w:t>
            </w:r>
          </w:p>
        </w:tc>
      </w:tr>
      <w:tr>
        <w:tc>
          <w:tcPr>
            <w:tcW w:type="dxa" w:w="2160"/>
          </w:tcPr>
          <w:p>
            <w:r>
              <w:rPr>
                <w:sz w:val="19"/>
              </w:rPr>
              <w:t>Careers page (jobs later)</w:t>
            </w:r>
          </w:p>
        </w:tc>
        <w:tc>
          <w:tcPr>
            <w:tcW w:type="dxa" w:w="2160"/>
          </w:tcPr>
          <w:p>
            <w:r>
              <w:rPr>
                <w:sz w:val="19"/>
              </w:rPr>
              <w:t>Deck</w:t>
            </w:r>
          </w:p>
        </w:tc>
        <w:tc>
          <w:tcPr>
            <w:tcW w:type="dxa" w:w="2160"/>
          </w:tcPr>
          <w:p>
            <w:r>
              <w:rPr>
                <w:sz w:val="19"/>
              </w:rPr>
              <w:t>Nice-to-have</w:t>
            </w:r>
          </w:p>
        </w:tc>
        <w:tc>
          <w:tcPr>
            <w:tcW w:type="dxa" w:w="2160"/>
          </w:tcPr>
          <w:p>
            <w:r>
              <w:rPr>
                <w:sz w:val="19"/>
              </w:rPr>
              <w:t>Small</w:t>
            </w:r>
          </w:p>
        </w:tc>
      </w:tr>
      <w:tr>
        <w:tc>
          <w:tcPr>
            <w:tcW w:type="dxa" w:w="2160"/>
          </w:tcPr>
          <w:p>
            <w:r>
              <w:rPr>
                <w:sz w:val="19"/>
              </w:rPr>
              <w:t>Leadership profiles</w:t>
            </w:r>
          </w:p>
        </w:tc>
        <w:tc>
          <w:tcPr>
            <w:tcW w:type="dxa" w:w="2160"/>
          </w:tcPr>
          <w:p>
            <w:r>
              <w:rPr>
                <w:sz w:val="19"/>
              </w:rPr>
              <w:t>★ Additive</w:t>
            </w:r>
          </w:p>
        </w:tc>
        <w:tc>
          <w:tcPr>
            <w:tcW w:type="dxa" w:w="2160"/>
          </w:tcPr>
          <w:p>
            <w:r>
              <w:rPr>
                <w:sz w:val="19"/>
              </w:rPr>
              <w:t>Should-have</w:t>
            </w:r>
          </w:p>
        </w:tc>
        <w:tc>
          <w:tcPr>
            <w:tcW w:type="dxa" w:w="2160"/>
          </w:tcPr>
          <w:p>
            <w:r>
              <w:rPr>
                <w:sz w:val="19"/>
              </w:rPr>
              <w:t>Small (+ photo session)</w:t>
            </w:r>
          </w:p>
        </w:tc>
      </w:tr>
      <w:tr>
        <w:tc>
          <w:tcPr>
            <w:tcW w:type="dxa" w:w="2160"/>
          </w:tcPr>
          <w:p>
            <w:r>
              <w:rPr>
                <w:sz w:val="19"/>
              </w:rPr>
              <w:t>Site search (basic)</w:t>
            </w:r>
          </w:p>
        </w:tc>
        <w:tc>
          <w:tcPr>
            <w:tcW w:type="dxa" w:w="2160"/>
          </w:tcPr>
          <w:p>
            <w:r>
              <w:rPr>
                <w:sz w:val="19"/>
              </w:rPr>
              <w:t>★ Additive</w:t>
            </w:r>
          </w:p>
        </w:tc>
        <w:tc>
          <w:tcPr>
            <w:tcW w:type="dxa" w:w="2160"/>
          </w:tcPr>
          <w:p>
            <w:r>
              <w:rPr>
                <w:sz w:val="19"/>
              </w:rPr>
              <w:t>Should-have</w:t>
            </w:r>
          </w:p>
        </w:tc>
        <w:tc>
          <w:tcPr>
            <w:tcW w:type="dxa" w:w="2160"/>
          </w:tcPr>
          <w:p>
            <w:r>
              <w:rPr>
                <w:sz w:val="19"/>
              </w:rPr>
              <w:t>Small</w:t>
            </w:r>
          </w:p>
        </w:tc>
      </w:tr>
    </w:tbl>
    <w:p/>
    <w:p>
      <w:pPr>
        <w:pStyle w:val="Heading3"/>
      </w:pPr>
      <w:r>
        <w:rPr>
          <w:color w:val="121E3B"/>
        </w:rPr>
        <w:t>Phase 2 — Bigger Builds (roughly 1–2 months after launch)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Feature</w:t>
            </w:r>
          </w:p>
        </w:tc>
        <w:tc>
          <w:tcPr>
            <w:tcW w:type="dxa" w:w="2160"/>
          </w:tcPr>
          <w:p>
            <w:r>
              <w:rPr>
                <w:b/>
                <w:sz w:val="19"/>
              </w:rPr>
              <w:t>Source</w:t>
            </w:r>
          </w:p>
        </w:tc>
        <w:tc>
          <w:tcPr>
            <w:tcW w:type="dxa" w:w="2160"/>
          </w:tcPr>
          <w:p>
            <w:r>
              <w:rPr>
                <w:b/>
                <w:sz w:val="19"/>
              </w:rPr>
              <w:t>Priority</w:t>
            </w:r>
          </w:p>
        </w:tc>
        <w:tc>
          <w:tcPr>
            <w:tcW w:type="dxa" w:w="2160"/>
          </w:tcPr>
          <w:p>
            <w:r>
              <w:rPr>
                <w:b/>
                <w:sz w:val="19"/>
              </w:rPr>
              <w:t>Effort</w:t>
            </w:r>
          </w:p>
        </w:tc>
      </w:tr>
      <w:tr>
        <w:tc>
          <w:tcPr>
            <w:tcW w:type="dxa" w:w="2160"/>
          </w:tcPr>
          <w:p>
            <w:r>
              <w:rPr>
                <w:sz w:val="19"/>
              </w:rPr>
              <w:t>RISE-vs-GROW guided chooser</w:t>
            </w:r>
          </w:p>
        </w:tc>
        <w:tc>
          <w:tcPr>
            <w:tcW w:type="dxa" w:w="2160"/>
          </w:tcPr>
          <w:p>
            <w:r>
              <w:rPr>
                <w:sz w:val="19"/>
              </w:rPr>
              <w:t>Deck</w:t>
            </w:r>
          </w:p>
        </w:tc>
        <w:tc>
          <w:tcPr>
            <w:tcW w:type="dxa" w:w="2160"/>
          </w:tcPr>
          <w:p>
            <w:r>
              <w:rPr>
                <w:sz w:val="19"/>
              </w:rPr>
              <w:t>Must-have</w:t>
            </w:r>
          </w:p>
        </w:tc>
        <w:tc>
          <w:tcPr>
            <w:tcW w:type="dxa" w:w="2160"/>
          </w:tcPr>
          <w:p>
            <w:r>
              <w:rPr>
                <w:sz w:val="19"/>
              </w:rPr>
              <w:t>Medium</w:t>
            </w:r>
          </w:p>
        </w:tc>
      </w:tr>
      <w:tr>
        <w:tc>
          <w:tcPr>
            <w:tcW w:type="dxa" w:w="2160"/>
          </w:tcPr>
          <w:p>
            <w:r>
              <w:rPr>
                <w:sz w:val="19"/>
              </w:rPr>
              <w:t>AI HR Health-Check page</w:t>
            </w:r>
          </w:p>
        </w:tc>
        <w:tc>
          <w:tcPr>
            <w:tcW w:type="dxa" w:w="2160"/>
          </w:tcPr>
          <w:p>
            <w:r>
              <w:rPr>
                <w:sz w:val="19"/>
              </w:rPr>
              <w:t>Deck</w:t>
            </w:r>
          </w:p>
        </w:tc>
        <w:tc>
          <w:tcPr>
            <w:tcW w:type="dxa" w:w="2160"/>
          </w:tcPr>
          <w:p>
            <w:r>
              <w:rPr>
                <w:sz w:val="19"/>
              </w:rPr>
              <w:t>Must-have</w:t>
            </w:r>
          </w:p>
        </w:tc>
        <w:tc>
          <w:tcPr>
            <w:tcW w:type="dxa" w:w="2160"/>
          </w:tcPr>
          <w:p>
            <w:r>
              <w:rPr>
                <w:sz w:val="19"/>
              </w:rPr>
              <w:t>Medium</w:t>
            </w:r>
          </w:p>
        </w:tc>
      </w:tr>
      <w:tr>
        <w:tc>
          <w:tcPr>
            <w:tcW w:type="dxa" w:w="2160"/>
          </w:tcPr>
          <w:p>
            <w:r>
              <w:rPr>
                <w:sz w:val="19"/>
              </w:rPr>
              <w:t>Filterable case-study gallery</w:t>
            </w:r>
          </w:p>
        </w:tc>
        <w:tc>
          <w:tcPr>
            <w:tcW w:type="dxa" w:w="2160"/>
          </w:tcPr>
          <w:p>
            <w:r>
              <w:rPr>
                <w:sz w:val="19"/>
              </w:rPr>
              <w:t>Deck</w:t>
            </w:r>
          </w:p>
        </w:tc>
        <w:tc>
          <w:tcPr>
            <w:tcW w:type="dxa" w:w="2160"/>
          </w:tcPr>
          <w:p>
            <w:r>
              <w:rPr>
                <w:sz w:val="19"/>
              </w:rPr>
              <w:t>Must-have</w:t>
            </w:r>
          </w:p>
        </w:tc>
        <w:tc>
          <w:tcPr>
            <w:tcW w:type="dxa" w:w="2160"/>
          </w:tcPr>
          <w:p>
            <w:r>
              <w:rPr>
                <w:sz w:val="19"/>
              </w:rPr>
              <w:t>Medium</w:t>
            </w:r>
          </w:p>
        </w:tc>
      </w:tr>
      <w:tr>
        <w:tc>
          <w:tcPr>
            <w:tcW w:type="dxa" w:w="2160"/>
          </w:tcPr>
          <w:p>
            <w:r>
              <w:rPr>
                <w:sz w:val="19"/>
              </w:rPr>
              <w:t>Full case-study pages</w:t>
            </w:r>
          </w:p>
        </w:tc>
        <w:tc>
          <w:tcPr>
            <w:tcW w:type="dxa" w:w="2160"/>
          </w:tcPr>
          <w:p>
            <w:r>
              <w:rPr>
                <w:sz w:val="19"/>
              </w:rPr>
              <w:t>Deck</w:t>
            </w:r>
          </w:p>
        </w:tc>
        <w:tc>
          <w:tcPr>
            <w:tcW w:type="dxa" w:w="2160"/>
          </w:tcPr>
          <w:p>
            <w:r>
              <w:rPr>
                <w:sz w:val="19"/>
              </w:rPr>
              <w:t>Should-have</w:t>
            </w:r>
          </w:p>
        </w:tc>
        <w:tc>
          <w:tcPr>
            <w:tcW w:type="dxa" w:w="2160"/>
          </w:tcPr>
          <w:p>
            <w:r>
              <w:rPr>
                <w:sz w:val="19"/>
              </w:rPr>
              <w:t>Medium</w:t>
            </w:r>
          </w:p>
        </w:tc>
      </w:tr>
      <w:tr>
        <w:tc>
          <w:tcPr>
            <w:tcW w:type="dxa" w:w="2160"/>
          </w:tcPr>
          <w:p>
            <w:r>
              <w:rPr>
                <w:sz w:val="19"/>
              </w:rPr>
              <w:t>Newsletter sign-up</w:t>
            </w:r>
          </w:p>
        </w:tc>
        <w:tc>
          <w:tcPr>
            <w:tcW w:type="dxa" w:w="2160"/>
          </w:tcPr>
          <w:p>
            <w:r>
              <w:rPr>
                <w:sz w:val="19"/>
              </w:rPr>
              <w:t>★ Additive</w:t>
            </w:r>
          </w:p>
        </w:tc>
        <w:tc>
          <w:tcPr>
            <w:tcW w:type="dxa" w:w="2160"/>
          </w:tcPr>
          <w:p>
            <w:r>
              <w:rPr>
                <w:sz w:val="19"/>
              </w:rPr>
              <w:t>Nice-to-have</w:t>
            </w:r>
          </w:p>
        </w:tc>
        <w:tc>
          <w:tcPr>
            <w:tcW w:type="dxa" w:w="2160"/>
          </w:tcPr>
          <w:p>
            <w:r>
              <w:rPr>
                <w:sz w:val="19"/>
              </w:rPr>
              <w:t>Small</w:t>
            </w:r>
          </w:p>
        </w:tc>
      </w:tr>
      <w:tr>
        <w:tc>
          <w:tcPr>
            <w:tcW w:type="dxa" w:w="2160"/>
          </w:tcPr>
          <w:p>
            <w:r>
              <w:rPr>
                <w:sz w:val="19"/>
              </w:rPr>
              <w:t>Downloadable guides (resource centre)</w:t>
            </w:r>
          </w:p>
        </w:tc>
        <w:tc>
          <w:tcPr>
            <w:tcW w:type="dxa" w:w="2160"/>
          </w:tcPr>
          <w:p>
            <w:r>
              <w:rPr>
                <w:sz w:val="19"/>
              </w:rPr>
              <w:t>★ Additive</w:t>
            </w:r>
          </w:p>
        </w:tc>
        <w:tc>
          <w:tcPr>
            <w:tcW w:type="dxa" w:w="2160"/>
          </w:tcPr>
          <w:p>
            <w:r>
              <w:rPr>
                <w:sz w:val="19"/>
              </w:rPr>
              <w:t>Nice-to-have</w:t>
            </w:r>
          </w:p>
        </w:tc>
        <w:tc>
          <w:tcPr>
            <w:tcW w:type="dxa" w:w="2160"/>
          </w:tcPr>
          <w:p>
            <w:r>
              <w:rPr>
                <w:sz w:val="19"/>
              </w:rPr>
              <w:t>Medium</w:t>
            </w:r>
          </w:p>
        </w:tc>
      </w:tr>
    </w:tbl>
    <w:p/>
    <w:p>
      <w:pPr>
        <w:pStyle w:val="Heading3"/>
      </w:pPr>
      <w:r>
        <w:rPr>
          <w:color w:val="121E3B"/>
        </w:rPr>
        <w:t>Phase 3 — Optional Future Ideas (once the site is established)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Feature</w:t>
            </w:r>
          </w:p>
        </w:tc>
        <w:tc>
          <w:tcPr>
            <w:tcW w:type="dxa" w:w="2160"/>
          </w:tcPr>
          <w:p>
            <w:r>
              <w:rPr>
                <w:b/>
                <w:sz w:val="19"/>
              </w:rPr>
              <w:t>Source</w:t>
            </w:r>
          </w:p>
        </w:tc>
        <w:tc>
          <w:tcPr>
            <w:tcW w:type="dxa" w:w="2160"/>
          </w:tcPr>
          <w:p>
            <w:r>
              <w:rPr>
                <w:b/>
                <w:sz w:val="19"/>
              </w:rPr>
              <w:t>Priority</w:t>
            </w:r>
          </w:p>
        </w:tc>
        <w:tc>
          <w:tcPr>
            <w:tcW w:type="dxa" w:w="2160"/>
          </w:tcPr>
          <w:p>
            <w:r>
              <w:rPr>
                <w:b/>
                <w:sz w:val="19"/>
              </w:rPr>
              <w:t>Effort</w:t>
            </w:r>
          </w:p>
        </w:tc>
      </w:tr>
      <w:tr>
        <w:tc>
          <w:tcPr>
            <w:tcW w:type="dxa" w:w="2160"/>
          </w:tcPr>
          <w:p>
            <w:r>
              <w:rPr>
                <w:sz w:val="19"/>
              </w:rPr>
              <w:t>AI assistant / chatbot</w:t>
            </w:r>
          </w:p>
        </w:tc>
        <w:tc>
          <w:tcPr>
            <w:tcW w:type="dxa" w:w="2160"/>
          </w:tcPr>
          <w:p>
            <w:r>
              <w:rPr>
                <w:sz w:val="19"/>
              </w:rPr>
              <w:t>★ Additive</w:t>
            </w:r>
          </w:p>
        </w:tc>
        <w:tc>
          <w:tcPr>
            <w:tcW w:type="dxa" w:w="2160"/>
          </w:tcPr>
          <w:p>
            <w:r>
              <w:rPr>
                <w:sz w:val="19"/>
              </w:rPr>
              <w:t>Nice-to-have</w:t>
            </w:r>
          </w:p>
        </w:tc>
        <w:tc>
          <w:tcPr>
            <w:tcW w:type="dxa" w:w="2160"/>
          </w:tcPr>
          <w:p>
            <w:r>
              <w:rPr>
                <w:sz w:val="19"/>
              </w:rPr>
              <w:t>Large</w:t>
            </w:r>
          </w:p>
        </w:tc>
      </w:tr>
      <w:tr>
        <w:tc>
          <w:tcPr>
            <w:tcW w:type="dxa" w:w="2160"/>
          </w:tcPr>
          <w:p>
            <w:r>
              <w:rPr>
                <w:sz w:val="19"/>
              </w:rPr>
              <w:t>Savings / ROI calculator</w:t>
            </w:r>
          </w:p>
        </w:tc>
        <w:tc>
          <w:tcPr>
            <w:tcW w:type="dxa" w:w="2160"/>
          </w:tcPr>
          <w:p>
            <w:r>
              <w:rPr>
                <w:sz w:val="19"/>
              </w:rPr>
              <w:t>★ Additive</w:t>
            </w:r>
          </w:p>
        </w:tc>
        <w:tc>
          <w:tcPr>
            <w:tcW w:type="dxa" w:w="2160"/>
          </w:tcPr>
          <w:p>
            <w:r>
              <w:rPr>
                <w:sz w:val="19"/>
              </w:rPr>
              <w:t>Nice-to-have</w:t>
            </w:r>
          </w:p>
        </w:tc>
        <w:tc>
          <w:tcPr>
            <w:tcW w:type="dxa" w:w="2160"/>
          </w:tcPr>
          <w:p>
            <w:r>
              <w:rPr>
                <w:sz w:val="19"/>
              </w:rPr>
              <w:t>Medium</w:t>
            </w:r>
          </w:p>
        </w:tc>
      </w:tr>
      <w:tr>
        <w:tc>
          <w:tcPr>
            <w:tcW w:type="dxa" w:w="2160"/>
          </w:tcPr>
          <w:p>
            <w:r>
              <w:rPr>
                <w:sz w:val="19"/>
              </w:rPr>
              <w:t>Tailoring by region and industry</w:t>
            </w:r>
          </w:p>
        </w:tc>
        <w:tc>
          <w:tcPr>
            <w:tcW w:type="dxa" w:w="2160"/>
          </w:tcPr>
          <w:p>
            <w:r>
              <w:rPr>
                <w:sz w:val="19"/>
              </w:rPr>
              <w:t>★ Additive</w:t>
            </w:r>
          </w:p>
        </w:tc>
        <w:tc>
          <w:tcPr>
            <w:tcW w:type="dxa" w:w="2160"/>
          </w:tcPr>
          <w:p>
            <w:r>
              <w:rPr>
                <w:sz w:val="19"/>
              </w:rPr>
              <w:t>Nice-to-have</w:t>
            </w:r>
          </w:p>
        </w:tc>
        <w:tc>
          <w:tcPr>
            <w:tcW w:type="dxa" w:w="2160"/>
          </w:tcPr>
          <w:p>
            <w:r>
              <w:rPr>
                <w:sz w:val="19"/>
              </w:rPr>
              <w:t>Large</w:t>
            </w:r>
          </w:p>
        </w:tc>
      </w:tr>
      <w:tr>
        <w:tc>
          <w:tcPr>
            <w:tcW w:type="dxa" w:w="2160"/>
          </w:tcPr>
          <w:p>
            <w:r>
              <w:rPr>
                <w:sz w:val="19"/>
              </w:rPr>
              <w:t>Smarter (meaning-aware) site search</w:t>
            </w:r>
          </w:p>
        </w:tc>
        <w:tc>
          <w:tcPr>
            <w:tcW w:type="dxa" w:w="2160"/>
          </w:tcPr>
          <w:p>
            <w:r>
              <w:rPr>
                <w:sz w:val="19"/>
              </w:rPr>
              <w:t>★ Additive</w:t>
            </w:r>
          </w:p>
        </w:tc>
        <w:tc>
          <w:tcPr>
            <w:tcW w:type="dxa" w:w="2160"/>
          </w:tcPr>
          <w:p>
            <w:r>
              <w:rPr>
                <w:sz w:val="19"/>
              </w:rPr>
              <w:t>Nice-to-have</w:t>
            </w:r>
          </w:p>
        </w:tc>
        <w:tc>
          <w:tcPr>
            <w:tcW w:type="dxa" w:w="2160"/>
          </w:tcPr>
          <w:p>
            <w:r>
              <w:rPr>
                <w:sz w:val="19"/>
              </w:rPr>
              <w:t>Large</w:t>
            </w:r>
          </w:p>
        </w:tc>
      </w:tr>
      <w:tr>
        <w:tc>
          <w:tcPr>
            <w:tcW w:type="dxa" w:w="2160"/>
          </w:tcPr>
          <w:p>
            <w:r>
              <w:rPr>
                <w:sz w:val="19"/>
              </w:rPr>
              <w:t>Ongoing Insights articles (2+ per month)</w:t>
            </w:r>
          </w:p>
        </w:tc>
        <w:tc>
          <w:tcPr>
            <w:tcW w:type="dxa" w:w="2160"/>
          </w:tcPr>
          <w:p>
            <w:r>
              <w:rPr>
                <w:sz w:val="19"/>
              </w:rPr>
              <w:t>★ Additive</w:t>
            </w:r>
          </w:p>
        </w:tc>
        <w:tc>
          <w:tcPr>
            <w:tcW w:type="dxa" w:w="2160"/>
          </w:tcPr>
          <w:p>
            <w:r>
              <w:rPr>
                <w:sz w:val="19"/>
              </w:rPr>
              <w:t>Should-have</w:t>
            </w:r>
          </w:p>
        </w:tc>
        <w:tc>
          <w:tcPr>
            <w:tcW w:type="dxa" w:w="2160"/>
          </w:tcPr>
          <w:p>
            <w:r>
              <w:rPr>
                <w:sz w:val="19"/>
              </w:rPr>
              <w:t>Medium (ongoing)</w:t>
            </w:r>
          </w:p>
        </w:tc>
      </w:tr>
    </w:tbl>
    <w:p/>
    <w:p>
      <w:pPr>
        <w:pStyle w:val="Heading2"/>
      </w:pPr>
      <w:r>
        <w:rPr>
          <w:color w:val="121E3B"/>
        </w:rPr>
        <w:t>Glossary</w:t>
      </w:r>
    </w:p>
    <w:p>
      <w:pPr>
        <w:pStyle w:val="ListBullet"/>
      </w:pPr>
      <w:r>
        <w:rPr>
          <w:b/>
        </w:rPr>
        <w:t>SAP</w:t>
      </w:r>
      <w:r>
        <w:t xml:space="preserve"> — A leading German software company whose business software runs the core operations (finance, supply chain, HR, etc.) of many of the world's largest organisations.</w:t>
      </w:r>
    </w:p>
    <w:p>
      <w:pPr>
        <w:pStyle w:val="ListBullet"/>
      </w:pPr>
      <w:r>
        <w:rPr>
          <w:b/>
        </w:rPr>
        <w:t>ERP (Enterprise Resource Planning)</w:t>
      </w:r>
      <w:r>
        <w:t xml:space="preserve"> — A single, joined-up software system that runs an organisation's main business functions together, so finance, procurement, manufacturing and HR all share the same up-to-date information.</w:t>
      </w:r>
    </w:p>
    <w:p>
      <w:pPr>
        <w:pStyle w:val="ListBullet"/>
      </w:pPr>
      <w:r>
        <w:rPr>
          <w:b/>
        </w:rPr>
        <w:t>S/4HANA</w:t>
      </w:r>
      <w:r>
        <w:t xml:space="preserve"> — SAP's latest-generation ERP system; the modern platform most large organisations are moving to.</w:t>
      </w:r>
    </w:p>
    <w:p>
      <w:pPr>
        <w:pStyle w:val="ListBullet"/>
      </w:pPr>
      <w:r>
        <w:rPr>
          <w:b/>
        </w:rPr>
        <w:t>RISE with SAP</w:t>
      </w:r>
      <w:r>
        <w:t xml:space="preserve"> — One route to the modern SAP system, aimed at larger, more complex organisations that want flexibility and deeper customisation. (Runs on a private, dedicated cloud.)</w:t>
      </w:r>
    </w:p>
    <w:p>
      <w:pPr>
        <w:pStyle w:val="ListBullet"/>
      </w:pPr>
      <w:r>
        <w:rPr>
          <w:b/>
        </w:rPr>
        <w:t>GROW with SAP</w:t>
      </w:r>
      <w:r>
        <w:t xml:space="preserve"> — The other main route, aimed at mid-sized or fast-moving organisations that want a quicker, standardised, lower-cost start. (Runs on a shared public cloud.)</w:t>
      </w:r>
    </w:p>
    <w:p>
      <w:pPr>
        <w:pStyle w:val="ListBullet"/>
      </w:pPr>
      <w:r>
        <w:rPr>
          <w:b/>
        </w:rPr>
        <w:t>PCE (Private Cloud Edition)</w:t>
      </w:r>
      <w:r>
        <w:t xml:space="preserve"> — A version of the SAP system hosted on a private, dedicated cloud for organisations needing heavy customisation or strict data isolation. In2IT EBS is a certified PCE partner.</w:t>
      </w:r>
    </w:p>
    <w:p>
      <w:pPr>
        <w:pStyle w:val="ListBullet"/>
      </w:pPr>
      <w:r>
        <w:rPr>
          <w:b/>
        </w:rPr>
        <w:t>AMS (Application Management Services)</w:t>
      </w:r>
      <w:r>
        <w:t xml:space="preserve"> — The ongoing "run and maintain" service after a system goes live — keeping it healthy, fixing issues and improving it over time.</w:t>
      </w:r>
    </w:p>
    <w:p>
      <w:pPr>
        <w:pStyle w:val="ListBullet"/>
      </w:pPr>
      <w:r>
        <w:rPr>
          <w:b/>
        </w:rPr>
        <w:t>SuccessFactors</w:t>
      </w:r>
      <w:r>
        <w:t xml:space="preserve"> — SAP's cloud software for human-resources management (recruiting, payroll, performance, learning, etc.).</w:t>
      </w:r>
    </w:p>
    <w:p>
      <w:pPr>
        <w:pStyle w:val="ListBullet"/>
      </w:pPr>
      <w:r>
        <w:rPr>
          <w:b/>
        </w:rPr>
        <w:t>Joule</w:t>
      </w:r>
      <w:r>
        <w:t xml:space="preserve"> — SAP's built-in AI assistant that lets people get answers and complete tasks across SAP systems using everyday language.</w:t>
      </w:r>
    </w:p>
    <w:p>
      <w:pPr>
        <w:pStyle w:val="ListBullet"/>
      </w:pPr>
      <w:r>
        <w:rPr>
          <w:b/>
        </w:rPr>
        <w:t>Concur</w:t>
      </w:r>
      <w:r>
        <w:t xml:space="preserve"> — SAP's software for managing travel and employee expenses.</w:t>
      </w:r>
    </w:p>
    <w:p>
      <w:pPr>
        <w:pStyle w:val="ListBullet"/>
      </w:pPr>
      <w:r>
        <w:rPr>
          <w:b/>
        </w:rPr>
        <w:t>Ariba</w:t>
      </w:r>
      <w:r>
        <w:t xml:space="preserve"> — SAP's software for purchasing and managing suppliers (procurement).</w:t>
      </w:r>
    </w:p>
    <w:p>
      <w:pPr>
        <w:pStyle w:val="ListBullet"/>
      </w:pPr>
      <w:r>
        <w:rPr>
          <w:b/>
        </w:rPr>
        <w:t>SAC (SAP Analytics Cloud)</w:t>
      </w:r>
      <w:r>
        <w:t xml:space="preserve"> — SAP's tool for dashboards, reporting, planning and forecasting.</w:t>
      </w:r>
    </w:p>
    <w:p>
      <w:pPr>
        <w:pStyle w:val="ListBullet"/>
      </w:pPr>
      <w:r>
        <w:rPr>
          <w:b/>
        </w:rPr>
        <w:t>BFSI</w:t>
      </w:r>
      <w:r>
        <w:t xml:space="preserve"> — Banking, Financial Services and Insurance; a common shorthand for the finance industry sector.</w:t>
      </w:r>
    </w:p>
    <w:p>
      <w:pPr>
        <w:pStyle w:val="ListBullet"/>
      </w:pPr>
      <w:r>
        <w:rPr>
          <w:b/>
        </w:rPr>
        <w:t>Greenfield / Brownfield migration</w:t>
      </w:r>
      <w:r>
        <w:t xml:space="preserve"> — Two ways of moving to the new SAP system: *greenfield* means a fresh start on a clean system; *brownfield* means upgrading the existing system in place, keeping its history.</w:t>
      </w:r>
    </w:p>
    <w:p>
      <w:pPr>
        <w:pStyle w:val="ListBullet"/>
      </w:pPr>
      <w:r>
        <w:rPr>
          <w:b/>
        </w:rPr>
        <w:t>ECC</w:t>
      </w:r>
      <w:r>
        <w:t xml:space="preserve"> — SAP's older-generation ERP system that organisations are migrating away from, onto S/4HANA.</w:t>
      </w:r>
    </w:p>
    <w:p>
      <w:pPr>
        <w:pStyle w:val="ListBullet"/>
      </w:pPr>
      <w:r>
        <w:rPr>
          <w:b/>
        </w:rPr>
        <w:t>HXM / HCM (Human Experience / Capital Management)</w:t>
      </w:r>
      <w:r>
        <w:t xml:space="preserve"> — The category of software for managing people and HR; SuccessFactors is SAP's product in this space.</w:t>
      </w:r>
    </w:p>
    <w:p>
      <w:pPr>
        <w:pStyle w:val="ListBullet"/>
      </w:pPr>
      <w:r>
        <w:rPr>
          <w:b/>
        </w:rPr>
        <w:t>NDA (Non-Disclosure Agreement)</w:t>
      </w:r>
      <w:r>
        <w:t xml:space="preserve"> — A confidentiality agreement; used here so detailed client case studies can be shared privately with serious prospects.</w:t>
      </w:r>
    </w:p>
    <w:p>
      <w:pPr>
        <w:pStyle w:val="ListBullet"/>
      </w:pPr>
      <w:r>
        <w:rPr>
          <w:b/>
        </w:rPr>
        <w:t>Hyperscaler</w:t>
      </w:r>
      <w:r>
        <w:t xml:space="preserve"> — A very large cloud-computing provider — Amazon Web Services (AWS), Microsoft Azure and Google Cloud — that hosts software and data at massive scale.</w:t>
      </w:r>
    </w:p>
    <w:p>
      <w:pPr>
        <w:pStyle w:val="ListBullet"/>
      </w:pPr>
      <w:r>
        <w:rPr>
          <w:b/>
        </w:rPr>
        <w:t>FastForward</w:t>
      </w:r>
      <w:r>
        <w:t xml:space="preserve"> — In2IT EBS's own branded delivery method, built on SAP's standard approach and sped up with ready-built tools to shorten project timelines by up to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