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sz w:val="22"/>
          <w:szCs w:val="22"/>
        </w:rPr>
        <w:t xml:space="preserve"/>
      </w:r>
    </w:p>
    <w:p>
      <w:pPr>
        <w:spacing w:after="400"/>
        <w:jc w:val="center"/>
      </w:pPr>
      <w:r>
        <w:rPr>
          <w:rFonts w:ascii="Arial" w:cs="Arial" w:eastAsia="Arial" w:hAnsi="Arial"/>
          <w:b/>
          <w:bCs/>
          <w:color w:val="1F4E79"/>
          <w:sz w:val="56"/>
          <w:szCs w:val="56"/>
        </w:rPr>
        <w:t xml:space="preserve">Tiryaq Hospital Platform</w:t>
      </w:r>
    </w:p>
    <w:p>
      <w:pPr>
        <w:spacing w:after="1200"/>
        <w:jc w:val="center"/>
      </w:pPr>
      <w:r>
        <w:rPr>
          <w:rFonts w:ascii="Arial" w:cs="Arial" w:eastAsia="Arial" w:hAnsi="Arial"/>
          <w:color w:val="404040"/>
          <w:sz w:val="36"/>
          <w:szCs w:val="36"/>
        </w:rPr>
        <w:t xml:space="preserve">Qatar / GCC Compliance Master Document</w:t>
      </w:r>
    </w:p>
    <w:p>
      <w:pPr>
        <w:spacing w:after="200"/>
        <w:jc w:val="center"/>
      </w:pPr>
      <w:r>
        <w:rPr>
          <w:rFonts w:ascii="Arial" w:cs="Arial" w:eastAsia="Arial" w:hAnsi="Arial"/>
          <w:i/>
          <w:iCs/>
          <w:sz w:val="24"/>
          <w:szCs w:val="24"/>
        </w:rPr>
        <w:t xml:space="preserve">Version 1.0  •  29 April 2026</w:t>
      </w:r>
    </w:p>
    <w:p>
      <w:pPr>
        <w:spacing w:after="200"/>
        <w:jc w:val="center"/>
      </w:pPr>
      <w:r>
        <w:rPr>
          <w:rFonts w:ascii="Arial" w:cs="Arial" w:eastAsia="Arial" w:hAnsi="Arial"/>
          <w:sz w:val="24"/>
          <w:szCs w:val="24"/>
        </w:rPr>
        <w:t xml:space="preserve">Author: Sami Taha</w:t>
      </w:r>
    </w:p>
    <w:p>
      <w:pPr>
        <w:spacing w:after="200"/>
        <w:jc w:val="center"/>
      </w:pPr>
      <w:r>
        <w:rPr>
          <w:rFonts w:ascii="Arial" w:cs="Arial" w:eastAsia="Arial" w:hAnsi="Arial"/>
          <w:sz w:val="24"/>
          <w:szCs w:val="24"/>
        </w:rPr>
        <w:t xml:space="preserve">Scope: Tiryaq multi-tenant SaaS, AWS me-south-1</w:t>
      </w:r>
    </w:p>
    <w:p>
      <w:r>
        <w:br w:type="page"/>
      </w:r>
    </w:p>
    <w:p>
      <w:pPr>
        <w:pStyle w:val="Heading1"/>
        <w:spacing w:after="160" w:before="240"/>
      </w:pPr>
      <w:r>
        <w:rPr>
          <w:rFonts w:ascii="Arial" w:cs="Arial" w:eastAsia="Arial" w:hAnsi="Arial"/>
          <w:b/>
          <w:bCs/>
          <w:color w:val="1F4E79"/>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40"/>
      </w:pPr>
      <w:r>
        <w:rPr>
          <w:rFonts w:ascii="Arial" w:cs="Arial" w:eastAsia="Arial" w:hAnsi="Arial"/>
          <w:b/>
          <w:bCs/>
          <w:color w:val="1F4E79"/>
          <w:sz w:val="36"/>
          <w:szCs w:val="36"/>
        </w:rPr>
        <w:t xml:space="preserve">1. Purpose</w:t>
      </w:r>
    </w:p>
    <w:p>
      <w:pPr>
        <w:spacing w:after="120" w:before="0"/>
      </w:pPr>
      <w:r>
        <w:rPr>
          <w:rFonts w:ascii="Arial" w:cs="Arial" w:eastAsia="Arial" w:hAnsi="Arial"/>
          <w:sz w:val="22"/>
          <w:szCs w:val="22"/>
        </w:rPr>
        <w:t xml:space="preserve">This document describes the regulatory and security compliance framework that the Tiryaq Hospital Platform must meet to operate lawfully in Qatar and the wider GCC region. It also defines what compliance responsibility looks like in practice — at the architectural, operational, and contractual levels.</w:t>
      </w:r>
    </w:p>
    <w:p>
      <w:pPr>
        <w:spacing w:after="120" w:before="0"/>
      </w:pPr>
      <w:r>
        <w:rPr>
          <w:rFonts w:ascii="Arial" w:cs="Arial" w:eastAsia="Arial" w:hAnsi="Arial"/>
          <w:sz w:val="22"/>
          <w:szCs w:val="22"/>
        </w:rPr>
        <w:t xml:space="preserve">This is the master reference. Companion documents:</w:t>
      </w:r>
    </w:p>
    <w:p>
      <w:pPr>
        <w:pStyle w:val="ListParagraph"/>
        <w:numPr>
          <w:ilvl w:val="0"/>
          <w:numId w:val="2"/>
        </w:numPr>
        <w:spacing w:after="60"/>
      </w:pPr>
      <w:r>
        <w:rPr>
          <w:rFonts w:ascii="Arial" w:cs="Arial" w:eastAsia="Arial" w:hAnsi="Arial"/>
          <w:sz w:val="22"/>
          <w:szCs w:val="22"/>
        </w:rPr>
        <w:t xml:space="preserve">02-Tiryaq-Compliance-Status.md — current compliance state of the Tiryaq codebase.</w:t>
      </w:r>
    </w:p>
    <w:p>
      <w:pPr>
        <w:pStyle w:val="ListParagraph"/>
        <w:numPr>
          <w:ilvl w:val="0"/>
          <w:numId w:val="2"/>
        </w:numPr>
        <w:spacing w:after="60"/>
      </w:pPr>
      <w:r>
        <w:rPr>
          <w:rFonts w:ascii="Arial" w:cs="Arial" w:eastAsia="Arial" w:hAnsi="Arial"/>
          <w:sz w:val="22"/>
          <w:szCs w:val="22"/>
        </w:rPr>
        <w:t xml:space="preserve">updates/ — dated delta documents, one per applied compliance update.</w:t>
      </w:r>
    </w:p>
    <w:p>
      <w:pPr>
        <w:pStyle w:val="Heading1"/>
        <w:spacing w:after="160" w:before="240"/>
      </w:pPr>
      <w:r>
        <w:rPr>
          <w:rFonts w:ascii="Arial" w:cs="Arial" w:eastAsia="Arial" w:hAnsi="Arial"/>
          <w:b/>
          <w:bCs/>
          <w:color w:val="1F4E79"/>
          <w:sz w:val="36"/>
          <w:szCs w:val="36"/>
        </w:rPr>
        <w:t xml:space="preserve">2. Terms and Definitions</w:t>
      </w:r>
    </w:p>
    <w:p>
      <w:pPr>
        <w:spacing w:after="120" w:before="0"/>
      </w:pPr>
      <w:r>
        <w:rPr>
          <w:rFonts w:ascii="Arial" w:cs="Arial" w:eastAsia="Arial" w:hAnsi="Arial"/>
          <w:sz w:val="22"/>
          <w:szCs w:val="22"/>
        </w:rPr>
        <w:t xml:space="preserve">This section defines every acronym and regulatory term used throughout the document.</w:t>
      </w:r>
    </w:p>
    <w:p>
      <w:pPr>
        <w:pStyle w:val="Heading2"/>
        <w:spacing w:after="160" w:before="240"/>
      </w:pPr>
      <w:r>
        <w:rPr>
          <w:rFonts w:ascii="Arial" w:cs="Arial" w:eastAsia="Arial" w:hAnsi="Arial"/>
          <w:b/>
          <w:bCs/>
          <w:color w:val="000000"/>
          <w:sz w:val="28"/>
          <w:szCs w:val="28"/>
        </w:rPr>
        <w:t xml:space="preserve">2.1 Regulatory bodies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2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47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MOPH</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Ministry of Public Health (Qatar)</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Qatar’s health regulator. Sets clinical, safety, licensing, and data residency rules.</w:t>
            </w:r>
          </w:p>
        </w:tc>
      </w:tr>
      <w:tr>
        <w:tc>
          <w:tcPr>
            <w:tcW w:type="dxa" w:w="1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HMC</w:t>
            </w:r>
          </w:p>
        </w:tc>
        <w:tc>
          <w:tcPr>
            <w:tcW w:type="dxa" w:w="3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Hamad Medical Corporation</w:t>
            </w:r>
          </w:p>
        </w:tc>
        <w:tc>
          <w:tcPr>
            <w:tcW w:type="dxa" w:w="4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Qatar’s largest public hospital operator. Reference for interoperability.</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PHCC</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Health Care Corporation</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Qatar’s public primary-care network.</w:t>
            </w:r>
          </w:p>
        </w:tc>
      </w:tr>
      <w:tr>
        <w:tc>
          <w:tcPr>
            <w:tcW w:type="dxa" w:w="1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NHS Qatar</w:t>
            </w:r>
          </w:p>
        </w:tc>
        <w:tc>
          <w:tcPr>
            <w:tcW w:type="dxa" w:w="3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National Health Strategy</w:t>
            </w:r>
          </w:p>
        </w:tc>
        <w:tc>
          <w:tcPr>
            <w:tcW w:type="dxa" w:w="4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Qatar’s national digital-health roadmap.</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NCSA</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National Cyber Security Agency</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Cybersecurity regulator. Issues controls overlaying PDPPL.</w:t>
            </w:r>
          </w:p>
        </w:tc>
      </w:tr>
      <w:tr>
        <w:tc>
          <w:tcPr>
            <w:tcW w:type="dxa" w:w="1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DHA</w:t>
            </w:r>
          </w:p>
        </w:tc>
        <w:tc>
          <w:tcPr>
            <w:tcW w:type="dxa" w:w="3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Dubai Health Authority</w:t>
            </w:r>
          </w:p>
        </w:tc>
        <w:tc>
          <w:tcPr>
            <w:tcW w:type="dxa" w:w="4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Regulator for Dubai-licensed clinics.</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DOH</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Department of Health, Abu Dhabi</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Regulator for Abu Dhabi-licensed clinics.</w:t>
            </w:r>
          </w:p>
        </w:tc>
      </w:tr>
      <w:tr>
        <w:tc>
          <w:tcPr>
            <w:tcW w:type="dxa" w:w="1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MOHAP</w:t>
            </w:r>
          </w:p>
        </w:tc>
        <w:tc>
          <w:tcPr>
            <w:tcW w:type="dxa" w:w="3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Ministry of Health &amp; Prevention (UAE federal)</w:t>
            </w:r>
          </w:p>
        </w:tc>
        <w:tc>
          <w:tcPr>
            <w:tcW w:type="dxa" w:w="4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Federally-licensed UAE clinics.</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CCHI / NPHIES</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Council of Cooperative Health Insurance / National Platform (KSA)</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KSA’s mandatory claims and clinical data platform.</w:t>
            </w:r>
          </w:p>
        </w:tc>
      </w:tr>
      <w:tr>
        <w:tc>
          <w:tcPr>
            <w:tcW w:type="dxa" w:w="14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SCFHS</w:t>
            </w:r>
          </w:p>
        </w:tc>
        <w:tc>
          <w:tcPr>
            <w:tcW w:type="dxa" w:w="3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Saudi Commission for Health Specialties</w:t>
            </w:r>
          </w:p>
        </w:tc>
        <w:tc>
          <w:tcPr>
            <w:tcW w:type="dxa" w:w="4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KSA clinician licensing.</w:t>
            </w:r>
          </w:p>
        </w:tc>
      </w:tr>
      <w:tr>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SFDA</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Saudi Food &amp; Drug Authority</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KSA prescription/pharmaceutical regulator.</w:t>
            </w:r>
          </w:p>
        </w:tc>
      </w:tr>
    </w:tbl>
    <w:p>
      <w:pPr>
        <w:spacing w:after="120" w:before="0"/>
      </w:pPr>
      <w:r>
        <w:rPr>
          <w:rFonts w:ascii="Arial" w:cs="Arial" w:eastAsia="Arial" w:hAnsi="Arial"/>
          <w:sz w:val="22"/>
          <w:szCs w:val="22"/>
        </w:rPr>
        <w:t xml:space="preserve"/>
      </w:r>
    </w:p>
    <w:p>
      <w:pPr>
        <w:pStyle w:val="Heading2"/>
        <w:spacing w:after="160" w:before="240"/>
      </w:pPr>
      <w:r>
        <w:rPr>
          <w:rFonts w:ascii="Arial" w:cs="Arial" w:eastAsia="Arial" w:hAnsi="Arial"/>
          <w:b/>
          <w:bCs/>
          <w:color w:val="000000"/>
          <w:sz w:val="28"/>
          <w:szCs w:val="28"/>
        </w:rPr>
        <w:t xml:space="preserve">2.2 Laws and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0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47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PDPPL</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Personal Data Privacy Protection Law (Qatar Law No. 13 of 2016)</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Qatar’s general data protection law. Functions as a GDPR-lite framework.</w:t>
            </w:r>
          </w:p>
        </w:tc>
      </w:tr>
      <w:tr>
        <w:tc>
          <w:tcPr>
            <w:tcW w:type="dxa" w:w="1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GDPR</w:t>
            </w:r>
          </w:p>
        </w:tc>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Data Protection Regulation (EU)</w:t>
            </w:r>
          </w:p>
        </w:tc>
        <w:tc>
          <w:tcPr>
            <w:tcW w:type="dxa" w:w="4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Reference framework. PDPPL is modeled on GDPR principles but narrower in scope.</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PDPL (KSA)</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Personal Data Protection Law (Royal Decree M/19, 2021)</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KSA’s data protection law. Has data localization clauses.</w:t>
            </w:r>
          </w:p>
        </w:tc>
      </w:tr>
      <w:tr>
        <w:tc>
          <w:tcPr>
            <w:tcW w:type="dxa" w:w="1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UAE PDPL</w:t>
            </w:r>
          </w:p>
        </w:tc>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Federal Decree-Law No. 45 of 2021</w:t>
            </w:r>
          </w:p>
        </w:tc>
        <w:tc>
          <w:tcPr>
            <w:tcW w:type="dxa" w:w="4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UAE’s federal data protection law.</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PHI</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Protected Health Information</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Patient-identifiable health data.</w:t>
            </w:r>
          </w:p>
        </w:tc>
      </w:tr>
      <w:tr>
        <w:tc>
          <w:tcPr>
            <w:tcW w:type="dxa" w:w="1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PII</w:t>
            </w:r>
          </w:p>
        </w:tc>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Personally Identifiable Information</w:t>
            </w:r>
          </w:p>
        </w:tc>
        <w:tc>
          <w:tcPr>
            <w:tcW w:type="dxa" w:w="4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that can identify an individual.</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DPA</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Processing Addendum</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Contract between controller and processor.</w:t>
            </w:r>
          </w:p>
        </w:tc>
      </w:tr>
      <w:tr>
        <w:tc>
          <w:tcPr>
            <w:tcW w:type="dxa" w:w="1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BAA</w:t>
            </w:r>
          </w:p>
        </w:tc>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 Associate Agreement</w:t>
            </w:r>
          </w:p>
        </w:tc>
        <w:tc>
          <w:tcPr>
            <w:tcW w:type="dxa" w:w="4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US-specific (HIPAA). AWS Enterprise DPA serves the equivalent role here.</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SLA</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Service Level Agreement</w:t>
            </w:r>
          </w:p>
        </w:tc>
        <w:tc>
          <w:tcPr>
            <w:tcW w:type="dxa" w:w="4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Uptime/performance contract.</w:t>
            </w:r>
          </w:p>
        </w:tc>
      </w:tr>
      <w:tr>
        <w:tc>
          <w:tcPr>
            <w:tcW w:type="dxa" w:w="16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RTO / RPO</w:t>
            </w:r>
          </w:p>
        </w:tc>
        <w:tc>
          <w:tcPr>
            <w:tcW w:type="dxa" w:w="30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Recovery Time Objective / Recovery Point Objective</w:t>
            </w:r>
          </w:p>
        </w:tc>
        <w:tc>
          <w:tcPr>
            <w:tcW w:type="dxa" w:w="4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Maximum acceptable downtime / data loss in a disaster.</w:t>
            </w:r>
          </w:p>
        </w:tc>
      </w:tr>
    </w:tbl>
    <w:p>
      <w:pPr>
        <w:spacing w:after="120" w:before="0"/>
      </w:pPr>
      <w:r>
        <w:rPr>
          <w:rFonts w:ascii="Arial" w:cs="Arial" w:eastAsia="Arial" w:hAnsi="Arial"/>
          <w:sz w:val="22"/>
          <w:szCs w:val="22"/>
        </w:rPr>
        <w:t xml:space="preserve"/>
      </w:r>
    </w:p>
    <w:p>
      <w:pPr>
        <w:pStyle w:val="Heading2"/>
        <w:spacing w:after="160" w:before="240"/>
      </w:pPr>
      <w:r>
        <w:rPr>
          <w:rFonts w:ascii="Arial" w:cs="Arial" w:eastAsia="Arial" w:hAnsi="Arial"/>
          <w:b/>
          <w:bCs/>
          <w:color w:val="000000"/>
          <w:sz w:val="28"/>
          <w:szCs w:val="28"/>
        </w:rPr>
        <w:t xml:space="preserve">2.3 Technical security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Encryption at rest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is encrypted while stored.</w:t>
            </w:r>
          </w:p>
        </w:tc>
      </w:tr>
      <w:t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Encryption in transit</w:t>
            </w:r>
          </w:p>
        </w:tc>
        <w:tc>
          <w:tcPr>
            <w:tcW w:type="dxa" w:w="7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is encrypted while moving over a network (TLS / HTTPS).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CMK</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Customer Managed Key — KMS key created and controlled by the customer.</w:t>
            </w:r>
          </w:p>
        </w:tc>
      </w:tr>
      <w:t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AWS-managed key</w:t>
            </w:r>
          </w:p>
        </w:tc>
        <w:tc>
          <w:tcPr>
            <w:tcW w:type="dxa" w:w="7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KMS key created and rotated by AWS. Less customer control.</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KMS</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AWS Key Management Service.</w:t>
            </w:r>
          </w:p>
        </w:tc>
      </w:tr>
      <w:t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OAC</w:t>
            </w:r>
          </w:p>
        </w:tc>
        <w:tc>
          <w:tcPr>
            <w:tcW w:type="dxa" w:w="7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 Access Control — locks an S3 bucket to a specific CloudFront distribution.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WAF</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 Application Firewall — filters malicious HTTP traffic.</w:t>
            </w:r>
          </w:p>
        </w:tc>
      </w:tr>
      <w:t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MFA</w:t>
            </w:r>
          </w:p>
        </w:tc>
        <w:tc>
          <w:tcPr>
            <w:tcW w:type="dxa" w:w="7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Multi-Factor Authentication.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JWT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JSON Web Token. Used by Cognito to assert identity to API Gateway.</w:t>
            </w:r>
          </w:p>
        </w:tc>
      </w:tr>
      <w:t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RBAC</w:t>
            </w:r>
          </w:p>
        </w:tc>
        <w:tc>
          <w:tcPr>
            <w:tcW w:type="dxa" w:w="7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Role-Based Access Control. Cognito groups: Admin, Developers, Doctors, Pharmacists.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Audit log</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Immutable record of every access and change.</w:t>
            </w:r>
          </w:p>
        </w:tc>
      </w:tr>
      <w:t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CloudTrail</w:t>
            </w:r>
          </w:p>
        </w:tc>
        <w:tc>
          <w:tcPr>
            <w:tcW w:type="dxa" w:w="7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service that records every AWS API call.</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Tenant isolation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Mechanism preventing one customer reading another’s data.</w:t>
            </w:r>
          </w:p>
        </w:tc>
      </w:tr>
      <w:t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residency</w:t>
            </w:r>
          </w:p>
        </w:tc>
        <w:tc>
          <w:tcPr>
            <w:tcW w:type="dxa" w:w="7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requirement that personal data stays within a specific country.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classification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Labeling each record with its sensitivity level.</w:t>
            </w:r>
          </w:p>
        </w:tc>
      </w:tr>
      <w:t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retention</w:t>
            </w:r>
          </w:p>
        </w:tc>
        <w:tc>
          <w:tcPr>
            <w:tcW w:type="dxa" w:w="7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Policy defining how long data is kept.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Pseudonymisation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Replacing identifiers with tokens.</w:t>
            </w:r>
          </w:p>
        </w:tc>
      </w:tr>
      <w:t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Anonymisation</w:t>
            </w:r>
          </w:p>
        </w:tc>
        <w:tc>
          <w:tcPr>
            <w:tcW w:type="dxa" w:w="7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Removing all identifying information.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Breach notification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Legal duty to notify regulators after a breach. PDPPL: 72 hours.</w:t>
            </w:r>
          </w:p>
        </w:tc>
      </w:tr>
      <w:t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VPC</w:t>
            </w:r>
          </w:p>
        </w:tc>
        <w:tc>
          <w:tcPr>
            <w:tcW w:type="dxa" w:w="7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Virtual Private Cloud — private AWS network.</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VPC endpoint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Private connection from a VPC to an AWS service.</w:t>
            </w:r>
          </w:p>
        </w:tc>
      </w:tr>
      <w:tr>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TLS</w:t>
            </w:r>
          </w:p>
        </w:tc>
        <w:tc>
          <w:tcPr>
            <w:tcW w:type="dxa" w:w="71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Transport Layer Security. Minimum 1.2 required.</w:t>
            </w:r>
          </w:p>
        </w:tc>
      </w:tr>
    </w:tbl>
    <w:p>
      <w:pPr>
        <w:spacing w:after="120" w:before="0"/>
      </w:pPr>
      <w:r>
        <w:rPr>
          <w:rFonts w:ascii="Arial" w:cs="Arial" w:eastAsia="Arial" w:hAnsi="Arial"/>
          <w:sz w:val="22"/>
          <w:szCs w:val="22"/>
        </w:rPr>
        <w:t xml:space="preserve"/>
      </w:r>
    </w:p>
    <w:p>
      <w:pPr>
        <w:pStyle w:val="Heading2"/>
        <w:spacing w:after="160" w:before="240"/>
      </w:pPr>
      <w:r>
        <w:rPr>
          <w:rFonts w:ascii="Arial" w:cs="Arial" w:eastAsia="Arial" w:hAnsi="Arial"/>
          <w:b/>
          <w:bCs/>
          <w:color w:val="000000"/>
          <w:sz w:val="28"/>
          <w:szCs w:val="28"/>
        </w:rPr>
        <w:t xml:space="preserve">2.4 Healthcare-specific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5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EMR / EHR</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Electronic Medical Record / Electronic Health Record.</w:t>
            </w:r>
          </w:p>
        </w:tc>
      </w:tr>
      <w:tr>
        <w:tc>
          <w:tcPr>
            <w:tcW w:type="dxa" w:w="1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SOAP note</w:t>
            </w:r>
          </w:p>
        </w:tc>
        <w:tc>
          <w:tcPr>
            <w:tcW w:type="dxa" w:w="7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Subjective, Objective, Assessment, Plan — clinical documentation structure.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ICD-10</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International Classification of Diseases — diagnostic coding.</w:t>
            </w:r>
          </w:p>
        </w:tc>
      </w:tr>
      <w:tr>
        <w:tc>
          <w:tcPr>
            <w:tcW w:type="dxa" w:w="1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CPT</w:t>
            </w:r>
          </w:p>
        </w:tc>
        <w:tc>
          <w:tcPr>
            <w:tcW w:type="dxa" w:w="7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Procedural Terminology — US billing codes.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FHIR</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 Healthcare Interoperability Resources — modern data exchange standard.</w:t>
            </w:r>
          </w:p>
        </w:tc>
      </w:tr>
      <w:tr>
        <w:tc>
          <w:tcPr>
            <w:tcW w:type="dxa" w:w="1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HL7 v2</w:t>
            </w:r>
          </w:p>
        </w:tc>
        <w:tc>
          <w:tcPr>
            <w:tcW w:type="dxa" w:w="7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Older messaging standard, still common in hospital systems.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HIE</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Health Information Exchange — regional patient-data sharing platform.</w:t>
            </w:r>
          </w:p>
        </w:tc>
      </w:tr>
      <w:tr>
        <w:tc>
          <w:tcPr>
            <w:tcW w:type="dxa" w:w="18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e-Prescribing</w:t>
            </w:r>
          </w:p>
        </w:tc>
        <w:tc>
          <w:tcPr>
            <w:tcW w:type="dxa" w:w="7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Electronic prescription transmission to pharmacies.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EPCS</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Electronic Prescribing of Controlled Substances. Stricter requirements.</w:t>
            </w:r>
          </w:p>
        </w:tc>
      </w:tr>
    </w:tbl>
    <w:p>
      <w:pPr>
        <w:spacing w:after="120" w:before="0"/>
      </w:pPr>
      <w:r>
        <w:rPr>
          <w:rFonts w:ascii="Arial" w:cs="Arial" w:eastAsia="Arial" w:hAnsi="Arial"/>
          <w:sz w:val="22"/>
          <w:szCs w:val="22"/>
        </w:rPr>
        <w:t xml:space="preserve"/>
      </w:r>
    </w:p>
    <w:p>
      <w:r>
        <w:br w:type="page"/>
      </w:r>
    </w:p>
    <w:p>
      <w:pPr>
        <w:pStyle w:val="Heading1"/>
        <w:spacing w:after="160" w:before="240"/>
      </w:pPr>
      <w:r>
        <w:rPr>
          <w:rFonts w:ascii="Arial" w:cs="Arial" w:eastAsia="Arial" w:hAnsi="Arial"/>
          <w:b/>
          <w:bCs/>
          <w:color w:val="1F4E79"/>
          <w:sz w:val="36"/>
          <w:szCs w:val="36"/>
        </w:rPr>
        <w:t xml:space="preserve">3. Qatar Regulatory Framework</w:t>
      </w:r>
    </w:p>
    <w:p>
      <w:pPr>
        <w:pStyle w:val="Heading2"/>
        <w:spacing w:after="160" w:before="240"/>
      </w:pPr>
      <w:r>
        <w:rPr>
          <w:rFonts w:ascii="Arial" w:cs="Arial" w:eastAsia="Arial" w:hAnsi="Arial"/>
          <w:b/>
          <w:bCs/>
          <w:color w:val="000000"/>
          <w:sz w:val="28"/>
          <w:szCs w:val="28"/>
        </w:rPr>
        <w:t xml:space="preserve">3.1 PDPPL (Law No. 13 of 2016) — primary obligation</w:t>
      </w:r>
    </w:p>
    <w:p>
      <w:pPr>
        <w:spacing w:after="120" w:before="0"/>
      </w:pPr>
      <w:r>
        <w:rPr>
          <w:rFonts w:ascii="Arial" w:cs="Arial" w:eastAsia="Arial" w:hAnsi="Arial"/>
          <w:sz w:val="22"/>
          <w:szCs w:val="22"/>
        </w:rPr>
        <w:t xml:space="preserve">PDPPL governs the processing of personal data in Qatar. It applies to Tiryaq because we process personal data of Qatari residents (patients, doctors, staff).</w:t>
      </w:r>
    </w:p>
    <w:p>
      <w:pPr>
        <w:spacing w:after="120" w:before="0"/>
      </w:pPr>
      <w:r>
        <w:rPr>
          <w:rFonts w:ascii="Arial" w:cs="Arial" w:eastAsia="Arial" w:hAnsi="Arial"/>
          <w:b/>
          <w:bCs/>
          <w:sz w:val="22"/>
          <w:szCs w:val="22"/>
        </w:rPr>
        <w:t xml:space="preserve">Core obligations:</w:t>
      </w:r>
    </w:p>
    <w:p>
      <w:pPr>
        <w:pStyle w:val="ListParagraph"/>
        <w:numPr>
          <w:ilvl w:val="0"/>
          <w:numId w:val="2"/>
        </w:numPr>
        <w:spacing w:after="60"/>
      </w:pPr>
      <w:r>
        <w:rPr>
          <w:rFonts w:ascii="Arial" w:cs="Arial" w:eastAsia="Arial" w:hAnsi="Arial"/>
          <w:sz w:val="22"/>
          <w:szCs w:val="22"/>
        </w:rPr>
        <w:t xml:space="preserve">Lawful basis for processing — explicit consent or another lawful basis.</w:t>
      </w:r>
    </w:p>
    <w:p>
      <w:pPr>
        <w:pStyle w:val="ListParagraph"/>
        <w:numPr>
          <w:ilvl w:val="0"/>
          <w:numId w:val="2"/>
        </w:numPr>
        <w:spacing w:after="60"/>
      </w:pPr>
      <w:r>
        <w:rPr>
          <w:rFonts w:ascii="Arial" w:cs="Arial" w:eastAsia="Arial" w:hAnsi="Arial"/>
          <w:sz w:val="22"/>
          <w:szCs w:val="22"/>
        </w:rPr>
        <w:t xml:space="preserve">Purpose limitation — data collected for treatment cannot be repurposed.</w:t>
      </w:r>
    </w:p>
    <w:p>
      <w:pPr>
        <w:pStyle w:val="ListParagraph"/>
        <w:numPr>
          <w:ilvl w:val="0"/>
          <w:numId w:val="2"/>
        </w:numPr>
        <w:spacing w:after="60"/>
      </w:pPr>
      <w:r>
        <w:rPr>
          <w:rFonts w:ascii="Arial" w:cs="Arial" w:eastAsia="Arial" w:hAnsi="Arial"/>
          <w:sz w:val="22"/>
          <w:szCs w:val="22"/>
        </w:rPr>
        <w:t xml:space="preserve">Data minimization — collect only what is necessary.</w:t>
      </w:r>
    </w:p>
    <w:p>
      <w:pPr>
        <w:pStyle w:val="ListParagraph"/>
        <w:numPr>
          <w:ilvl w:val="0"/>
          <w:numId w:val="2"/>
        </w:numPr>
        <w:spacing w:after="60"/>
      </w:pPr>
      <w:r>
        <w:rPr>
          <w:rFonts w:ascii="Arial" w:cs="Arial" w:eastAsia="Arial" w:hAnsi="Arial"/>
          <w:sz w:val="22"/>
          <w:szCs w:val="22"/>
        </w:rPr>
        <w:t xml:space="preserve">Accuracy — patients can correct inaccurate data.</w:t>
      </w:r>
    </w:p>
    <w:p>
      <w:pPr>
        <w:pStyle w:val="ListParagraph"/>
        <w:numPr>
          <w:ilvl w:val="0"/>
          <w:numId w:val="2"/>
        </w:numPr>
        <w:spacing w:after="60"/>
      </w:pPr>
      <w:r>
        <w:rPr>
          <w:rFonts w:ascii="Arial" w:cs="Arial" w:eastAsia="Arial" w:hAnsi="Arial"/>
          <w:sz w:val="22"/>
          <w:szCs w:val="22"/>
        </w:rPr>
        <w:t xml:space="preserve">Storage limitation — defined retention periods.</w:t>
      </w:r>
    </w:p>
    <w:p>
      <w:pPr>
        <w:pStyle w:val="ListParagraph"/>
        <w:numPr>
          <w:ilvl w:val="0"/>
          <w:numId w:val="2"/>
        </w:numPr>
        <w:spacing w:after="60"/>
      </w:pPr>
      <w:r>
        <w:rPr>
          <w:rFonts w:ascii="Arial" w:cs="Arial" w:eastAsia="Arial" w:hAnsi="Arial"/>
          <w:sz w:val="22"/>
          <w:szCs w:val="22"/>
        </w:rPr>
        <w:t xml:space="preserve">Integrity and confidentiality — technical and organizational measures.</w:t>
      </w:r>
    </w:p>
    <w:p>
      <w:pPr>
        <w:pStyle w:val="ListParagraph"/>
        <w:numPr>
          <w:ilvl w:val="0"/>
          <w:numId w:val="2"/>
        </w:numPr>
        <w:spacing w:after="60"/>
      </w:pPr>
      <w:r>
        <w:rPr>
          <w:rFonts w:ascii="Arial" w:cs="Arial" w:eastAsia="Arial" w:hAnsi="Arial"/>
          <w:sz w:val="22"/>
          <w:szCs w:val="22"/>
        </w:rPr>
        <w:t xml:space="preserve">Accountability — controller must demonstrate compliance.</w:t>
      </w:r>
    </w:p>
    <w:p>
      <w:pPr>
        <w:pStyle w:val="ListParagraph"/>
        <w:numPr>
          <w:ilvl w:val="0"/>
          <w:numId w:val="2"/>
        </w:numPr>
        <w:spacing w:after="60"/>
      </w:pPr>
      <w:r>
        <w:rPr>
          <w:rFonts w:ascii="Arial" w:cs="Arial" w:eastAsia="Arial" w:hAnsi="Arial"/>
          <w:sz w:val="22"/>
          <w:szCs w:val="22"/>
        </w:rPr>
        <w:t xml:space="preserve">Data subject rights — access, rectification, erasure, portability, objection.</w:t>
      </w:r>
    </w:p>
    <w:p>
      <w:pPr>
        <w:pStyle w:val="ListParagraph"/>
        <w:numPr>
          <w:ilvl w:val="0"/>
          <w:numId w:val="2"/>
        </w:numPr>
        <w:spacing w:after="60"/>
      </w:pPr>
      <w:r>
        <w:rPr>
          <w:rFonts w:ascii="Arial" w:cs="Arial" w:eastAsia="Arial" w:hAnsi="Arial"/>
          <w:sz w:val="22"/>
          <w:szCs w:val="22"/>
        </w:rPr>
        <w:t xml:space="preserve">Cross-border transfers — only with adequate safeguards or explicit consent.</w:t>
      </w:r>
    </w:p>
    <w:p>
      <w:pPr>
        <w:pStyle w:val="ListParagraph"/>
        <w:numPr>
          <w:ilvl w:val="0"/>
          <w:numId w:val="2"/>
        </w:numPr>
        <w:spacing w:after="60"/>
      </w:pPr>
      <w:r>
        <w:rPr>
          <w:rFonts w:ascii="Arial" w:cs="Arial" w:eastAsia="Arial" w:hAnsi="Arial"/>
          <w:sz w:val="22"/>
          <w:szCs w:val="22"/>
        </w:rPr>
        <w:t xml:space="preserve">Breach notification — within 72 hours.</w:t>
      </w:r>
    </w:p>
    <w:p>
      <w:pPr>
        <w:spacing w:after="120" w:before="0"/>
      </w:pPr>
      <w:r>
        <w:rPr>
          <w:rFonts w:ascii="Arial" w:cs="Arial" w:eastAsia="Arial" w:hAnsi="Arial"/>
          <w:i/>
          <w:iCs/>
          <w:sz w:val="22"/>
          <w:szCs w:val="22"/>
        </w:rPr>
        <w:t xml:space="preserve">Penalties: up to QAR 5,000,000 (~USD 1.37M) per violation.</w:t>
      </w:r>
    </w:p>
    <w:p>
      <w:pPr>
        <w:pStyle w:val="Heading2"/>
        <w:spacing w:after="160" w:before="240"/>
      </w:pPr>
      <w:r>
        <w:rPr>
          <w:rFonts w:ascii="Arial" w:cs="Arial" w:eastAsia="Arial" w:hAnsi="Arial"/>
          <w:b/>
          <w:bCs/>
          <w:color w:val="000000"/>
          <w:sz w:val="28"/>
          <w:szCs w:val="28"/>
        </w:rPr>
        <w:t xml:space="preserve">3.2 MOPH expectations for clinical software</w:t>
      </w:r>
    </w:p>
    <w:p>
      <w:pPr>
        <w:spacing w:after="120" w:before="0"/>
      </w:pPr>
      <w:r>
        <w:rPr>
          <w:rFonts w:ascii="Arial" w:cs="Arial" w:eastAsia="Arial" w:hAnsi="Arial"/>
          <w:sz w:val="22"/>
          <w:szCs w:val="22"/>
        </w:rPr>
        <w:t xml:space="preserve">MOPH does not publish a single EMR certification equivalent to ONC, but enforces:</w:t>
      </w:r>
    </w:p>
    <w:p>
      <w:pPr>
        <w:pStyle w:val="ListParagraph"/>
        <w:numPr>
          <w:ilvl w:val="0"/>
          <w:numId w:val="2"/>
        </w:numPr>
        <w:spacing w:after="60"/>
      </w:pPr>
      <w:r>
        <w:rPr>
          <w:rFonts w:ascii="Arial" w:cs="Arial" w:eastAsia="Arial" w:hAnsi="Arial"/>
          <w:sz w:val="22"/>
          <w:szCs w:val="22"/>
        </w:rPr>
        <w:t xml:space="preserve">Data residency — patient data must reside in Qatar (or with documented approval).</w:t>
      </w:r>
    </w:p>
    <w:p>
      <w:pPr>
        <w:pStyle w:val="ListParagraph"/>
        <w:numPr>
          <w:ilvl w:val="0"/>
          <w:numId w:val="2"/>
        </w:numPr>
        <w:spacing w:after="60"/>
      </w:pPr>
      <w:r>
        <w:rPr>
          <w:rFonts w:ascii="Arial" w:cs="Arial" w:eastAsia="Arial" w:hAnsi="Arial"/>
          <w:sz w:val="22"/>
          <w:szCs w:val="22"/>
        </w:rPr>
        <w:t xml:space="preserve">Clinical safety — software changes affecting clinical decisions must be tested and documented.</w:t>
      </w:r>
    </w:p>
    <w:p>
      <w:pPr>
        <w:pStyle w:val="ListParagraph"/>
        <w:numPr>
          <w:ilvl w:val="0"/>
          <w:numId w:val="2"/>
        </w:numPr>
        <w:spacing w:after="60"/>
      </w:pPr>
      <w:r>
        <w:rPr>
          <w:rFonts w:ascii="Arial" w:cs="Arial" w:eastAsia="Arial" w:hAnsi="Arial"/>
          <w:sz w:val="22"/>
          <w:szCs w:val="22"/>
        </w:rPr>
        <w:t xml:space="preserve">Audit trail — every access to a patient record must be logged.</w:t>
      </w:r>
    </w:p>
    <w:p>
      <w:pPr>
        <w:pStyle w:val="ListParagraph"/>
        <w:numPr>
          <w:ilvl w:val="0"/>
          <w:numId w:val="2"/>
        </w:numPr>
        <w:spacing w:after="60"/>
      </w:pPr>
      <w:r>
        <w:rPr>
          <w:rFonts w:ascii="Arial" w:cs="Arial" w:eastAsia="Arial" w:hAnsi="Arial"/>
          <w:sz w:val="22"/>
          <w:szCs w:val="22"/>
        </w:rPr>
        <w:t xml:space="preserve">Access control — only authenticated, authorized clinicians may access PHI.</w:t>
      </w:r>
    </w:p>
    <w:p>
      <w:pPr>
        <w:pStyle w:val="ListParagraph"/>
        <w:numPr>
          <w:ilvl w:val="0"/>
          <w:numId w:val="2"/>
        </w:numPr>
        <w:spacing w:after="60"/>
      </w:pPr>
      <w:r>
        <w:rPr>
          <w:rFonts w:ascii="Arial" w:cs="Arial" w:eastAsia="Arial" w:hAnsi="Arial"/>
          <w:sz w:val="22"/>
          <w:szCs w:val="22"/>
        </w:rPr>
        <w:t xml:space="preserve">Backup and recovery — defined RTO/RPO, regular tested backups.</w:t>
      </w:r>
    </w:p>
    <w:p>
      <w:pPr>
        <w:pStyle w:val="ListParagraph"/>
        <w:numPr>
          <w:ilvl w:val="0"/>
          <w:numId w:val="2"/>
        </w:numPr>
        <w:spacing w:after="60"/>
      </w:pPr>
      <w:r>
        <w:rPr>
          <w:rFonts w:ascii="Arial" w:cs="Arial" w:eastAsia="Arial" w:hAnsi="Arial"/>
          <w:sz w:val="22"/>
          <w:szCs w:val="22"/>
        </w:rPr>
        <w:t xml:space="preserve">Vendor stability — registered operating company with named accountable executives.</w:t>
      </w:r>
    </w:p>
    <w:p>
      <w:pPr>
        <w:pStyle w:val="ListParagraph"/>
        <w:numPr>
          <w:ilvl w:val="0"/>
          <w:numId w:val="2"/>
        </w:numPr>
        <w:spacing w:after="60"/>
      </w:pPr>
      <w:r>
        <w:rPr>
          <w:rFonts w:ascii="Arial" w:cs="Arial" w:eastAsia="Arial" w:hAnsi="Arial"/>
          <w:sz w:val="22"/>
          <w:szCs w:val="22"/>
        </w:rPr>
        <w:t xml:space="preserve">Interoperability — export patient records in a standard format on patient request.</w:t>
      </w:r>
    </w:p>
    <w:p>
      <w:pPr>
        <w:pStyle w:val="Heading2"/>
        <w:spacing w:after="160" w:before="240"/>
      </w:pPr>
      <w:r>
        <w:rPr>
          <w:rFonts w:ascii="Arial" w:cs="Arial" w:eastAsia="Arial" w:hAnsi="Arial"/>
          <w:b/>
          <w:bCs/>
          <w:color w:val="000000"/>
          <w:sz w:val="28"/>
          <w:szCs w:val="28"/>
        </w:rPr>
        <w:t xml:space="preserve">3.3 NCSA controls</w:t>
      </w:r>
    </w:p>
    <w:p>
      <w:pPr>
        <w:spacing w:after="120" w:before="0"/>
      </w:pPr>
      <w:r>
        <w:rPr>
          <w:rFonts w:ascii="Arial" w:cs="Arial" w:eastAsia="Arial" w:hAnsi="Arial"/>
          <w:sz w:val="22"/>
          <w:szCs w:val="22"/>
        </w:rPr>
        <w:t xml:space="preserve">For platforms processing health data at scale, NCSA’s National Information Assurance (NIA) standards apply:</w:t>
      </w:r>
    </w:p>
    <w:p>
      <w:pPr>
        <w:pStyle w:val="ListParagraph"/>
        <w:numPr>
          <w:ilvl w:val="0"/>
          <w:numId w:val="2"/>
        </w:numPr>
        <w:spacing w:after="60"/>
      </w:pPr>
      <w:r>
        <w:rPr>
          <w:rFonts w:ascii="Arial" w:cs="Arial" w:eastAsia="Arial" w:hAnsi="Arial"/>
          <w:sz w:val="22"/>
          <w:szCs w:val="22"/>
        </w:rPr>
        <w:t xml:space="preserve">Network segmentation.</w:t>
      </w:r>
    </w:p>
    <w:p>
      <w:pPr>
        <w:pStyle w:val="ListParagraph"/>
        <w:numPr>
          <w:ilvl w:val="0"/>
          <w:numId w:val="2"/>
        </w:numPr>
        <w:spacing w:after="60"/>
      </w:pPr>
      <w:r>
        <w:rPr>
          <w:rFonts w:ascii="Arial" w:cs="Arial" w:eastAsia="Arial" w:hAnsi="Arial"/>
          <w:sz w:val="22"/>
          <w:szCs w:val="22"/>
        </w:rPr>
        <w:t xml:space="preserve">Logging and monitoring.</w:t>
      </w:r>
    </w:p>
    <w:p>
      <w:pPr>
        <w:pStyle w:val="ListParagraph"/>
        <w:numPr>
          <w:ilvl w:val="0"/>
          <w:numId w:val="2"/>
        </w:numPr>
        <w:spacing w:after="60"/>
      </w:pPr>
      <w:r>
        <w:rPr>
          <w:rFonts w:ascii="Arial" w:cs="Arial" w:eastAsia="Arial" w:hAnsi="Arial"/>
          <w:sz w:val="22"/>
          <w:szCs w:val="22"/>
        </w:rPr>
        <w:t xml:space="preserve">Incident response plans.</w:t>
      </w:r>
    </w:p>
    <w:p>
      <w:pPr>
        <w:pStyle w:val="ListParagraph"/>
        <w:numPr>
          <w:ilvl w:val="0"/>
          <w:numId w:val="2"/>
        </w:numPr>
        <w:spacing w:after="60"/>
      </w:pPr>
      <w:r>
        <w:rPr>
          <w:rFonts w:ascii="Arial" w:cs="Arial" w:eastAsia="Arial" w:hAnsi="Arial"/>
          <w:sz w:val="22"/>
          <w:szCs w:val="22"/>
        </w:rPr>
        <w:t xml:space="preserve">Vulnerability management.</w:t>
      </w:r>
    </w:p>
    <w:p>
      <w:pPr>
        <w:pStyle w:val="ListParagraph"/>
        <w:numPr>
          <w:ilvl w:val="0"/>
          <w:numId w:val="2"/>
        </w:numPr>
        <w:spacing w:after="60"/>
      </w:pPr>
      <w:r>
        <w:rPr>
          <w:rFonts w:ascii="Arial" w:cs="Arial" w:eastAsia="Arial" w:hAnsi="Arial"/>
          <w:sz w:val="22"/>
          <w:szCs w:val="22"/>
        </w:rPr>
        <w:t xml:space="preserve">Annual third-party security assessment.</w:t>
      </w:r>
    </w:p>
    <w:p>
      <w:r>
        <w:br w:type="page"/>
      </w:r>
    </w:p>
    <w:p>
      <w:pPr>
        <w:pStyle w:val="Heading1"/>
        <w:spacing w:after="160" w:before="240"/>
      </w:pPr>
      <w:r>
        <w:rPr>
          <w:rFonts w:ascii="Arial" w:cs="Arial" w:eastAsia="Arial" w:hAnsi="Arial"/>
          <w:b/>
          <w:bCs/>
          <w:color w:val="1F4E79"/>
          <w:sz w:val="36"/>
          <w:szCs w:val="36"/>
        </w:rPr>
        <w:t xml:space="preserve">4. GCC Regional Overview (planned expansion)</w:t>
      </w:r>
    </w:p>
    <w:p>
      <w:pPr>
        <w:pStyle w:val="Heading2"/>
        <w:spacing w:after="160" w:before="240"/>
      </w:pPr>
      <w:r>
        <w:rPr>
          <w:rFonts w:ascii="Arial" w:cs="Arial" w:eastAsia="Arial" w:hAnsi="Arial"/>
          <w:b/>
          <w:bCs/>
          <w:color w:val="000000"/>
          <w:sz w:val="28"/>
          <w:szCs w:val="28"/>
        </w:rPr>
        <w:t xml:space="preserve">4.1 United Arab Emirates</w:t>
      </w:r>
    </w:p>
    <w:p>
      <w:pPr>
        <w:pStyle w:val="ListParagraph"/>
        <w:numPr>
          <w:ilvl w:val="0"/>
          <w:numId w:val="2"/>
        </w:numPr>
        <w:spacing w:after="60"/>
      </w:pPr>
      <w:r>
        <w:rPr>
          <w:rFonts w:ascii="Arial" w:cs="Arial" w:eastAsia="Arial" w:hAnsi="Arial"/>
          <w:sz w:val="22"/>
          <w:szCs w:val="22"/>
        </w:rPr>
        <w:t xml:space="preserve">UAE PDPL (Federal) — health data is "sensitive personal data".</w:t>
      </w:r>
    </w:p>
    <w:p>
      <w:pPr>
        <w:pStyle w:val="ListParagraph"/>
        <w:numPr>
          <w:ilvl w:val="0"/>
          <w:numId w:val="2"/>
        </w:numPr>
        <w:spacing w:after="60"/>
      </w:pPr>
      <w:r>
        <w:rPr>
          <w:rFonts w:ascii="Arial" w:cs="Arial" w:eastAsia="Arial" w:hAnsi="Arial"/>
          <w:sz w:val="22"/>
          <w:szCs w:val="22"/>
        </w:rPr>
        <w:t xml:space="preserve">DHA (Dubai) — operates NABIDH HIE. Mandatory integration to operate in Dubai.</w:t>
      </w:r>
    </w:p>
    <w:p>
      <w:pPr>
        <w:pStyle w:val="ListParagraph"/>
        <w:numPr>
          <w:ilvl w:val="0"/>
          <w:numId w:val="2"/>
        </w:numPr>
        <w:spacing w:after="60"/>
      </w:pPr>
      <w:r>
        <w:rPr>
          <w:rFonts w:ascii="Arial" w:cs="Arial" w:eastAsia="Arial" w:hAnsi="Arial"/>
          <w:sz w:val="22"/>
          <w:szCs w:val="22"/>
        </w:rPr>
        <w:t xml:space="preserve">DOH (Abu Dhabi) — operates Malaffi HIE. Mandatory integration for Abu Dhabi clinics.</w:t>
      </w:r>
    </w:p>
    <w:p>
      <w:pPr>
        <w:pStyle w:val="ListParagraph"/>
        <w:numPr>
          <w:ilvl w:val="0"/>
          <w:numId w:val="2"/>
        </w:numPr>
        <w:spacing w:after="60"/>
      </w:pPr>
      <w:r>
        <w:rPr>
          <w:rFonts w:ascii="Arial" w:cs="Arial" w:eastAsia="Arial" w:hAnsi="Arial"/>
          <w:sz w:val="22"/>
          <w:szCs w:val="22"/>
        </w:rPr>
        <w:t xml:space="preserve">MOHAP (federal emirates) — owns federal licensing.</w:t>
      </w:r>
    </w:p>
    <w:p>
      <w:pPr>
        <w:pStyle w:val="ListParagraph"/>
        <w:numPr>
          <w:ilvl w:val="0"/>
          <w:numId w:val="2"/>
        </w:numPr>
        <w:spacing w:after="60"/>
      </w:pPr>
      <w:r>
        <w:rPr>
          <w:rFonts w:ascii="Arial" w:cs="Arial" w:eastAsia="Arial" w:hAnsi="Arial"/>
          <w:sz w:val="22"/>
          <w:szCs w:val="22"/>
        </w:rPr>
        <w:t xml:space="preserve">Cross-border transfers require notification or approval.</w:t>
      </w:r>
    </w:p>
    <w:p>
      <w:pPr>
        <w:pStyle w:val="Heading2"/>
        <w:spacing w:after="160" w:before="240"/>
      </w:pPr>
      <w:r>
        <w:rPr>
          <w:rFonts w:ascii="Arial" w:cs="Arial" w:eastAsia="Arial" w:hAnsi="Arial"/>
          <w:b/>
          <w:bCs/>
          <w:color w:val="000000"/>
          <w:sz w:val="28"/>
          <w:szCs w:val="28"/>
        </w:rPr>
        <w:t xml:space="preserve">4.2 Saudi Arabia</w:t>
      </w:r>
    </w:p>
    <w:p>
      <w:pPr>
        <w:pStyle w:val="ListParagraph"/>
        <w:numPr>
          <w:ilvl w:val="0"/>
          <w:numId w:val="2"/>
        </w:numPr>
        <w:spacing w:after="60"/>
      </w:pPr>
      <w:r>
        <w:rPr>
          <w:rFonts w:ascii="Arial" w:cs="Arial" w:eastAsia="Arial" w:hAnsi="Arial"/>
          <w:sz w:val="22"/>
          <w:szCs w:val="22"/>
        </w:rPr>
        <w:t xml:space="preserve">PDPL (Royal Decree M/19, 2021) — strict localization clauses.</w:t>
      </w:r>
    </w:p>
    <w:p>
      <w:pPr>
        <w:pStyle w:val="ListParagraph"/>
        <w:numPr>
          <w:ilvl w:val="0"/>
          <w:numId w:val="2"/>
        </w:numPr>
        <w:spacing w:after="60"/>
      </w:pPr>
      <w:r>
        <w:rPr>
          <w:rFonts w:ascii="Arial" w:cs="Arial" w:eastAsia="Arial" w:hAnsi="Arial"/>
          <w:sz w:val="22"/>
          <w:szCs w:val="22"/>
        </w:rPr>
        <w:t xml:space="preserve">NPHIES — mandatory for all health insurance claims and clinical data exchange.</w:t>
      </w:r>
    </w:p>
    <w:p>
      <w:pPr>
        <w:pStyle w:val="ListParagraph"/>
        <w:numPr>
          <w:ilvl w:val="0"/>
          <w:numId w:val="2"/>
        </w:numPr>
        <w:spacing w:after="60"/>
      </w:pPr>
      <w:r>
        <w:rPr>
          <w:rFonts w:ascii="Arial" w:cs="Arial" w:eastAsia="Arial" w:hAnsi="Arial"/>
          <w:sz w:val="22"/>
          <w:szCs w:val="22"/>
        </w:rPr>
        <w:t xml:space="preserve">SFDA — pharmacy and prescription regulation.</w:t>
      </w:r>
    </w:p>
    <w:p>
      <w:pPr>
        <w:pStyle w:val="ListParagraph"/>
        <w:numPr>
          <w:ilvl w:val="0"/>
          <w:numId w:val="2"/>
        </w:numPr>
        <w:spacing w:after="60"/>
      </w:pPr>
      <w:r>
        <w:rPr>
          <w:rFonts w:ascii="Arial" w:cs="Arial" w:eastAsia="Arial" w:hAnsi="Arial"/>
          <w:sz w:val="22"/>
          <w:szCs w:val="22"/>
        </w:rPr>
        <w:t xml:space="preserve">SCFHS — clinician licensing validation.</w:t>
      </w:r>
    </w:p>
    <w:p>
      <w:pPr>
        <w:pStyle w:val="ListParagraph"/>
        <w:numPr>
          <w:ilvl w:val="0"/>
          <w:numId w:val="2"/>
        </w:numPr>
        <w:spacing w:after="60"/>
      </w:pPr>
      <w:r>
        <w:rPr>
          <w:rFonts w:ascii="Arial" w:cs="Arial" w:eastAsia="Arial" w:hAnsi="Arial"/>
          <w:sz w:val="22"/>
          <w:szCs w:val="22"/>
        </w:rPr>
        <w:t xml:space="preserve">AWS Riyadh region (me-central-2) supports full data residency.</w:t>
      </w:r>
    </w:p>
    <w:p>
      <w:pPr>
        <w:pStyle w:val="Heading2"/>
        <w:spacing w:after="160" w:before="240"/>
      </w:pPr>
      <w:r>
        <w:rPr>
          <w:rFonts w:ascii="Arial" w:cs="Arial" w:eastAsia="Arial" w:hAnsi="Arial"/>
          <w:b/>
          <w:bCs/>
          <w:color w:val="000000"/>
          <w:sz w:val="28"/>
          <w:szCs w:val="28"/>
        </w:rPr>
        <w:t xml:space="preserve">4.3 Kuwait, Bahrain, Oman</w:t>
      </w:r>
    </w:p>
    <w:p>
      <w:pPr>
        <w:spacing w:after="120" w:before="0"/>
      </w:pPr>
      <w:r>
        <w:rPr>
          <w:rFonts w:ascii="Arial" w:cs="Arial" w:eastAsia="Arial" w:hAnsi="Arial"/>
          <w:sz w:val="22"/>
          <w:szCs w:val="22"/>
        </w:rPr>
        <w:t xml:space="preserve">Smaller markets. Frameworks under development. Regional approach: process in me-south-1 (Bahrain), align with Qatar PDPPL as the default, customize per market as licensing materializes.</w:t>
      </w:r>
    </w:p>
    <w:p>
      <w:r>
        <w:br w:type="page"/>
      </w:r>
    </w:p>
    <w:p>
      <w:pPr>
        <w:pStyle w:val="Heading1"/>
        <w:spacing w:after="160" w:before="240"/>
      </w:pPr>
      <w:r>
        <w:rPr>
          <w:rFonts w:ascii="Arial" w:cs="Arial" w:eastAsia="Arial" w:hAnsi="Arial"/>
          <w:b/>
          <w:bCs/>
          <w:color w:val="1F4E79"/>
          <w:sz w:val="36"/>
          <w:szCs w:val="36"/>
        </w:rPr>
        <w:t xml:space="preserve">5. Compliance Requirements Matrix</w:t>
      </w:r>
    </w:p>
    <w:p>
      <w:pPr>
        <w:spacing w:after="120" w:before="0"/>
      </w:pPr>
      <w:r>
        <w:rPr>
          <w:rFonts w:ascii="Arial" w:cs="Arial" w:eastAsia="Arial" w:hAnsi="Arial"/>
          <w:sz w:val="22"/>
          <w:szCs w:val="22"/>
        </w:rPr>
        <w:t xml:space="preserve">This matrix maps each obligation to the technical control needed in Tiryaq.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700"/>
        <w:gridCol w:w="3200"/>
        <w:gridCol w:w="1760"/>
      </w:tblGrid>
      <w:tr>
        <w:tc>
          <w:tcPr>
            <w:tcW w:type="dxa" w:w="5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Obligation</w:t>
            </w:r>
          </w:p>
        </w:tc>
        <w:tc>
          <w:tcPr>
            <w:tcW w:type="dxa" w:w="17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2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Technical control</w:t>
            </w:r>
          </w:p>
        </w:tc>
        <w:tc>
          <w:tcPr>
            <w:tcW w:type="dxa" w:w="17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Layer</w:t>
            </w:r>
          </w:p>
        </w:tc>
      </w:tr>
      <w:t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residency in Qatar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MOPH, PDPPL</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AWS region pinned to me-south-1</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CDK</w:t>
            </w:r>
          </w:p>
        </w:tc>
      </w:tr>
      <w:tr>
        <w:tc>
          <w:tcPr>
            <w:tcW w:type="dxa" w:w="5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Encryption at rest</w:t>
            </w:r>
          </w:p>
        </w:tc>
        <w:tc>
          <w:tcPr>
            <w:tcW w:type="dxa" w:w="1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PDPPL Art. 9</w:t>
            </w:r>
          </w:p>
        </w:tc>
        <w:tc>
          <w:tcPr>
            <w:tcW w:type="dxa" w:w="3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KMS CMK on DynamoDB, S3, Lambda env</w:t>
            </w:r>
          </w:p>
        </w:tc>
        <w:tc>
          <w:tcPr>
            <w:tcW w:type="dxa" w:w="1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CDK</w:t>
            </w:r>
          </w:p>
        </w:tc>
      </w:tr>
      <w:t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Encryption in transit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PDPPL Art. 9</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TLS 1.2+; CloudFront HTTPS-only; API Gateway HTTPS</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CDK</w:t>
            </w:r>
          </w:p>
        </w:tc>
      </w:tr>
      <w:tr>
        <w:tc>
          <w:tcPr>
            <w:tcW w:type="dxa" w:w="5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 authentication</w:t>
            </w:r>
          </w:p>
        </w:tc>
        <w:tc>
          <w:tcPr>
            <w:tcW w:type="dxa" w:w="1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PDPPL Art. 9</w:t>
            </w:r>
          </w:p>
        </w:tc>
        <w:tc>
          <w:tcPr>
            <w:tcW w:type="dxa" w:w="3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Cognito 12+ chars + symbols, MFA mandatory</w:t>
            </w:r>
          </w:p>
        </w:tc>
        <w:tc>
          <w:tcPr>
            <w:tcW w:type="dxa" w:w="1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CDK</w:t>
            </w:r>
          </w:p>
        </w:tc>
      </w:tr>
      <w:t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Role-based access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PDPPL Art. 9</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Cognito groups + JWT claims + Lambda checks</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CDK + Lambda</w:t>
            </w:r>
          </w:p>
        </w:tc>
      </w:tr>
      <w:tr>
        <w:tc>
          <w:tcPr>
            <w:tcW w:type="dxa" w:w="5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audit log</w:t>
            </w:r>
          </w:p>
        </w:tc>
        <w:tc>
          <w:tcPr>
            <w:tcW w:type="dxa" w:w="1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MOPH, PDPPL</w:t>
            </w:r>
          </w:p>
        </w:tc>
        <w:tc>
          <w:tcPr>
            <w:tcW w:type="dxa" w:w="3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tiryaq-audit Lambda + audit DynamoDB items</w:t>
            </w:r>
          </w:p>
        </w:tc>
        <w:tc>
          <w:tcPr>
            <w:tcW w:type="dxa" w:w="1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Lambda</w:t>
            </w:r>
          </w:p>
        </w:tc>
      </w:tr>
      <w:t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 audit log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NCSA NIA</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CloudTrail org trail, immutable S3 bucket</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CDK</w:t>
            </w:r>
          </w:p>
        </w:tc>
      </w:tr>
      <w:tr>
        <w:tc>
          <w:tcPr>
            <w:tcW w:type="dxa" w:w="5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Breach notification &lt; 72h</w:t>
            </w:r>
          </w:p>
        </w:tc>
        <w:tc>
          <w:tcPr>
            <w:tcW w:type="dxa" w:w="1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PDPPL Art. 14</w:t>
            </w:r>
          </w:p>
        </w:tc>
        <w:tc>
          <w:tcPr>
            <w:tcW w:type="dxa" w:w="3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EventBridge → SNS pipeline</w:t>
            </w:r>
          </w:p>
        </w:tc>
        <w:tc>
          <w:tcPr>
            <w:tcW w:type="dxa" w:w="1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CDK</w:t>
            </w:r>
          </w:p>
        </w:tc>
      </w:tr>
      <w:t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subject rights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PDPPL Art. 16-22</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Patient self-service endpoints + admin tooling</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Lambda + Angular</w:t>
            </w:r>
          </w:p>
        </w:tc>
      </w:tr>
      <w:tr>
        <w:tc>
          <w:tcPr>
            <w:tcW w:type="dxa" w:w="5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minimization</w:t>
            </w:r>
          </w:p>
        </w:tc>
        <w:tc>
          <w:tcPr>
            <w:tcW w:type="dxa" w:w="1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PDPPL Art. 4</w:t>
            </w:r>
          </w:p>
        </w:tc>
        <w:tc>
          <w:tcPr>
            <w:tcW w:type="dxa" w:w="3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required fields; review every schema change</w:t>
            </w:r>
          </w:p>
        </w:tc>
        <w:tc>
          <w:tcPr>
            <w:tcW w:type="dxa" w:w="1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w:t>
            </w:r>
          </w:p>
        </w:tc>
      </w:tr>
      <w:t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retention policy</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PDPPL Art. 7</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DynamoDB TTL; documented retention table</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CDK + Lambda</w:t>
            </w:r>
          </w:p>
        </w:tc>
      </w:tr>
      <w:tr>
        <w:tc>
          <w:tcPr>
            <w:tcW w:type="dxa" w:w="5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classification</w:t>
            </w:r>
          </w:p>
        </w:tc>
        <w:tc>
          <w:tcPr>
            <w:tcW w:type="dxa" w:w="1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NCSA NIA</w:t>
            </w:r>
          </w:p>
        </w:tc>
        <w:tc>
          <w:tcPr>
            <w:tcW w:type="dxa" w:w="3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dataClass attribute on every item</w:t>
            </w:r>
          </w:p>
        </w:tc>
        <w:tc>
          <w:tcPr>
            <w:tcW w:type="dxa" w:w="1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Lambda</w:t>
            </w:r>
          </w:p>
        </w:tc>
      </w:tr>
      <w:t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Backup and recovery</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MOPH</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PITR + AWS Backup vault, 7-year retention</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CDK</w:t>
            </w:r>
          </w:p>
        </w:tc>
      </w:tr>
      <w:tr>
        <w:tc>
          <w:tcPr>
            <w:tcW w:type="dxa" w:w="5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Tenant isolation</w:t>
            </w:r>
          </w:p>
        </w:tc>
        <w:tc>
          <w:tcPr>
            <w:tcW w:type="dxa" w:w="1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SaaS arch</w:t>
            </w:r>
          </w:p>
        </w:tc>
        <w:tc>
          <w:tcPr>
            <w:tcW w:type="dxa" w:w="3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tenantId partition prefix; deny cross-tenant queries</w:t>
            </w:r>
          </w:p>
        </w:tc>
        <w:tc>
          <w:tcPr>
            <w:tcW w:type="dxa" w:w="1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Lambda</w:t>
            </w:r>
          </w:p>
        </w:tc>
      </w:tr>
      <w:t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WAF protection</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NCSA NIA</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WAFv2 with managed rules + rate limit</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CDK</w:t>
            </w:r>
          </w:p>
        </w:tc>
      </w:tr>
      <w:tr>
        <w:tc>
          <w:tcPr>
            <w:tcW w:type="dxa" w:w="5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DDoS protection</w:t>
            </w:r>
          </w:p>
        </w:tc>
        <w:tc>
          <w:tcPr>
            <w:tcW w:type="dxa" w:w="1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NCSA NIA</w:t>
            </w:r>
          </w:p>
        </w:tc>
        <w:tc>
          <w:tcPr>
            <w:tcW w:type="dxa" w:w="3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Shield Standard (auto on CloudFront)</w:t>
            </w:r>
          </w:p>
        </w:tc>
        <w:tc>
          <w:tcPr>
            <w:tcW w:type="dxa" w:w="1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CDK</w:t>
            </w:r>
          </w:p>
        </w:tc>
      </w:tr>
      <w:t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Vulnerability mgmt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NCSA NIA</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npm audit, Inspector for Lambda</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Process + CDK</w:t>
            </w:r>
          </w:p>
        </w:tc>
      </w:tr>
      <w:tr>
        <w:tc>
          <w:tcPr>
            <w:tcW w:type="dxa" w:w="5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Secure SDLC</w:t>
            </w:r>
          </w:p>
        </w:tc>
        <w:tc>
          <w:tcPr>
            <w:tcW w:type="dxa" w:w="1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MOPH</w:t>
            </w:r>
          </w:p>
        </w:tc>
        <w:tc>
          <w:tcPr>
            <w:tcW w:type="dxa" w:w="3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PR review, no hardcoded secrets, Secrets Manager</w:t>
            </w:r>
          </w:p>
        </w:tc>
        <w:tc>
          <w:tcPr>
            <w:tcW w:type="dxa" w:w="1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w:t>
            </w:r>
          </w:p>
        </w:tc>
      </w:tr>
      <w:t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Cross-border transfer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PDPPL Art. 25</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Documented approval for any cross-region calls</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Process + CDK</w:t>
            </w:r>
          </w:p>
        </w:tc>
      </w:tr>
      <w:tr>
        <w:tc>
          <w:tcPr>
            <w:tcW w:type="dxa" w:w="5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Patient consent</w:t>
            </w:r>
          </w:p>
        </w:tc>
        <w:tc>
          <w:tcPr>
            <w:tcW w:type="dxa" w:w="1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PDPPL Art. 4</w:t>
            </w:r>
          </w:p>
        </w:tc>
        <w:tc>
          <w:tcPr>
            <w:tcW w:type="dxa" w:w="3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Consent record in DynamoDB linked to patient</w:t>
            </w:r>
          </w:p>
        </w:tc>
        <w:tc>
          <w:tcPr>
            <w:tcW w:type="dxa" w:w="1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Lambda + Angular</w:t>
            </w:r>
          </w:p>
        </w:tc>
      </w:tr>
      <w:t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AWS DPA</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PDPPL Art. 23</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AWS Enterprise Agreement DPA executed</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Contractual</w:t>
            </w:r>
          </w:p>
        </w:tc>
      </w:tr>
      <w:tr>
        <w:tc>
          <w:tcPr>
            <w:tcW w:type="dxa" w:w="5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Vendor management</w:t>
            </w:r>
          </w:p>
        </w:tc>
        <w:tc>
          <w:tcPr>
            <w:tcW w:type="dxa" w:w="1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MOPH</w:t>
            </w:r>
          </w:p>
        </w:tc>
        <w:tc>
          <w:tcPr>
            <w:tcW w:type="dxa" w:w="3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Sub-processor list (AWS, SES, SNS)</w:t>
            </w:r>
          </w:p>
        </w:tc>
        <w:tc>
          <w:tcPr>
            <w:tcW w:type="dxa" w:w="1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w:t>
            </w:r>
          </w:p>
        </w:tc>
      </w:tr>
      <w:t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Incident response</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NCSA NIA</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Runbook, on-call rotation, tabletop exercises</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Process</w:t>
            </w:r>
          </w:p>
        </w:tc>
      </w:tr>
      <w:tr>
        <w:tc>
          <w:tcPr>
            <w:tcW w:type="dxa" w:w="5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24</w:t>
            </w:r>
          </w:p>
        </w:tc>
        <w:tc>
          <w:tcPr>
            <w:tcW w:type="dxa" w:w="2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security assessment</w:t>
            </w:r>
          </w:p>
        </w:tc>
        <w:tc>
          <w:tcPr>
            <w:tcW w:type="dxa" w:w="17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NCSA NIA</w:t>
            </w:r>
          </w:p>
        </w:tc>
        <w:tc>
          <w:tcPr>
            <w:tcW w:type="dxa" w:w="32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Third-party pen test annually</w:t>
            </w:r>
          </w:p>
        </w:tc>
        <w:tc>
          <w:tcPr>
            <w:tcW w:type="dxa" w:w="17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w:t>
            </w:r>
          </w:p>
        </w:tc>
      </w:tr>
      <w:tr>
        <w:tc>
          <w:tcPr>
            <w:tcW w:type="dxa" w:w="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Clinical safety</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MOPH</w:t>
            </w:r>
          </w:p>
        </w:tc>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Change control for AI features; SOAP/ICD-10 validation</w:t>
            </w:r>
          </w:p>
        </w:tc>
        <w:tc>
          <w:tcPr>
            <w:tcW w:type="dxa" w:w="1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Process</w:t>
            </w:r>
          </w:p>
        </w:tc>
      </w:tr>
    </w:tbl>
    <w:p>
      <w:r>
        <w:br w:type="page"/>
      </w:r>
    </w:p>
    <w:p>
      <w:pPr>
        <w:pStyle w:val="Heading1"/>
        <w:spacing w:after="160" w:before="240"/>
      </w:pPr>
      <w:r>
        <w:rPr>
          <w:rFonts w:ascii="Arial" w:cs="Arial" w:eastAsia="Arial" w:hAnsi="Arial"/>
          <w:b/>
          <w:bCs/>
          <w:color w:val="1F4E79"/>
          <w:sz w:val="36"/>
          <w:szCs w:val="36"/>
        </w:rPr>
        <w:t xml:space="preserve">6.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60"/>
      </w:tblGrid>
      <w:tr>
        <w:tc>
          <w:tcPr>
            <w:tcW w:type="dxa" w:w="19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Party</w:t>
            </w:r>
          </w:p>
        </w:tc>
        <w:tc>
          <w:tcPr>
            <w:tcW w:type="dxa" w:w="19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Role under PDPPL</w:t>
            </w:r>
          </w:p>
        </w:tc>
        <w:tc>
          <w:tcPr>
            <w:tcW w:type="dxa" w:w="55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clinic (Tiryaq customer)</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 Controller</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Determines purpose; obtains patient consent; responds to data subject requests.</w:t>
            </w:r>
          </w:p>
        </w:tc>
      </w:tr>
      <w:tr>
        <w:tc>
          <w:tcPr>
            <w:tcW w:type="dxa" w:w="1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Tiryaq (the company)</w:t>
            </w:r>
          </w:p>
        </w:tc>
        <w:tc>
          <w:tcPr>
            <w:tcW w:type="dxa" w:w="1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Processor</w:t>
            </w:r>
          </w:p>
        </w:tc>
        <w:tc>
          <w:tcPr>
            <w:tcW w:type="dxa" w:w="5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Processes data on behalf of the clinic; implements controls; reports breaches.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AWS</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Sub-processor</w:t>
            </w:r>
          </w:p>
        </w:tc>
        <w:tc>
          <w:tcPr>
            <w:tcW w:type="dxa" w:w="5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Provides infrastructure; signs DPA; physical and platform security.</w:t>
            </w:r>
          </w:p>
        </w:tc>
      </w:tr>
      <w:tr>
        <w:tc>
          <w:tcPr>
            <w:tcW w:type="dxa" w:w="1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Bedrock LLM provider (when used)</w:t>
            </w:r>
          </w:p>
        </w:tc>
        <w:tc>
          <w:tcPr>
            <w:tcW w:type="dxa" w:w="1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Sub-processor</w:t>
            </w:r>
          </w:p>
        </w:tc>
        <w:tc>
          <w:tcPr>
            <w:tcW w:type="dxa" w:w="55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as AWS, with cross-border processing if not in me-south-1.</w:t>
            </w:r>
          </w:p>
        </w:tc>
      </w:tr>
    </w:tbl>
    <w:p>
      <w:pPr>
        <w:spacing w:after="120" w:before="0"/>
      </w:pPr>
      <w:r>
        <w:rPr>
          <w:rFonts w:ascii="Arial" w:cs="Arial" w:eastAsia="Arial" w:hAnsi="Arial"/>
          <w:sz w:val="22"/>
          <w:szCs w:val="22"/>
        </w:rPr>
        <w:t xml:space="preserve"/>
      </w:r>
    </w:p>
    <w:p>
      <w:pPr>
        <w:pStyle w:val="Heading1"/>
        <w:spacing w:after="160" w:before="240"/>
      </w:pPr>
      <w:r>
        <w:rPr>
          <w:rFonts w:ascii="Arial" w:cs="Arial" w:eastAsia="Arial" w:hAnsi="Arial"/>
          <w:b/>
          <w:bCs/>
          <w:color w:val="1F4E79"/>
          <w:sz w:val="36"/>
          <w:szCs w:val="36"/>
        </w:rPr>
        <w:t xml:space="preserve">7. Compliance Operating Model</w:t>
      </w:r>
    </w:p>
    <w:p>
      <w:pPr>
        <w:spacing w:after="120" w:before="0"/>
      </w:pPr>
      <w:r>
        <w:rPr>
          <w:rFonts w:ascii="Arial" w:cs="Arial" w:eastAsia="Arial" w:hAnsi="Arial"/>
          <w:sz w:val="22"/>
          <w:szCs w:val="22"/>
        </w:rPr>
        <w:t xml:space="preserve">A one-time compliant deployment is not enough. PDPPL and MOPH expect ongoing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74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Continuous</w:t>
            </w:r>
          </w:p>
        </w:tc>
        <w:tc>
          <w:tcPr>
            <w:tcW w:type="dxa" w:w="7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Monitoring (CloudWatch alarms, GuardDuty, Security Hub).</w:t>
            </w:r>
          </w:p>
        </w:tc>
      </w:tr>
      <w:tr>
        <w:tc>
          <w:tcPr>
            <w:tcW w:type="dxa" w:w="1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Weekly</w:t>
            </w:r>
          </w:p>
        </w:tc>
        <w:tc>
          <w:tcPr>
            <w:tcW w:type="dxa" w:w="74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failed logins and suspicious access patterns.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w:t>
            </w:r>
          </w:p>
        </w:tc>
        <w:tc>
          <w:tcPr>
            <w:tcW w:type="dxa" w:w="7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KMS key usage review; IAM access review.</w:t>
            </w:r>
          </w:p>
        </w:tc>
      </w:tr>
      <w:tr>
        <w:tc>
          <w:tcPr>
            <w:tcW w:type="dxa" w:w="1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Quarterly</w:t>
            </w:r>
          </w:p>
        </w:tc>
        <w:tc>
          <w:tcPr>
            <w:tcW w:type="dxa" w:w="74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Restore test from PITR; breach tabletop exercise.</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Annually</w:t>
            </w:r>
          </w:p>
        </w:tc>
        <w:tc>
          <w:tcPr>
            <w:tcW w:type="dxa" w:w="7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Third-party penetration test; DPA review with AWS; retention review; NCSA self-assessment.</w:t>
            </w:r>
          </w:p>
        </w:tc>
      </w:tr>
      <w:tr>
        <w:tc>
          <w:tcPr>
            <w:tcW w:type="dxa" w:w="190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On change</w:t>
            </w:r>
          </w:p>
        </w:tc>
        <w:tc>
          <w:tcPr>
            <w:tcW w:type="dxa" w:w="7460"/>
            <w:tcBorders>
              <w:top w:val="single" w:color="999999" w:sz="4"/>
              <w:left w:val="single" w:color="999999" w:sz="4"/>
              <w:bottom w:val="single" w:color="999999" w:sz="4"/>
              <w:right w:val="single" w:color="999999" w:sz="4"/>
            </w:tcBorders>
            <w:shd w:fill="F2F2F2"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Privacy impact assessment for any new feature touching PHI.</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On incident</w:t>
            </w:r>
          </w:p>
        </w:tc>
        <w:tc>
          <w:tcPr>
            <w:tcW w:type="dxa" w:w="74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Breach notification within 72 hours; root cause; corrective action.</w:t>
            </w:r>
          </w:p>
        </w:tc>
      </w:tr>
    </w:tbl>
    <w:p>
      <w:pPr>
        <w:spacing w:after="120" w:before="0"/>
      </w:pPr>
      <w:r>
        <w:rPr>
          <w:rFonts w:ascii="Arial" w:cs="Arial" w:eastAsia="Arial" w:hAnsi="Arial"/>
          <w:sz w:val="22"/>
          <w:szCs w:val="22"/>
        </w:rPr>
        <w:t xml:space="preserve"/>
      </w:r>
    </w:p>
    <w:p>
      <w:pPr>
        <w:pStyle w:val="Heading1"/>
        <w:spacing w:after="160" w:before="240"/>
      </w:pPr>
      <w:r>
        <w:rPr>
          <w:rFonts w:ascii="Arial" w:cs="Arial" w:eastAsia="Arial" w:hAnsi="Arial"/>
          <w:b/>
          <w:bCs/>
          <w:color w:val="1F4E79"/>
          <w:sz w:val="36"/>
          <w:szCs w:val="36"/>
        </w:rPr>
        <w:t xml:space="preserve">8.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400"/>
        <w:gridCol w:w="3560"/>
      </w:tblGrid>
      <w:tr>
        <w:tc>
          <w:tcPr>
            <w:tcW w:type="dxa" w:w="15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9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40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560"/>
            <w:tcBorders>
              <w:top w:val="single" w:color="999999" w:sz="4"/>
              <w:left w:val="single" w:color="999999" w:sz="4"/>
              <w:bottom w:val="single" w:color="999999" w:sz="4"/>
              <w:right w:val="single" w:color="999999" w:sz="4"/>
            </w:tcBorders>
            <w:shd w:fill="1F4E79" w:color="auto"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2026-04-29</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Sami Taha</w:t>
            </w:r>
          </w:p>
        </w:tc>
        <w:tc>
          <w:tcPr>
            <w:tcW w:type="dxa" w:w="3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Initial issuance.</w:t>
            </w:r>
          </w:p>
        </w:tc>
      </w:tr>
    </w:tbl>
    <w:p>
      <w:pPr>
        <w:spacing w:after="120" w:before="0"/>
      </w:pPr>
      <w:r>
        <w:rPr>
          <w:rFonts w:ascii="Arial" w:cs="Arial" w:eastAsia="Arial" w:hAnsi="Arial"/>
          <w:sz w:val="22"/>
          <w:szCs w:val="22"/>
        </w:rPr>
        <w:t xml:space="preserve"/>
      </w:r>
    </w:p>
    <w:p>
      <w:pPr>
        <w:spacing w:after="120" w:before="0"/>
      </w:pPr>
      <w:r>
        <w:rPr>
          <w:rFonts w:ascii="Arial" w:cs="Arial" w:eastAsia="Arial" w:hAnsi="Arial"/>
          <w:b/>
          <w:bCs/>
          <w:sz w:val="22"/>
          <w:szCs w:val="22"/>
        </w:rPr>
        <w:t xml:space="preserve">Companion documents:</w:t>
      </w:r>
    </w:p>
    <w:p>
      <w:pPr>
        <w:pStyle w:val="ListParagraph"/>
        <w:numPr>
          <w:ilvl w:val="0"/>
          <w:numId w:val="2"/>
        </w:numPr>
        <w:spacing w:after="60"/>
      </w:pPr>
      <w:r>
        <w:rPr>
          <w:rFonts w:ascii="Arial" w:cs="Arial" w:eastAsia="Arial" w:hAnsi="Arial"/>
          <w:sz w:val="22"/>
          <w:szCs w:val="22"/>
        </w:rPr>
        <w:t xml:space="preserve">docs/compliance/02-Tiryaq-Compliance-Status.md</w:t>
      </w:r>
    </w:p>
    <w:p>
      <w:pPr>
        <w:pStyle w:val="ListParagraph"/>
        <w:numPr>
          <w:ilvl w:val="0"/>
          <w:numId w:val="2"/>
        </w:numPr>
        <w:spacing w:after="60"/>
      </w:pPr>
      <w:r>
        <w:rPr>
          <w:rFonts w:ascii="Arial" w:cs="Arial" w:eastAsia="Arial" w:hAnsi="Arial"/>
          <w:sz w:val="22"/>
          <w:szCs w:val="22"/>
        </w:rPr>
        <w:t xml:space="preserve">docs/compliance/updates/2026-04-29-update-01-region-cors.md</w:t>
      </w:r>
    </w:p>
    <w:p>
      <w:pPr>
        <w:pStyle w:val="ListParagraph"/>
        <w:numPr>
          <w:ilvl w:val="0"/>
          <w:numId w:val="2"/>
        </w:numPr>
        <w:spacing w:after="60"/>
      </w:pPr>
      <w:r>
        <w:rPr>
          <w:rFonts w:ascii="Arial" w:cs="Arial" w:eastAsia="Arial" w:hAnsi="Arial"/>
          <w:sz w:val="22"/>
          <w:szCs w:val="22"/>
        </w:rPr>
        <w:t xml:space="preserve">docs/compliance/updates/2026-04-29-update-02-cognito-mfa.md</w:t>
      </w:r>
    </w:p>
    <w:p>
      <w:pPr>
        <w:pStyle w:val="ListParagraph"/>
        <w:numPr>
          <w:ilvl w:val="0"/>
          <w:numId w:val="2"/>
        </w:numPr>
        <w:spacing w:after="60"/>
      </w:pPr>
      <w:r>
        <w:rPr>
          <w:rFonts w:ascii="Arial" w:cs="Arial" w:eastAsia="Arial" w:hAnsi="Arial"/>
          <w:sz w:val="22"/>
          <w:szCs w:val="22"/>
        </w:rPr>
        <w:t xml:space="preserve">docs/compliance/updates/2026-04-29-update-03-kms-cmk.md</w:t>
      </w:r>
    </w:p>
    <w:p>
      <w:pPr>
        <w:pStyle w:val="ListParagraph"/>
        <w:numPr>
          <w:ilvl w:val="0"/>
          <w:numId w:val="2"/>
        </w:numPr>
        <w:spacing w:after="60"/>
      </w:pPr>
      <w:r>
        <w:rPr>
          <w:rFonts w:ascii="Arial" w:cs="Arial" w:eastAsia="Arial" w:hAnsi="Arial"/>
          <w:sz w:val="22"/>
          <w:szCs w:val="22"/>
        </w:rPr>
        <w:t xml:space="preserve">docs/compliance/updates/2026-04-29-update-04-waf-cloudtrail-audit.md</w:t>
      </w:r>
    </w:p>
    <w:p>
      <w:pPr>
        <w:pStyle w:val="ListParagraph"/>
        <w:numPr>
          <w:ilvl w:val="0"/>
          <w:numId w:val="2"/>
        </w:numPr>
        <w:spacing w:after="60"/>
      </w:pPr>
      <w:r>
        <w:rPr>
          <w:rFonts w:ascii="Arial" w:cs="Arial" w:eastAsia="Arial" w:hAnsi="Arial"/>
          <w:sz w:val="22"/>
          <w:szCs w:val="22"/>
        </w:rPr>
        <w:t xml:space="preserve">docs/compliance/updates/2026-04-29-update-05-seed-credentials.md</w:t>
      </w:r>
    </w:p>
    <w:p>
      <w:pPr>
        <w:pStyle w:val="ListParagraph"/>
        <w:numPr>
          <w:ilvl w:val="0"/>
          <w:numId w:val="2"/>
        </w:numPr>
        <w:spacing w:after="60"/>
      </w:pPr>
      <w:r>
        <w:rPr>
          <w:rFonts w:ascii="Arial" w:cs="Arial" w:eastAsia="Arial" w:hAnsi="Arial"/>
          <w:sz w:val="22"/>
          <w:szCs w:val="22"/>
        </w:rPr>
        <w:t xml:space="preserve">docs/compliance/updates/2026-04-29-update-06-data-classification.md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Tiryaq — Qatar/GCC Compliance Master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Tiryaq Hospital Platform — Qatar/GCC Compliance Master Document</dc:title>
  <dc:creator>Sami Taha</dc:creator>
  <dc:description>Compliance documentation for PDPPL, MOPH, NCSA, and GCC regional frameworks.</dc:description>
  <cp:lastModifiedBy>Un-named</cp:lastModifiedBy>
  <cp:revision>1</cp:revision>
  <dcterms:created xsi:type="dcterms:W3CDTF">2026-04-29T19:31:14.701Z</dcterms:created>
  <dcterms:modified xsi:type="dcterms:W3CDTF">2026-04-29T19:31:14.705Z</dcterms:modified>
</cp:coreProperties>
</file>

<file path=docProps/custom.xml><?xml version="1.0" encoding="utf-8"?>
<Properties xmlns="http://schemas.openxmlformats.org/officeDocument/2006/custom-properties" xmlns:vt="http://schemas.openxmlformats.org/officeDocument/2006/docPropsVTypes"/>
</file>