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6a34a"/>
          <w:sz w:val="72"/>
          <w:szCs w:val="72"/>
        </w:rPr>
        <w:t xml:space="preserve">TIRYAQ</w:t>
      </w:r>
    </w:p>
    <w:p>
      <w:pPr>
        <w:spacing w:after="80" w:before="0"/>
        <w:jc w:val="center"/>
      </w:pPr>
      <w:r>
        <w:rPr>
          <w:rFonts w:ascii="Arial" w:cs="Arial" w:eastAsia="Arial" w:hAnsi="Arial"/>
          <w:color w:val="475569"/>
          <w:sz w:val="32"/>
          <w:szCs w:val="32"/>
        </w:rPr>
        <w:t xml:space="preserve">Hospital Management Platform</w:t>
      </w:r>
    </w:p>
    <w:p>
      <w:pPr>
        <w:spacing w:after="0" w:before="400"/>
      </w:pPr>
      <w:r>
        <w:t xml:space="preserve"/>
      </w:r>
    </w:p>
    <w:p>
      <w:pPr>
        <w:pBdr>
          <w:bottom w:val="single" w:color="e2e8f0" w:sz="4"/>
        </w:pBdr>
        <w:spacing w:after="400" w:before="0"/>
        <w:jc w:val="center"/>
      </w:pPr>
      <w:r>
        <w:t xml:space="preserve"/>
      </w:r>
    </w:p>
    <w:p>
      <w:pPr>
        <w:spacing w:after="0" w:before="400"/>
      </w:pPr>
      <w:r>
        <w:t xml:space="preserve"/>
      </w:r>
    </w:p>
    <w:p>
      <w:pPr>
        <w:spacing w:after="120" w:before="0"/>
        <w:jc w:val="center"/>
      </w:pPr>
      <w:r>
        <w:rPr>
          <w:rFonts w:ascii="Arial" w:cs="Arial" w:eastAsia="Arial" w:hAnsi="Arial"/>
          <w:b/>
          <w:bCs/>
          <w:color w:val="1e293b"/>
          <w:sz w:val="52"/>
          <w:szCs w:val="52"/>
        </w:rPr>
        <w:t xml:space="preserve">Examination Module</w:t>
      </w:r>
    </w:p>
    <w:p>
      <w:pPr>
        <w:spacing w:after="80" w:before="0"/>
        <w:jc w:val="center"/>
      </w:pPr>
      <w:r>
        <w:rPr>
          <w:rFonts w:ascii="Arial" w:cs="Arial" w:eastAsia="Arial" w:hAnsi="Arial"/>
          <w:color w:val="475569"/>
          <w:sz w:val="28"/>
          <w:szCs w:val="28"/>
        </w:rPr>
        <w:t xml:space="preserve">Technical Documentation</w:t>
      </w:r>
    </w:p>
    <w:p>
      <w:pPr>
        <w:spacing w:after="0" w:before="8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v1.0.0</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March 2026</w:t>
            </w:r>
          </w:p>
        </w:tc>
      </w:tr>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Platform</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AWS Serverless</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Angular 21 / PrimeNG 21</w:t>
            </w:r>
          </w:p>
        </w:tc>
      </w:tr>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Node.js 20 / DynamoDB</w:t>
            </w:r>
          </w:p>
        </w:tc>
      </w:tr>
    </w:tbl>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3. Overview</w:t>
      </w:r>
    </w:p>
    <w:p>
      <w:pPr>
        <w:spacing w:after="120" w:before="80"/>
      </w:pPr>
      <w:r>
        <w:rPr>
          <w:rFonts w:ascii="Arial" w:cs="Arial" w:eastAsia="Arial" w:hAnsi="Arial"/>
          <w:color w:val="475569"/>
          <w:sz w:val="22"/>
          <w:szCs w:val="22"/>
        </w:rPr>
        <w:t xml:space="preserve">The Examination Module is the clinical documentation core of Tiryaq. It allows doctors to create, fill, and sign off SOAP-standard clinical notes for any patient. Each examination records the full patient encounter from chief complaint through to treatment plan.</w:t>
      </w:r>
    </w:p>
    <w:p>
      <w:pPr>
        <w:spacing w:after="0" w:before="160"/>
      </w:pPr>
      <w:r>
        <w:t xml:space="preserve"/>
      </w:r>
    </w:p>
    <w:p>
      <w:pPr>
        <w:spacing w:after="120" w:before="80"/>
      </w:pPr>
      <w:r>
        <w:rPr>
          <w:rFonts w:ascii="Arial" w:cs="Arial" w:eastAsia="Arial" w:hAnsi="Arial"/>
          <w:color w:val="475569"/>
          <w:sz w:val="22"/>
          <w:szCs w:val="22"/>
        </w:rPr>
        <w:t xml:space="preserve">The module is fully integrated with the Tiryaq authentication system — every action is role-controlled and every change is written to a tamper-evident audit trail.</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1.1 Clinical Standard: SOAP</w:t>
      </w:r>
    </w:p>
    <w:p>
      <w:pPr>
        <w:spacing w:after="120" w:before="80"/>
      </w:pPr>
      <w:r>
        <w:rPr>
          <w:rFonts w:ascii="Arial" w:cs="Arial" w:eastAsia="Arial" w:hAnsi="Arial"/>
          <w:color w:val="475569"/>
          <w:sz w:val="22"/>
          <w:szCs w:val="22"/>
        </w:rPr>
        <w:t xml:space="preserve">All examinations follow the SOAP note format, which is the universal standard for clinical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What it captures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 — Subjective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the patient reports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 complaint, history, ROS, past medical/surgical/family/social history, allergies, current medications</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O — Objective</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What the doctor measures</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Vital signs (BP, HR, temperature, weight, height, BMI, SpO2, RR, pain scale) and physical examination findings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 Assessment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Clinical judgment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Diagnoses coded with ICD-10 (primary, secondary, or differential)</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 — Plan</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What will be done</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Prescriptions, lab orders (LOINC-coded), radiology orders, and treatment plan with follow-up</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1.2 Key Features</w:t>
      </w:r>
    </w:p>
    <w:p>
      <w:pPr>
        <w:pStyle w:val="ListParagraph"/>
        <w:numPr>
          <w:ilvl w:val="0"/>
          <w:numId w:val="2"/>
        </w:numPr>
        <w:spacing w:after="40" w:before="40"/>
      </w:pPr>
      <w:r>
        <w:rPr>
          <w:rFonts w:ascii="Arial" w:cs="Arial" w:eastAsia="Arial" w:hAnsi="Arial"/>
          <w:color w:val="475569"/>
          <w:sz w:val="22"/>
          <w:szCs w:val="22"/>
        </w:rPr>
        <w:t xml:space="preserve">8-step SOAP navigation with completion indicators</w:t>
      </w:r>
    </w:p>
    <w:p>
      <w:pPr>
        <w:pStyle w:val="ListParagraph"/>
        <w:numPr>
          <w:ilvl w:val="0"/>
          <w:numId w:val="2"/>
        </w:numPr>
        <w:spacing w:after="40" w:before="40"/>
      </w:pPr>
      <w:r>
        <w:rPr>
          <w:rFonts w:ascii="Arial" w:cs="Arial" w:eastAsia="Arial" w:hAnsi="Arial"/>
          <w:color w:val="475569"/>
          <w:sz w:val="22"/>
          <w:szCs w:val="22"/>
        </w:rPr>
        <w:t xml:space="preserve">ICD-10 code search (140 common codes embedded, no external API needed)</w:t>
      </w:r>
    </w:p>
    <w:p>
      <w:pPr>
        <w:pStyle w:val="ListParagraph"/>
        <w:numPr>
          <w:ilvl w:val="0"/>
          <w:numId w:val="2"/>
        </w:numPr>
        <w:spacing w:after="40" w:before="40"/>
      </w:pPr>
      <w:r>
        <w:rPr>
          <w:rFonts w:ascii="Arial" w:cs="Arial" w:eastAsia="Arial" w:hAnsi="Arial"/>
          <w:color w:val="475569"/>
          <w:sz w:val="22"/>
          <w:szCs w:val="22"/>
        </w:rPr>
        <w:t xml:space="preserve">LOINC code search for lab orders (50 standard codes with reference ranges)</w:t>
      </w:r>
    </w:p>
    <w:p>
      <w:pPr>
        <w:pStyle w:val="ListParagraph"/>
        <w:numPr>
          <w:ilvl w:val="0"/>
          <w:numId w:val="2"/>
        </w:numPr>
        <w:spacing w:after="40" w:before="40"/>
      </w:pPr>
      <w:r>
        <w:rPr>
          <w:rFonts w:ascii="Arial" w:cs="Arial" w:eastAsia="Arial" w:hAnsi="Arial"/>
          <w:color w:val="475569"/>
          <w:sz w:val="22"/>
          <w:szCs w:val="22"/>
        </w:rPr>
        <w:t xml:space="preserve">Automated BMI calculation from weight and height</w:t>
      </w:r>
    </w:p>
    <w:p>
      <w:pPr>
        <w:pStyle w:val="ListParagraph"/>
        <w:numPr>
          <w:ilvl w:val="0"/>
          <w:numId w:val="2"/>
        </w:numPr>
        <w:spacing w:after="40" w:before="40"/>
      </w:pPr>
      <w:r>
        <w:rPr>
          <w:rFonts w:ascii="Arial" w:cs="Arial" w:eastAsia="Arial" w:hAnsi="Arial"/>
          <w:color w:val="475569"/>
          <w:sz w:val="22"/>
          <w:szCs w:val="22"/>
        </w:rPr>
        <w:t xml:space="preserve">Section-by-section saving — each SOAP section is saved independently</w:t>
      </w:r>
    </w:p>
    <w:p>
      <w:pPr>
        <w:pStyle w:val="ListParagraph"/>
        <w:numPr>
          <w:ilvl w:val="0"/>
          <w:numId w:val="2"/>
        </w:numPr>
        <w:spacing w:after="40" w:before="40"/>
      </w:pPr>
      <w:r>
        <w:rPr>
          <w:rFonts w:ascii="Arial" w:cs="Arial" w:eastAsia="Arial" w:hAnsi="Arial"/>
          <w:color w:val="475569"/>
          <w:sz w:val="22"/>
          <w:szCs w:val="22"/>
        </w:rPr>
        <w:t xml:space="preserve">Validation rules enforced on both frontend and backend</w:t>
      </w:r>
    </w:p>
    <w:p>
      <w:pPr>
        <w:pStyle w:val="ListParagraph"/>
        <w:numPr>
          <w:ilvl w:val="0"/>
          <w:numId w:val="2"/>
        </w:numPr>
        <w:spacing w:after="40" w:before="40"/>
      </w:pPr>
      <w:r>
        <w:rPr>
          <w:rFonts w:ascii="Arial" w:cs="Arial" w:eastAsia="Arial" w:hAnsi="Arial"/>
          <w:color w:val="475569"/>
          <w:sz w:val="22"/>
          <w:szCs w:val="22"/>
        </w:rPr>
        <w:t xml:space="preserve">Sign-off workflow — locks exam as read-only once completed</w:t>
      </w:r>
    </w:p>
    <w:p>
      <w:pPr>
        <w:pStyle w:val="ListParagraph"/>
        <w:numPr>
          <w:ilvl w:val="0"/>
          <w:numId w:val="2"/>
        </w:numPr>
        <w:spacing w:after="40" w:before="40"/>
      </w:pPr>
      <w:r>
        <w:rPr>
          <w:rFonts w:ascii="Arial" w:cs="Arial" w:eastAsia="Arial" w:hAnsi="Arial"/>
          <w:color w:val="475569"/>
          <w:sz w:val="22"/>
          <w:szCs w:val="22"/>
        </w:rPr>
        <w:t xml:space="preserve">Automatic audit trail on every create, update, sign-off, view, and delete</w:t>
      </w:r>
    </w:p>
    <w:p>
      <w:pPr>
        <w:pStyle w:val="ListParagraph"/>
        <w:numPr>
          <w:ilvl w:val="0"/>
          <w:numId w:val="2"/>
        </w:numPr>
        <w:spacing w:after="40" w:before="40"/>
      </w:pPr>
      <w:r>
        <w:rPr>
          <w:rFonts w:ascii="Arial" w:cs="Arial" w:eastAsia="Arial" w:hAnsi="Arial"/>
          <w:color w:val="475569"/>
          <w:sz w:val="22"/>
          <w:szCs w:val="22"/>
        </w:rPr>
        <w:t xml:space="preserve">Role-based access — doctors see only their own exams, admins see all</w:t>
      </w:r>
    </w:p>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4. Architecture</w:t>
      </w:r>
    </w:p>
    <w:p>
      <w:pPr>
        <w:spacing w:after="120" w:before="80"/>
      </w:pPr>
      <w:r>
        <w:rPr>
          <w:rFonts w:ascii="Arial" w:cs="Arial" w:eastAsia="Arial" w:hAnsi="Arial"/>
          <w:color w:val="475569"/>
          <w:sz w:val="22"/>
          <w:szCs w:val="22"/>
        </w:rPr>
        <w:t xml:space="preserve">The module is built entirely on AWS serverless infrastructure. There are no servers to manage.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API Gateway HTTP API</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Receives all HTTP requests from Angular</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AWS Cognito JWT Authorizer</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Validates the Bearer token on every request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Logic</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Lambda (Node.js 20)</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Two functions: examinations.js and audit.js</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AWS DynamoDB</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Single-table design, Hospital table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21 + PrimeNG 21</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SPA hosted on S3/CloudFront</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4.1 Request Flow</w:t>
      </w:r>
    </w:p>
    <w:p>
      <w:pPr>
        <w:pStyle w:val="ListParagraph"/>
        <w:numPr>
          <w:ilvl w:val="0"/>
          <w:numId w:val="3"/>
        </w:numPr>
        <w:spacing w:after="40" w:before="40"/>
      </w:pPr>
      <w:r>
        <w:rPr>
          <w:rFonts w:ascii="Arial" w:cs="Arial" w:eastAsia="Arial" w:hAnsi="Arial"/>
          <w:color w:val="475569"/>
          <w:sz w:val="22"/>
          <w:szCs w:val="22"/>
        </w:rPr>
        <w:t xml:space="preserve">User performs an action in Angular (e.g. clicks Save Chief Complaint)</w:t>
      </w:r>
    </w:p>
    <w:p>
      <w:pPr>
        <w:pStyle w:val="ListParagraph"/>
        <w:numPr>
          <w:ilvl w:val="0"/>
          <w:numId w:val="3"/>
        </w:numPr>
        <w:spacing w:after="40" w:before="40"/>
      </w:pPr>
      <w:r>
        <w:rPr>
          <w:rFonts w:ascii="Arial" w:cs="Arial" w:eastAsia="Arial" w:hAnsi="Arial"/>
          <w:color w:val="475569"/>
          <w:sz w:val="22"/>
          <w:szCs w:val="22"/>
        </w:rPr>
        <w:t xml:space="preserve">Angular sends an HTTP request with Authorization: Bearer &lt;JWT&gt; header</w:t>
      </w:r>
    </w:p>
    <w:p>
      <w:pPr>
        <w:pStyle w:val="ListParagraph"/>
        <w:numPr>
          <w:ilvl w:val="0"/>
          <w:numId w:val="3"/>
        </w:numPr>
        <w:spacing w:after="40" w:before="40"/>
      </w:pPr>
      <w:r>
        <w:rPr>
          <w:rFonts w:ascii="Arial" w:cs="Arial" w:eastAsia="Arial" w:hAnsi="Arial"/>
          <w:color w:val="475569"/>
          <w:sz w:val="22"/>
          <w:szCs w:val="22"/>
        </w:rPr>
        <w:t xml:space="preserve">API Gateway validates the JWT against Cognito User Pool</w:t>
      </w:r>
    </w:p>
    <w:p>
      <w:pPr>
        <w:pStyle w:val="ListParagraph"/>
        <w:numPr>
          <w:ilvl w:val="0"/>
          <w:numId w:val="3"/>
        </w:numPr>
        <w:spacing w:after="40" w:before="40"/>
      </w:pPr>
      <w:r>
        <w:rPr>
          <w:rFonts w:ascii="Arial" w:cs="Arial" w:eastAsia="Arial" w:hAnsi="Arial"/>
          <w:color w:val="475569"/>
          <w:sz w:val="22"/>
          <w:szCs w:val="22"/>
        </w:rPr>
        <w:t xml:space="preserve">If valid, the request is forwarded to the examinations Lambda</w:t>
      </w:r>
    </w:p>
    <w:p>
      <w:pPr>
        <w:pStyle w:val="ListParagraph"/>
        <w:numPr>
          <w:ilvl w:val="0"/>
          <w:numId w:val="3"/>
        </w:numPr>
        <w:spacing w:after="40" w:before="40"/>
      </w:pPr>
      <w:r>
        <w:rPr>
          <w:rFonts w:ascii="Arial" w:cs="Arial" w:eastAsia="Arial" w:hAnsi="Arial"/>
          <w:color w:val="475569"/>
          <w:sz w:val="22"/>
          <w:szCs w:val="22"/>
        </w:rPr>
        <w:t xml:space="preserve">Lambda reads/writes DynamoDB and returns the response</w:t>
      </w:r>
    </w:p>
    <w:p>
      <w:pPr>
        <w:pStyle w:val="ListParagraph"/>
        <w:numPr>
          <w:ilvl w:val="0"/>
          <w:numId w:val="3"/>
        </w:numPr>
        <w:spacing w:after="40" w:before="40"/>
      </w:pPr>
      <w:r>
        <w:rPr>
          <w:rFonts w:ascii="Arial" w:cs="Arial" w:eastAsia="Arial" w:hAnsi="Arial"/>
          <w:color w:val="475569"/>
          <w:sz w:val="22"/>
          <w:szCs w:val="22"/>
        </w:rPr>
        <w:t xml:space="preserve">Lambda also writes an audit record to DynamoDB asynchronously</w:t>
      </w:r>
    </w:p>
    <w:p>
      <w:pPr>
        <w:pStyle w:val="ListParagraph"/>
        <w:numPr>
          <w:ilvl w:val="0"/>
          <w:numId w:val="3"/>
        </w:numPr>
        <w:spacing w:after="40" w:before="40"/>
      </w:pPr>
      <w:r>
        <w:rPr>
          <w:rFonts w:ascii="Arial" w:cs="Arial" w:eastAsia="Arial" w:hAnsi="Arial"/>
          <w:color w:val="475569"/>
          <w:sz w:val="22"/>
          <w:szCs w:val="22"/>
        </w:rPr>
        <w:t xml:space="preserve">Angular updates the UI with the response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1"/>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0ea5e9"/>
                <w:sz w:val="20"/>
                <w:szCs w:val="20"/>
              </w:rPr>
              <w:t xml:space="preserve">ℹ  Info</w:t>
            </w:r>
          </w:p>
          <w:p>
            <w:pPr>
              <w:spacing w:after="0" w:before="0"/>
            </w:pPr>
            <w:r>
              <w:rPr>
                <w:rFonts w:ascii="Arial" w:cs="Arial" w:eastAsia="Arial" w:hAnsi="Arial"/>
                <w:color w:val="1e293b"/>
                <w:sz w:val="20"/>
                <w:szCs w:val="20"/>
              </w:rPr>
              <w:t xml:space="preserve">The JWT token is stored in sessionStorage under the key accessToken and is attached automatically by ExaminationService to every request.</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5. Backend</w:t>
      </w:r>
    </w:p>
    <w:p>
      <w:pPr>
        <w:pStyle w:val="Heading2"/>
        <w:spacing w:after="160" w:before="320"/>
      </w:pPr>
      <w:r>
        <w:rPr>
          <w:rFonts w:ascii="Arial" w:cs="Arial" w:eastAsia="Arial" w:hAnsi="Arial"/>
          <w:b/>
          <w:bCs/>
          <w:color w:val="16a34a"/>
          <w:sz w:val="28"/>
          <w:szCs w:val="28"/>
        </w:rPr>
        <w:t xml:space="preserve">5.1 Lambda Functions</w:t>
      </w:r>
    </w:p>
    <w:p>
      <w:pPr>
        <w:spacing w:after="120" w:before="80"/>
      </w:pPr>
      <w:r>
        <w:rPr>
          <w:rFonts w:ascii="Arial" w:cs="Arial" w:eastAsia="Arial" w:hAnsi="Arial"/>
          <w:color w:val="475569"/>
          <w:sz w:val="22"/>
          <w:szCs w:val="22"/>
        </w:rPr>
        <w:t xml:space="preserve">There are two Lambda functions for this module, both located in the hospital Lambda folder: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Routes handled</w:t>
            </w:r>
          </w:p>
        </w:tc>
        <w:tc>
          <w:tcPr>
            <w:tcW w:type="dxa" w:w="4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examinations.js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
GET /examinations
GET /examinations/{id}
PATCH /examinations/{id}
POST /examinations/{id}/signoff
DELETE /examinations/{id}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 CRUD handler — creates, reads, updates, signs off, and deletes examinations. Also writes all audit records.</w:t>
            </w:r>
          </w:p>
        </w:tc>
      </w:tr>
      <w:tr>
        <w:tc>
          <w:tcPr>
            <w:tcW w:type="dxa" w:w="2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audit.js</w:t>
            </w:r>
          </w:p>
        </w:tc>
        <w:tc>
          <w:tcPr>
            <w:tcW w:type="dxa" w:w="3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 /audit</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Admin-only endpoint to query the audit log by date, entity type, entity ID, or action.</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5.2 API Routes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3860"/>
      </w:tblGrid>
      <w:tr>
        <w:trPr>
          <w:tblHeader/>
        </w:trPr>
        <w:tc>
          <w:tcPr>
            <w:tcW w:type="dxa" w:w="9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1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38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a new draft examination</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/examinations?patientId=x</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 all exams for a patient. Doctors only see their own.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full exam data for one examination</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 one or more SOAP sections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/examinations/{examId}/signoff</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 the examination (locks it as completed)</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 only</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 an examination (hard delete)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only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the audit log by date and filters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5.3 DynamoDB Schema</w:t>
      </w:r>
    </w:p>
    <w:p>
      <w:pPr>
        <w:spacing w:after="120" w:before="80"/>
      </w:pPr>
      <w:r>
        <w:rPr>
          <w:rFonts w:ascii="Arial" w:cs="Arial" w:eastAsia="Arial" w:hAnsi="Arial"/>
          <w:color w:val="475569"/>
          <w:sz w:val="22"/>
          <w:szCs w:val="22"/>
        </w:rPr>
        <w:t xml:space="preserve">The examination module uses the same Hospital DynamoDB table as all other Tiryaq modules. Each examination is stored as a single item using the single-table design pattern.</w:t>
      </w:r>
    </w:p>
    <w:p>
      <w:pPr>
        <w:spacing w:after="0" w:before="80"/>
      </w:pPr>
      <w:r>
        <w:t xml:space="preserve"/>
      </w:r>
    </w:p>
    <w:p>
      <w:pPr>
        <w:pStyle w:val="Heading3"/>
        <w:spacing w:after="120" w:before="240"/>
      </w:pPr>
      <w:r>
        <w:rPr>
          <w:rFonts w:ascii="Arial" w:cs="Arial" w:eastAsia="Arial" w:hAnsi="Arial"/>
          <w:b/>
          <w:bCs/>
          <w:color w:val="1e293b"/>
          <w:sz w:val="24"/>
          <w:szCs w:val="24"/>
        </w:rPr>
        <w:t xml:space="preserve">5.3.1 Examination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 / 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EXAM#{uuid}</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SK</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PROFILE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  (used by EntityType-index GSI)</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examId</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UUID of this examination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of the patient</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patientName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 name of the patient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of the doctor</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doctorName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 name of the doctor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doctorEmail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used for role filtering</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YYYY-MM-DD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 or completed</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signedOffAt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ISO timestamp, null until signed off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createdAt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timestamp</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updatedAt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ISO timestamp, null until first update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chiefComplaint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S-section fields (see 3.3.2)</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vitalSigns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BP, HR, temp, weight, height, BMI, etc.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physicalExam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 system findings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diagnosis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Array of ICD-10 diagnosis objects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prescriptions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prescription objects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labOrders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Array of lab order objects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radiologyOrders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radiology order objects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treatmentPlan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Plan, goals, follow-up, referrals, etc.</w:t>
            </w:r>
          </w:p>
        </w:tc>
      </w:tr>
    </w:tbl>
    <w:p>
      <w:pPr>
        <w:spacing w:after="0" w:before="160"/>
      </w:pPr>
      <w:r>
        <w:t xml:space="preserve"/>
      </w:r>
    </w:p>
    <w:p>
      <w:pPr>
        <w:pStyle w:val="Heading3"/>
        <w:spacing w:after="120" w:before="240"/>
      </w:pPr>
      <w:r>
        <w:rPr>
          <w:rFonts w:ascii="Arial" w:cs="Arial" w:eastAsia="Arial" w:hAnsi="Arial"/>
          <w:b/>
          <w:bCs/>
          <w:color w:val="1e293b"/>
          <w:sz w:val="24"/>
          <w:szCs w:val="24"/>
        </w:rPr>
        <w:t xml:space="preserve">5.3.2 GSI: EntityType-index</w:t>
      </w:r>
    </w:p>
    <w:p>
      <w:pPr>
        <w:spacing w:after="120" w:before="80"/>
      </w:pPr>
      <w:r>
        <w:rPr>
          <w:rFonts w:ascii="Arial" w:cs="Arial" w:eastAsia="Arial" w:hAnsi="Arial"/>
          <w:color w:val="475569"/>
          <w:sz w:val="22"/>
          <w:szCs w:val="22"/>
        </w:rPr>
        <w:t xml:space="preserve">To list all examinations for a patient, the Lambda queries a Global Secondary Index (GSI) on the Hospital table:</w:t>
      </w:r>
    </w:p>
    <w:p>
      <w:pPr>
        <w:spacing w:after="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7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Index name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EntityType-index</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Partition key</w:t>
            </w:r>
          </w:p>
        </w:tc>
        <w:tc>
          <w:tcPr>
            <w:tcW w:type="dxa" w:w="7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 (String)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Sort key</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Projection</w:t>
            </w:r>
          </w:p>
        </w:tc>
        <w:tc>
          <w:tcPr>
            <w:tcW w:type="dxa" w:w="7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pattern</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 = "EXAMINATION" AND patientId = "x"</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
              <w:bottom w:val="none" w:color="FFFFFF" w:sz="0"/>
              <w:right w:val="none" w:color="FFFFFF" w:sz="0"/>
            </w:tcBorders>
            <w:shd w:fill="fffbeb" w:val="clear"/>
            <w:tcMar>
              <w:top w:type="dxa" w:w="100"/>
              <w:left w:type="dxa" w:w="160"/>
              <w:bottom w:type="dxa" w:w="100"/>
              <w:right w:type="dxa" w:w="120"/>
            </w:tcMar>
          </w:tcPr>
          <w:p>
            <w:pPr>
              <w:spacing w:after="40" w:before="0"/>
            </w:pPr>
            <w:r>
              <w:rPr>
                <w:rFonts w:ascii="Arial" w:cs="Arial" w:eastAsia="Arial" w:hAnsi="Arial"/>
                <w:b/>
                <w:bCs/>
                <w:color w:val="f59e0b"/>
                <w:sz w:val="20"/>
                <w:szCs w:val="20"/>
              </w:rPr>
              <w:t xml:space="preserve">⚠  Note</w:t>
            </w:r>
          </w:p>
          <w:p>
            <w:pPr>
              <w:spacing w:after="0" w:before="0"/>
            </w:pPr>
            <w:r>
              <w:rPr>
                <w:rFonts w:ascii="Arial" w:cs="Arial" w:eastAsia="Arial" w:hAnsi="Arial"/>
                <w:color w:val="1e293b"/>
                <w:sz w:val="20"/>
                <w:szCs w:val="20"/>
              </w:rPr>
              <w:t xml:space="preserve">This GSI was created manually in the AWS Console since the Hospital app does not use CDK. Go to DynamoDB &gt; Hospital table &gt; Indexes &gt; Create index.</w:t>
            </w:r>
          </w:p>
        </w:tc>
      </w:tr>
    </w:tbl>
    <w:p>
      <w:pPr>
        <w:spacing w:after="0" w:before="160"/>
      </w:pPr>
      <w:r>
        <w:t xml:space="preserve"/>
      </w:r>
    </w:p>
    <w:p>
      <w:pPr>
        <w:pStyle w:val="Heading3"/>
        <w:spacing w:after="120" w:before="240"/>
      </w:pPr>
      <w:r>
        <w:rPr>
          <w:rFonts w:ascii="Arial" w:cs="Arial" w:eastAsia="Arial" w:hAnsi="Arial"/>
          <w:b/>
          <w:bCs/>
          <w:color w:val="1e293b"/>
          <w:sz w:val="24"/>
          <w:szCs w:val="24"/>
        </w:rPr>
        <w:t xml:space="preserve">5.3.3 Audit Record</w:t>
      </w:r>
    </w:p>
    <w:p>
      <w:pPr>
        <w:spacing w:after="120" w:before="80"/>
      </w:pPr>
      <w:r>
        <w:rPr>
          <w:rFonts w:ascii="Arial" w:cs="Arial" w:eastAsia="Arial" w:hAnsi="Arial"/>
          <w:color w:val="475569"/>
          <w:sz w:val="22"/>
          <w:szCs w:val="22"/>
        </w:rPr>
        <w:t xml:space="preserve">Every action writes an audit record to the same Hospital table using a date-partitioned key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 / Example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AUDIT#{YYYY-MM-DD}  (e.g. AUDIT#2026-03-17)</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SK</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AUDIT#{ISO timestamp}#{uuid}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CREATE | UPDATE | DELETE | SIGNOFF | VIEW</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entityId</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UUID of the affected examination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actorEmail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of the doctor or admin who performed the action</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actorName</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Name of the actor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timestamp of when the action occurred</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changeSummary</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Plain text description of what changed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snapshot of the section before update (null for CREATE)</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after</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JSON snapshot of the section after update (null for DELETE)</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5.4 Validation Rules</w:t>
      </w:r>
    </w:p>
    <w:p>
      <w:pPr>
        <w:spacing w:after="120" w:before="80"/>
      </w:pPr>
      <w:r>
        <w:rPr>
          <w:rFonts w:ascii="Arial" w:cs="Arial" w:eastAsia="Arial" w:hAnsi="Arial"/>
          <w:color w:val="475569"/>
          <w:sz w:val="22"/>
          <w:szCs w:val="22"/>
        </w:rPr>
        <w:t xml:space="preserve">All validation runs in the Lambda. The frontend also enforces these rules to give instant feedback, but the backend is the authoritative 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6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examination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patientId, patientName, and doctorEmail are required in the request body</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Chief Complaint</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cc field must have at least 3 characters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Vital Signs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value must be within a physiological range (e.g. BP systolic 50-300 mmHg)</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Diagnosis</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Chief complaint must be saved first. At least 1 diagnosis required. At least 1 must be Primary type.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Prescriptions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Lab Orders</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Radiology Orders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Treatment Plan</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 Plan text must be at least 10 characters.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 complaint must exist AND at least 1 primary diagnosis must exist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Edit after sign-off</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Blocked for doctors. Admin can still update via PATCH.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only. Hard delete — no soft delete.</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6. Frontend — Angular</w:t>
      </w:r>
    </w:p>
    <w:p>
      <w:pPr>
        <w:pStyle w:val="Heading2"/>
        <w:spacing w:after="160" w:before="320"/>
      </w:pPr>
      <w:r>
        <w:rPr>
          <w:rFonts w:ascii="Arial" w:cs="Arial" w:eastAsia="Arial" w:hAnsi="Arial"/>
          <w:b/>
          <w:bCs/>
          <w:color w:val="16a34a"/>
          <w:sz w:val="28"/>
          <w:szCs w:val="28"/>
        </w:rPr>
        <w:t xml:space="preserve">6.1 File Structure</w:t>
      </w:r>
    </w:p>
    <w:p>
      <w:pPr>
        <w:spacing w:after="120" w:before="80"/>
      </w:pPr>
      <w:r>
        <w:rPr>
          <w:rFonts w:ascii="Arial" w:cs="Arial" w:eastAsia="Arial" w:hAnsi="Arial"/>
          <w:color w:val="475569"/>
          <w:sz w:val="22"/>
          <w:szCs w:val="22"/>
        </w:rPr>
        <w:t xml:space="preserve">All examination module files live under src/app/components/examination/: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src/app/</w:t>
            </w:r>
          </w:p>
          <w:p>
            <w:pPr>
              <w:spacing w:after="0" w:before="0"/>
            </w:pPr>
            <w:r>
              <w:rPr>
                <w:rFonts w:ascii="Courier New" w:cs="Courier New" w:eastAsia="Courier New" w:hAnsi="Courier New"/>
                <w:color w:val="a3e635"/>
                <w:sz w:val="18"/>
                <w:szCs w:val="18"/>
              </w:rPr>
              <w:t xml:space="preserve">├── components/</w:t>
            </w:r>
          </w:p>
          <w:p>
            <w:pPr>
              <w:spacing w:after="0" w:before="0"/>
            </w:pPr>
            <w:r>
              <w:rPr>
                <w:rFonts w:ascii="Courier New" w:cs="Courier New" w:eastAsia="Courier New" w:hAnsi="Courier New"/>
                <w:color w:val="a3e635"/>
                <w:sz w:val="18"/>
                <w:szCs w:val="18"/>
              </w:rPr>
              <w:t xml:space="preserve">│   └── examination/</w:t>
            </w:r>
          </w:p>
          <w:p>
            <w:pPr>
              <w:spacing w:after="0" w:before="0"/>
            </w:pPr>
            <w:r>
              <w:rPr>
                <w:rFonts w:ascii="Courier New" w:cs="Courier New" w:eastAsia="Courier New" w:hAnsi="Courier New"/>
                <w:color w:val="a3e635"/>
                <w:sz w:val="18"/>
                <w:szCs w:val="18"/>
              </w:rPr>
              <w:t xml:space="preserve">│       ├── examination-form/</w:t>
            </w:r>
          </w:p>
          <w:p>
            <w:pPr>
              <w:spacing w:after="0" w:before="0"/>
            </w:pPr>
            <w:r>
              <w:rPr>
                <w:rFonts w:ascii="Courier New" w:cs="Courier New" w:eastAsia="Courier New" w:hAnsi="Courier New"/>
                <w:color w:val="a3e635"/>
                <w:sz w:val="18"/>
                <w:szCs w:val="18"/>
              </w:rPr>
              <w:t xml:space="preserve">│       │   ├── examination-form.ts       (SOAP form component)</w:t>
            </w:r>
          </w:p>
          <w:p>
            <w:pPr>
              <w:spacing w:after="0" w:before="0"/>
            </w:pPr>
            <w:r>
              <w:rPr>
                <w:rFonts w:ascii="Courier New" w:cs="Courier New" w:eastAsia="Courier New" w:hAnsi="Courier New"/>
                <w:color w:val="a3e635"/>
                <w:sz w:val="18"/>
                <w:szCs w:val="18"/>
              </w:rPr>
              <w:t xml:space="preserve">│       │   ├── examination-form.html     (8-step navigation + all form sections)</w:t>
            </w:r>
          </w:p>
          <w:p>
            <w:pPr>
              <w:spacing w:after="0" w:before="0"/>
            </w:pPr>
            <w:r>
              <w:rPr>
                <w:rFonts w:ascii="Courier New" w:cs="Courier New" w:eastAsia="Courier New" w:hAnsi="Courier New"/>
                <w:color w:val="a3e635"/>
                <w:sz w:val="18"/>
                <w:szCs w:val="18"/>
              </w:rPr>
              <w:t xml:space="preserve">│       │   ├── examination-form.scss     (styles)</w:t>
            </w:r>
          </w:p>
          <w:p>
            <w:pPr>
              <w:spacing w:after="0" w:before="0"/>
            </w:pPr>
            <w:r>
              <w:rPr>
                <w:rFonts w:ascii="Courier New" w:cs="Courier New" w:eastAsia="Courier New" w:hAnsi="Courier New"/>
                <w:color w:val="a3e635"/>
                <w:sz w:val="18"/>
                <w:szCs w:val="18"/>
              </w:rPr>
              <w:t xml:space="preserve">│       │   ├── icd10-codes.json          (140 ICD-10 codes, embedded)</w:t>
            </w:r>
          </w:p>
          <w:p>
            <w:pPr>
              <w:spacing w:after="0" w:before="0"/>
            </w:pPr>
            <w:r>
              <w:rPr>
                <w:rFonts w:ascii="Courier New" w:cs="Courier New" w:eastAsia="Courier New" w:hAnsi="Courier New"/>
                <w:color w:val="a3e635"/>
                <w:sz w:val="18"/>
                <w:szCs w:val="18"/>
              </w:rPr>
              <w:t xml:space="preserve">│       │   └── loinc-codes.json          (50 LOINC codes, embedded)</w:t>
            </w:r>
          </w:p>
          <w:p>
            <w:pPr>
              <w:spacing w:after="0" w:before="0"/>
            </w:pPr>
            <w:r>
              <w:rPr>
                <w:rFonts w:ascii="Courier New" w:cs="Courier New" w:eastAsia="Courier New" w:hAnsi="Courier New"/>
                <w:color w:val="a3e635"/>
                <w:sz w:val="18"/>
                <w:szCs w:val="18"/>
              </w:rPr>
              <w:t xml:space="preserve">│       ├── examination-list/</w:t>
            </w:r>
          </w:p>
          <w:p>
            <w:pPr>
              <w:spacing w:after="0" w:before="0"/>
            </w:pPr>
            <w:r>
              <w:rPr>
                <w:rFonts w:ascii="Courier New" w:cs="Courier New" w:eastAsia="Courier New" w:hAnsi="Courier New"/>
                <w:color w:val="a3e635"/>
                <w:sz w:val="18"/>
                <w:szCs w:val="18"/>
              </w:rPr>
              <w:t xml:space="preserve">│       │   └── examination-list.ts       (patient profile tab component)</w:t>
            </w:r>
          </w:p>
          <w:p>
            <w:pPr>
              <w:spacing w:after="0" w:before="0"/>
            </w:pPr>
            <w:r>
              <w:rPr>
                <w:rFonts w:ascii="Courier New" w:cs="Courier New" w:eastAsia="Courier New" w:hAnsi="Courier New"/>
                <w:color w:val="a3e635"/>
                <w:sz w:val="18"/>
                <w:szCs w:val="18"/>
              </w:rPr>
              <w:t xml:space="preserve">│       └── examination-detail/</w:t>
            </w:r>
          </w:p>
          <w:p>
            <w:pPr>
              <w:spacing w:after="0" w:before="0"/>
            </w:pPr>
            <w:r>
              <w:rPr>
                <w:rFonts w:ascii="Courier New" w:cs="Courier New" w:eastAsia="Courier New" w:hAnsi="Courier New"/>
                <w:color w:val="a3e635"/>
                <w:sz w:val="18"/>
                <w:szCs w:val="18"/>
              </w:rPr>
              <w:t xml:space="preserve">│           ├── examination-detail.ts     (read-only SOAP report)</w:t>
            </w:r>
          </w:p>
          <w:p>
            <w:pPr>
              <w:spacing w:after="0" w:before="0"/>
            </w:pPr>
            <w:r>
              <w:rPr>
                <w:rFonts w:ascii="Courier New" w:cs="Courier New" w:eastAsia="Courier New" w:hAnsi="Courier New"/>
                <w:color w:val="a3e635"/>
                <w:sz w:val="18"/>
                <w:szCs w:val="18"/>
              </w:rPr>
              <w:t xml:space="preserve">│           ├── examination-detail.html</w:t>
            </w:r>
          </w:p>
          <w:p>
            <w:pPr>
              <w:spacing w:after="0" w:before="0"/>
            </w:pPr>
            <w:r>
              <w:rPr>
                <w:rFonts w:ascii="Courier New" w:cs="Courier New" w:eastAsia="Courier New" w:hAnsi="Courier New"/>
                <w:color w:val="a3e635"/>
                <w:sz w:val="18"/>
                <w:szCs w:val="18"/>
              </w:rPr>
              <w:t xml:space="preserve">│           └── examination-detail.scss</w:t>
            </w:r>
          </w:p>
          <w:p>
            <w:pPr>
              <w:spacing w:after="0" w:before="0"/>
            </w:pPr>
            <w:r>
              <w:rPr>
                <w:rFonts w:ascii="Courier New" w:cs="Courier New" w:eastAsia="Courier New" w:hAnsi="Courier New"/>
                <w:color w:val="a3e635"/>
                <w:sz w:val="18"/>
                <w:szCs w:val="18"/>
              </w:rPr>
              <w:t xml:space="preserve">└── pages/service/</w:t>
            </w:r>
          </w:p>
          <w:p>
            <w:pPr>
              <w:spacing w:after="0" w:before="0"/>
            </w:pPr>
            <w:r>
              <w:rPr>
                <w:rFonts w:ascii="Courier New" w:cs="Courier New" w:eastAsia="Courier New" w:hAnsi="Courier New"/>
                <w:color w:val="a3e635"/>
                <w:sz w:val="18"/>
                <w:szCs w:val="18"/>
              </w:rPr>
              <w:t xml:space="preserve">    └── examination.service.ts            (HTTP service + all TypeScript interfaces)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6.2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Selector</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ExaminationListComponent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app-examination-list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Embedded in patient-profile.html as Tab 5. Shows all exams for the current patient. Has New Examination button for doctors.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ExaminationFormComponent</w:t>
            </w:r>
          </w:p>
        </w:tc>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app-examination-form</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Full-page SOAP editor at route /examination/:examId. Contains all 8 sections with save and sign-off.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ExaminationDetailComponent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app-examination-detail</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Read-only SOAP report at route /examination/:examId/view. Shows all sections in 4 SOAP tabs. Has a Print button.</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6.3 Service: ExaminationService</w:t>
      </w:r>
    </w:p>
    <w:p>
      <w:pPr>
        <w:spacing w:after="120" w:before="80"/>
      </w:pPr>
      <w:r>
        <w:rPr>
          <w:rFonts w:ascii="Arial" w:cs="Arial" w:eastAsia="Arial" w:hAnsi="Arial"/>
          <w:color w:val="475569"/>
          <w:sz w:val="22"/>
          <w:szCs w:val="22"/>
        </w:rPr>
        <w:t xml:space="preserve">Located at src/app/pages/service/examination.service.ts. All HTTP calls go through this service.</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HTTP Call</w:t>
            </w:r>
          </w:p>
        </w:tc>
        <w:tc>
          <w:tcPr>
            <w:tcW w:type="dxa" w:w="4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createExamination(data)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a new draft. Requires patientId, patientName, doctorEmail.</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listExaminations(patientId)</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 /examinations?patientId=x</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Returns all exams for a patient, filtered by doctor role automatically.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getExamination(examId)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/examinations/{examId}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the full exam object.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updateSection(examId, section, data)</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PATCH /examinations/{examId}</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Updates a single SOAP section. Pass the section name as a string key.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signOff(examId)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/examinations/{examId}/signoff</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Signs off the exam. Backend validates before allowing.</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deleteExamination(examId)</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 /examinations/{examId}</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 only. Deletes the exam.</w:t>
            </w:r>
          </w:p>
        </w:tc>
      </w:tr>
    </w:tbl>
    <w:p>
      <w:pPr>
        <w:spacing w:after="0" w:before="80"/>
      </w:pPr>
      <w:r>
        <w:t xml:space="preserve"/>
      </w:r>
    </w:p>
    <w:p>
      <w:pPr>
        <w:spacing w:after="120" w:before="80"/>
      </w:pPr>
      <w:r>
        <w:rPr>
          <w:rFonts w:ascii="Arial" w:cs="Arial" w:eastAsia="Arial" w:hAnsi="Arial"/>
          <w:color w:val="475569"/>
          <w:sz w:val="22"/>
          <w:szCs w:val="22"/>
        </w:rPr>
        <w:t xml:space="preserve">Every method attaches the JWT token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private headers(): HttpHeaders {</w:t>
            </w:r>
          </w:p>
          <w:p>
            <w:pPr>
              <w:spacing w:after="0" w:before="0"/>
            </w:pPr>
            <w:r>
              <w:rPr>
                <w:rFonts w:ascii="Courier New" w:cs="Courier New" w:eastAsia="Courier New" w:hAnsi="Courier New"/>
                <w:color w:val="a3e635"/>
                <w:sz w:val="18"/>
                <w:szCs w:val="18"/>
              </w:rPr>
              <w:t xml:space="preserve">    const jwt = sessionStorage.getItem("accessToken") || "";</w:t>
            </w:r>
          </w:p>
          <w:p>
            <w:pPr>
              <w:spacing w:after="0" w:before="0"/>
            </w:pPr>
            <w:r>
              <w:rPr>
                <w:rFonts w:ascii="Courier New" w:cs="Courier New" w:eastAsia="Courier New" w:hAnsi="Courier New"/>
                <w:color w:val="a3e635"/>
                <w:sz w:val="18"/>
                <w:szCs w:val="18"/>
              </w:rPr>
              <w:t xml:space="preserve">    return new HttpHeaders({</w:t>
            </w:r>
          </w:p>
          <w:p>
            <w:pPr>
              <w:spacing w:after="0" w:before="0"/>
            </w:pPr>
            <w:r>
              <w:rPr>
                <w:rFonts w:ascii="Courier New" w:cs="Courier New" w:eastAsia="Courier New" w:hAnsi="Courier New"/>
                <w:color w:val="a3e635"/>
                <w:sz w:val="18"/>
                <w:szCs w:val="18"/>
              </w:rPr>
              <w:t xml:space="preserve">        "Content-Type":  "application/json",</w:t>
            </w:r>
          </w:p>
          <w:p>
            <w:pPr>
              <w:spacing w:after="0" w:before="0"/>
            </w:pPr>
            <w:r>
              <w:rPr>
                <w:rFonts w:ascii="Courier New" w:cs="Courier New" w:eastAsia="Courier New" w:hAnsi="Courier New"/>
                <w:color w:val="a3e635"/>
                <w:sz w:val="18"/>
                <w:szCs w:val="18"/>
              </w:rPr>
              <w:t xml:space="preserve">        "Authorization": `Bearer ${jwt}`</w:t>
            </w:r>
          </w:p>
          <w:p>
            <w:pPr>
              <w:spacing w:after="0" w:before="0"/>
            </w:pPr>
            <w:r>
              <w:rPr>
                <w:rFonts w:ascii="Courier New" w:cs="Courier New" w:eastAsia="Courier New" w:hAnsi="Courier New"/>
                <w:color w:val="a3e635"/>
                <w:sz w:val="18"/>
                <w:szCs w:val="18"/>
              </w:rPr>
              <w:t xml:space="preserve">    });</w:t>
            </w:r>
          </w:p>
          <w:p>
            <w:pPr>
              <w:spacing w:after="0" w:before="0"/>
            </w:pPr>
            <w:r>
              <w:rPr>
                <w:rFonts w:ascii="Courier New" w:cs="Courier New" w:eastAsia="Courier New" w:hAnsi="Courier New"/>
                <w:color w:val="a3e635"/>
                <w:sz w:val="18"/>
                <w:szCs w:val="18"/>
              </w:rPr>
              <w:t xml:space="preserve">}</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6.4 TypeScript Interfaces</w:t>
      </w:r>
    </w:p>
    <w:p>
      <w:pPr>
        <w:spacing w:after="120" w:before="80"/>
      </w:pPr>
      <w:r>
        <w:rPr>
          <w:rFonts w:ascii="Arial" w:cs="Arial" w:eastAsia="Arial" w:hAnsi="Arial"/>
          <w:color w:val="475569"/>
          <w:sz w:val="22"/>
          <w:szCs w:val="22"/>
        </w:rPr>
        <w:t xml:space="preserve">All data types are defined in examination.service.ts. Key interfaces: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Interface</w:t>
            </w:r>
          </w:p>
        </w:tc>
        <w:tc>
          <w:tcPr>
            <w:tcW w:type="dxa" w:w="7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examId, patientId, patientName, doctorEmail, date, status, signedOffAt — plus one field for each SOAP section</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ChiefComplaint</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cc (required), duration, onset, severity, location, radiation, quality, modifyingFactors, associatedSx, hpi, ros, pmh, psh, familyHistory, socialHistory, allergies, currentMeds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VitalSigns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systolic, diastolic, heartRate, temperature, weight, height, bmi (auto-calculated), oxygenSaturation, respiratoryRate, painScale</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PhysicalExam</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generalAppearance, heent, neck, chest, cardiovascular, abdomen, extremities, neurological, skin, musculoskeletal, 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Diagnosis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icdCode, icdDescription, type (primary | secondary | differential), notes</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Prescription</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medication, dose, frequency, duration, route, refills, instructions, status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LabOrder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testName, loincCode, urgency, clinicalReason, status, result, unit, referenceRange</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RadiologyOrder</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studyType, bodyPart, urgency, clinicalInfo, status, findings, impression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TreatmentPlan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goals, followUpDate, followUpNotes, referrals, restrictions, patientEducation, prognosis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1"/>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0ea5e9"/>
                <w:sz w:val="20"/>
                <w:szCs w:val="20"/>
              </w:rPr>
              <w:t xml:space="preserve">ℹ  Info</w:t>
            </w:r>
          </w:p>
          <w:p>
            <w:pPr>
              <w:spacing w:after="0" w:before="0"/>
            </w:pPr>
            <w:r>
              <w:rPr>
                <w:rFonts w:ascii="Arial" w:cs="Arial" w:eastAsia="Arial" w:hAnsi="Arial"/>
                <w:color w:val="1e293b"/>
                <w:sz w:val="20"/>
                <w:szCs w:val="20"/>
              </w:rPr>
              <w:t xml:space="preserve">PhysicalExam and the ROS sub-object inside ChiefComplaint both include [key: string]: string | undefined index signatures. This is required to allow dynamic property access in the template using $any() when iterating over system names.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6.5 Routing</w:t>
      </w:r>
    </w:p>
    <w:p>
      <w:pPr>
        <w:spacing w:after="120" w:before="80"/>
      </w:pPr>
      <w:r>
        <w:rPr>
          <w:rFonts w:ascii="Arial" w:cs="Arial" w:eastAsia="Arial" w:hAnsi="Arial"/>
          <w:color w:val="475569"/>
          <w:sz w:val="22"/>
          <w:szCs w:val="22"/>
        </w:rPr>
        <w:t xml:space="preserve">Add these two routes to app.routes.ts: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 path: "examination/:examId",       component: ExaminationFormComponent   },</w:t>
            </w:r>
          </w:p>
          <w:p>
            <w:pPr>
              <w:spacing w:after="0" w:before="0"/>
            </w:pPr>
            <w:r>
              <w:rPr>
                <w:rFonts w:ascii="Courier New" w:cs="Courier New" w:eastAsia="Courier New" w:hAnsi="Courier New"/>
                <w:color w:val="a3e635"/>
                <w:sz w:val="18"/>
                <w:szCs w:val="18"/>
              </w:rPr>
              <w:t xml:space="preserve">{ path: "examination/:examId/view",  component: ExaminationDetailComponent }</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6.6 Patient Profile Integration</w:t>
      </w:r>
    </w:p>
    <w:p>
      <w:pPr>
        <w:spacing w:after="120" w:before="80"/>
      </w:pPr>
      <w:r>
        <w:rPr>
          <w:rFonts w:ascii="Arial" w:cs="Arial" w:eastAsia="Arial" w:hAnsi="Arial"/>
          <w:color w:val="475569"/>
          <w:sz w:val="22"/>
          <w:szCs w:val="22"/>
        </w:rPr>
        <w:t xml:space="preserve">The ExaminationListComponent is embedded as Tab 5 in patient-profile.html: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&lt;!-- In p-tablist: --&gt;</w:t>
            </w:r>
          </w:p>
          <w:p>
            <w:pPr>
              <w:spacing w:after="0" w:before="0"/>
            </w:pPr>
            <w:r>
              <w:rPr>
                <w:rFonts w:ascii="Courier New" w:cs="Courier New" w:eastAsia="Courier New" w:hAnsi="Courier New"/>
                <w:color w:val="a3e635"/>
                <w:sz w:val="18"/>
                <w:szCs w:val="18"/>
              </w:rPr>
              <w:t xml:space="preserve">&lt;p-tab value="5"&gt;</w:t>
            </w:r>
          </w:p>
          <w:p>
            <w:pPr>
              <w:spacing w:after="0" w:before="0"/>
            </w:pPr>
            <w:r>
              <w:rPr>
                <w:rFonts w:ascii="Courier New" w:cs="Courier New" w:eastAsia="Courier New" w:hAnsi="Courier New"/>
                <w:color w:val="a3e635"/>
                <w:sz w:val="18"/>
                <w:szCs w:val="18"/>
              </w:rPr>
              <w:t xml:space="preserve">    &lt;i class="pi pi-file-medical mr-2"&gt;&lt;/i&gt;Examinations</w:t>
            </w:r>
          </w:p>
          <w:p>
            <w:pPr>
              <w:spacing w:after="0" w:before="0"/>
            </w:pPr>
            <w:r>
              <w:rPr>
                <w:rFonts w:ascii="Courier New" w:cs="Courier New" w:eastAsia="Courier New" w:hAnsi="Courier New"/>
                <w:color w:val="a3e635"/>
                <w:sz w:val="18"/>
                <w:szCs w:val="18"/>
              </w:rPr>
              <w:t xml:space="preserve">&lt;/p-tab&gt;</w:t>
            </w:r>
          </w:p>
          <w:p>
            <w:pPr>
              <w:spacing w:after="0" w:before="0"/>
            </w:pPr>
            <w:r>
              <w:rPr>
                <w:rFonts w:ascii="Courier New" w:cs="Courier New" w:eastAsia="Courier New" w:hAnsi="Courier New"/>
                <w:color w:val="a3e635"/>
                <w:sz w:val="18"/>
                <w:szCs w:val="18"/>
              </w:rPr>
              <w:t xml:space="preserve"> </w:t>
            </w:r>
          </w:p>
          <w:p>
            <w:pPr>
              <w:spacing w:after="0" w:before="0"/>
            </w:pPr>
            <w:r>
              <w:rPr>
                <w:rFonts w:ascii="Courier New" w:cs="Courier New" w:eastAsia="Courier New" w:hAnsi="Courier New"/>
                <w:color w:val="a3e635"/>
                <w:sz w:val="18"/>
                <w:szCs w:val="18"/>
              </w:rPr>
              <w:t xml:space="preserve">&lt;!-- In p-tabpanels: --&gt;</w:t>
            </w:r>
          </w:p>
          <w:p>
            <w:pPr>
              <w:spacing w:after="0" w:before="0"/>
            </w:pPr>
            <w:r>
              <w:rPr>
                <w:rFonts w:ascii="Courier New" w:cs="Courier New" w:eastAsia="Courier New" w:hAnsi="Courier New"/>
                <w:color w:val="a3e635"/>
                <w:sz w:val="18"/>
                <w:szCs w:val="18"/>
              </w:rPr>
              <w:t xml:space="preserve">&lt;p-tabpanel value="5"&gt;</w:t>
            </w:r>
          </w:p>
          <w:p>
            <w:pPr>
              <w:spacing w:after="0" w:before="0"/>
            </w:pPr>
            <w:r>
              <w:rPr>
                <w:rFonts w:ascii="Courier New" w:cs="Courier New" w:eastAsia="Courier New" w:hAnsi="Courier New"/>
                <w:color w:val="a3e635"/>
                <w:sz w:val="18"/>
                <w:szCs w:val="18"/>
              </w:rPr>
              <w:t xml:space="preserve">    &lt;app-examination-list</w:t>
            </w:r>
          </w:p>
          <w:p>
            <w:pPr>
              <w:spacing w:after="0" w:before="0"/>
            </w:pPr>
            <w:r>
              <w:rPr>
                <w:rFonts w:ascii="Courier New" w:cs="Courier New" w:eastAsia="Courier New" w:hAnsi="Courier New"/>
                <w:color w:val="a3e635"/>
                <w:sz w:val="18"/>
                <w:szCs w:val="18"/>
              </w:rPr>
              <w:t xml:space="preserve">        [patientId]="plainId"</w:t>
            </w:r>
          </w:p>
          <w:p>
            <w:pPr>
              <w:spacing w:after="0" w:before="0"/>
            </w:pPr>
            <w:r>
              <w:rPr>
                <w:rFonts w:ascii="Courier New" w:cs="Courier New" w:eastAsia="Courier New" w:hAnsi="Courier New"/>
                <w:color w:val="a3e635"/>
                <w:sz w:val="18"/>
                <w:szCs w:val="18"/>
              </w:rPr>
              <w:t xml:space="preserve">        [patientName]="patientName"</w:t>
            </w:r>
          </w:p>
          <w:p>
            <w:pPr>
              <w:spacing w:after="0" w:before="0"/>
            </w:pPr>
            <w:r>
              <w:rPr>
                <w:rFonts w:ascii="Courier New" w:cs="Courier New" w:eastAsia="Courier New" w:hAnsi="Courier New"/>
                <w:color w:val="a3e635"/>
                <w:sz w:val="18"/>
                <w:szCs w:val="18"/>
              </w:rPr>
              <w:t xml:space="preserve">    /&gt;</w:t>
            </w:r>
          </w:p>
          <w:p>
            <w:pPr>
              <w:spacing w:after="0" w:before="0"/>
            </w:pPr>
            <w:r>
              <w:rPr>
                <w:rFonts w:ascii="Courier New" w:cs="Courier New" w:eastAsia="Courier New" w:hAnsi="Courier New"/>
                <w:color w:val="a3e635"/>
                <w:sz w:val="18"/>
                <w:szCs w:val="18"/>
              </w:rPr>
              <w:t xml:space="preserve">&lt;/p-tabpanel&gt;</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6.7 ICD-10 and LOINC Codes</w:t>
      </w:r>
    </w:p>
    <w:p>
      <w:pPr>
        <w:spacing w:after="120" w:before="80"/>
      </w:pPr>
      <w:r>
        <w:rPr>
          <w:rFonts w:ascii="Arial" w:cs="Arial" w:eastAsia="Arial" w:hAnsi="Arial"/>
          <w:color w:val="475569"/>
          <w:sz w:val="22"/>
          <w:szCs w:val="22"/>
        </w:rPr>
        <w:t xml:space="preserve">Both code sets are embedded as JSON files inside the examination-form folder. No external API is called at runtime — the search filters the local array client-side.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Fields</w:t>
            </w:r>
          </w:p>
        </w:tc>
        <w:tc>
          <w:tcPr>
            <w:tcW w:type="dxa" w:w="3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icd10-codes.json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140 codes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code, desc</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Diagnosis section — search by code number or description</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loinc-codes.json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50 codes</w:t>
            </w:r>
          </w:p>
        </w:tc>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code, name, unit, ref</w:t>
            </w:r>
          </w:p>
        </w:tc>
        <w:tc>
          <w:tcPr>
            <w:tcW w:type="dxa" w:w="3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Lab Orders section — search by test name or LOINC code. ref field shown as reference range in the result row.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
              <w:bottom w:val="none" w:color="FFFFFF" w:sz="0"/>
              <w:right w:val="none" w:color="FFFFFF" w:sz="0"/>
            </w:tcBorders>
            <w:shd w:fill="f0fdf4" w:val="clear"/>
            <w:tcMar>
              <w:top w:type="dxa" w:w="100"/>
              <w:left w:type="dxa" w:w="160"/>
              <w:bottom w:type="dxa" w:w="100"/>
              <w:right w:type="dxa" w:w="120"/>
            </w:tcMar>
          </w:tcPr>
          <w:p>
            <w:pPr>
              <w:spacing w:after="40" w:before="0"/>
            </w:pPr>
            <w:r>
              <w:rPr>
                <w:rFonts w:ascii="Arial" w:cs="Arial" w:eastAsia="Arial" w:hAnsi="Arial"/>
                <w:b/>
                <w:bCs/>
                <w:color w:val="16a34a"/>
                <w:sz w:val="20"/>
                <w:szCs w:val="20"/>
              </w:rPr>
              <w:t xml:space="preserve">✓  Tip</w:t>
            </w:r>
          </w:p>
          <w:p>
            <w:pPr>
              <w:spacing w:after="0" w:before="0"/>
            </w:pPr>
            <w:r>
              <w:rPr>
                <w:rFonts w:ascii="Arial" w:cs="Arial" w:eastAsia="Arial" w:hAnsi="Arial"/>
                <w:color w:val="1e293b"/>
                <w:sz w:val="20"/>
                <w:szCs w:val="20"/>
              </w:rPr>
              <w:t xml:space="preserve">To add more codes, simply append objects to the JSON files. The search function filters by both code and description/name, so no code changes are needed.</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7. Role-Based Access Control</w:t>
      </w:r>
    </w:p>
    <w:p>
      <w:pPr>
        <w:spacing w:after="120" w:before="80"/>
      </w:pPr>
      <w:r>
        <w:rPr>
          <w:rFonts w:ascii="Arial" w:cs="Arial" w:eastAsia="Arial" w:hAnsi="Arial"/>
          <w:color w:val="475569"/>
          <w:sz w:val="22"/>
          <w:szCs w:val="22"/>
        </w:rPr>
        <w:t xml:space="preserve">Access is controlled by Cognito group membership. The frontend checks roles via AuthService. The backend enforces the same rules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Doctor</w:t>
            </w:r>
          </w:p>
        </w:tc>
        <w:tc>
          <w:tcPr>
            <w:tcW w:type="dxa" w:w="33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Admin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 patient examinations</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all exams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single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all exams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 SOAP sections</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own, draft 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any exam</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draft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Edit after sign-off</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 — read-only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via PATCH</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View audit log</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
              <w:bottom w:val="none" w:color="FFFFFF" w:sz="0"/>
              <w:right w:val="none" w:color="FFFFFF" w:sz="0"/>
            </w:tcBorders>
            <w:shd w:fill="fffbeb" w:val="clear"/>
            <w:tcMar>
              <w:top w:type="dxa" w:w="100"/>
              <w:left w:type="dxa" w:w="160"/>
              <w:bottom w:type="dxa" w:w="100"/>
              <w:right w:type="dxa" w:w="120"/>
            </w:tcMar>
          </w:tcPr>
          <w:p>
            <w:pPr>
              <w:spacing w:after="40" w:before="0"/>
            </w:pPr>
            <w:r>
              <w:rPr>
                <w:rFonts w:ascii="Arial" w:cs="Arial" w:eastAsia="Arial" w:hAnsi="Arial"/>
                <w:b/>
                <w:bCs/>
                <w:color w:val="f59e0b"/>
                <w:sz w:val="20"/>
                <w:szCs w:val="20"/>
              </w:rPr>
              <w:t xml:space="preserve">⚠  Note</w:t>
            </w:r>
          </w:p>
          <w:p>
            <w:pPr>
              <w:spacing w:after="0" w:before="0"/>
            </w:pPr>
            <w:r>
              <w:rPr>
                <w:rFonts w:ascii="Arial" w:cs="Arial" w:eastAsia="Arial" w:hAnsi="Arial"/>
                <w:color w:val="1e293b"/>
                <w:sz w:val="20"/>
                <w:szCs w:val="20"/>
              </w:rPr>
              <w:t xml:space="preserve">The doctor filter works by comparing the doctorEmail stored on the exam record against the email passed in the request body. Make sure the Angular ExaminationListComponent always passes auth.current.email when calling createExamination().</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8. Audit Trail</w:t>
      </w:r>
    </w:p>
    <w:p>
      <w:pPr>
        <w:pStyle w:val="Heading2"/>
        <w:spacing w:after="160" w:before="320"/>
      </w:pPr>
      <w:r>
        <w:rPr>
          <w:rFonts w:ascii="Arial" w:cs="Arial" w:eastAsia="Arial" w:hAnsi="Arial"/>
          <w:b/>
          <w:bCs/>
          <w:color w:val="16a34a"/>
          <w:sz w:val="28"/>
          <w:szCs w:val="28"/>
        </w:rPr>
        <w:t xml:space="preserve">8.1 How It Works</w:t>
      </w:r>
    </w:p>
    <w:p>
      <w:pPr>
        <w:spacing w:after="120" w:before="80"/>
      </w:pPr>
      <w:r>
        <w:rPr>
          <w:rFonts w:ascii="Arial" w:cs="Arial" w:eastAsia="Arial" w:hAnsi="Arial"/>
          <w:color w:val="475569"/>
          <w:sz w:val="22"/>
          <w:szCs w:val="22"/>
        </w:rPr>
        <w:t xml:space="preserve">The audit trail is built into the examinations Lambda. Every operation — create, update, sign-off, view, or delete — automatically writes an AUDIT record to DynamoDB before returning the response. If the audit write fails, the failure is logged but does not affect the main operation.</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8.2 Querying the Audit Log</w:t>
      </w:r>
    </w:p>
    <w:p>
      <w:pPr>
        <w:spacing w:after="120" w:before="80"/>
      </w:pPr>
      <w:r>
        <w:rPr>
          <w:rFonts w:ascii="Arial" w:cs="Arial" w:eastAsia="Arial" w:hAnsi="Arial"/>
          <w:color w:val="475569"/>
          <w:sz w:val="22"/>
          <w:szCs w:val="22"/>
        </w:rPr>
        <w:t xml:space="preserve">The audit Lambda exposes a GET /audit endpoint for admin users. Supported query parameters: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3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to query in YYYY-MM-DD format. Defaults to today.</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Filter by entity type, e.g. EXAMINATION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 by specific exam UUID</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Filter by action: CREATE, UPDATE, SIGNOFF, VIEW, DELETE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limit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 records to return. Defaults to 100.</w:t>
            </w:r>
          </w:p>
        </w:tc>
      </w:tr>
    </w:tbl>
    <w:p>
      <w:pPr>
        <w:spacing w:after="0" w:before="80"/>
      </w:pPr>
      <w:r>
        <w:t xml:space="preserve"/>
      </w:r>
    </w:p>
    <w:p>
      <w:pPr>
        <w:spacing w:after="120" w:before="80"/>
      </w:pPr>
      <w:r>
        <w:rPr>
          <w:rFonts w:ascii="Arial" w:cs="Arial" w:eastAsia="Arial" w:hAnsi="Arial"/>
          <w:color w:val="475569"/>
          <w:sz w:val="22"/>
          <w:szCs w:val="22"/>
        </w:rPr>
        <w:t xml:space="preserve">Example DynamoDB PartiQL query to check audit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SELECT * FROM "Hospital"</w:t>
            </w:r>
          </w:p>
          <w:p>
            <w:pPr>
              <w:spacing w:after="0" w:before="0"/>
            </w:pPr>
            <w:r>
              <w:rPr>
                <w:rFonts w:ascii="Courier New" w:cs="Courier New" w:eastAsia="Courier New" w:hAnsi="Courier New"/>
                <w:color w:val="a3e635"/>
                <w:sz w:val="18"/>
                <w:szCs w:val="18"/>
              </w:rPr>
              <w:t xml:space="preserve">WHERE PK = 'AUDIT#2026-03-17'</w:t>
            </w:r>
          </w:p>
          <w:p>
            <w:pPr>
              <w:spacing w:after="0" w:before="0"/>
            </w:pPr>
            <w:r>
              <w:rPr>
                <w:rFonts w:ascii="Courier New" w:cs="Courier New" w:eastAsia="Courier New" w:hAnsi="Courier New"/>
                <w:color w:val="a3e635"/>
                <w:sz w:val="18"/>
                <w:szCs w:val="18"/>
              </w:rPr>
              <w:t xml:space="preserve">AND begins_with(SK, 'AUDIT#')</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9. Deployment</w:t>
      </w:r>
    </w:p>
    <w:p>
      <w:pPr>
        <w:pStyle w:val="Heading2"/>
        <w:spacing w:after="160" w:before="320"/>
      </w:pPr>
      <w:r>
        <w:rPr>
          <w:rFonts w:ascii="Arial" w:cs="Arial" w:eastAsia="Arial" w:hAnsi="Arial"/>
          <w:b/>
          <w:bCs/>
          <w:color w:val="16a34a"/>
          <w:sz w:val="28"/>
          <w:szCs w:val="28"/>
        </w:rPr>
        <w:t xml:space="preserve">9.1 Backend Deployment</w:t>
      </w:r>
    </w:p>
    <w:p>
      <w:pPr>
        <w:spacing w:after="120" w:before="80"/>
      </w:pPr>
      <w:r>
        <w:rPr>
          <w:rFonts w:ascii="Arial" w:cs="Arial" w:eastAsia="Arial" w:hAnsi="Arial"/>
          <w:color w:val="475569"/>
          <w:sz w:val="22"/>
          <w:szCs w:val="22"/>
        </w:rPr>
        <w:t xml:space="preserve">Since the Hospital app does not use CDK, all infrastructure is managed manually through the AWS Console.</w:t>
      </w:r>
    </w:p>
    <w:p>
      <w:pPr>
        <w:spacing w:after="0" w:before="80"/>
      </w:pPr>
      <w:r>
        <w:t xml:space="preserve"/>
      </w:r>
    </w:p>
    <w:p>
      <w:pPr>
        <w:pStyle w:val="Heading3"/>
        <w:spacing w:after="120" w:before="240"/>
      </w:pPr>
      <w:r>
        <w:rPr>
          <w:rFonts w:ascii="Arial" w:cs="Arial" w:eastAsia="Arial" w:hAnsi="Arial"/>
          <w:b/>
          <w:bCs/>
          <w:color w:val="1e293b"/>
          <w:sz w:val="24"/>
          <w:szCs w:val="24"/>
        </w:rPr>
        <w:t xml:space="preserve">Lambda Functions</w:t>
      </w:r>
    </w:p>
    <w:p>
      <w:pPr>
        <w:pStyle w:val="ListParagraph"/>
        <w:numPr>
          <w:ilvl w:val="0"/>
          <w:numId w:val="3"/>
        </w:numPr>
        <w:spacing w:after="40" w:before="40"/>
      </w:pPr>
      <w:r>
        <w:rPr>
          <w:rFonts w:ascii="Arial" w:cs="Arial" w:eastAsia="Arial" w:hAnsi="Arial"/>
          <w:color w:val="475569"/>
          <w:sz w:val="22"/>
          <w:szCs w:val="22"/>
        </w:rPr>
        <w:t xml:space="preserve">Go to AWS Console &gt; Lambda &gt; Create function</w:t>
      </w:r>
    </w:p>
    <w:p>
      <w:pPr>
        <w:pStyle w:val="ListParagraph"/>
        <w:numPr>
          <w:ilvl w:val="0"/>
          <w:numId w:val="3"/>
        </w:numPr>
        <w:spacing w:after="40" w:before="40"/>
      </w:pPr>
      <w:r>
        <w:rPr>
          <w:rFonts w:ascii="Arial" w:cs="Arial" w:eastAsia="Arial" w:hAnsi="Arial"/>
          <w:color w:val="475569"/>
          <w:sz w:val="22"/>
          <w:szCs w:val="22"/>
        </w:rPr>
        <w:t xml:space="preserve">Name: tiryaq-examinations, Runtime: Node.js 20.x</w:t>
      </w:r>
    </w:p>
    <w:p>
      <w:pPr>
        <w:pStyle w:val="ListParagraph"/>
        <w:numPr>
          <w:ilvl w:val="0"/>
          <w:numId w:val="3"/>
        </w:numPr>
        <w:spacing w:after="40" w:before="40"/>
      </w:pPr>
      <w:r>
        <w:rPr>
          <w:rFonts w:ascii="Arial" w:cs="Arial" w:eastAsia="Arial" w:hAnsi="Arial"/>
          <w:color w:val="475569"/>
          <w:sz w:val="22"/>
          <w:szCs w:val="22"/>
        </w:rPr>
        <w:t xml:space="preserve">Set environment variable: TABLE_NAME = Hospital</w:t>
      </w:r>
    </w:p>
    <w:p>
      <w:pPr>
        <w:pStyle w:val="ListParagraph"/>
        <w:numPr>
          <w:ilvl w:val="0"/>
          <w:numId w:val="3"/>
        </w:numPr>
        <w:spacing w:after="40" w:before="40"/>
      </w:pPr>
      <w:r>
        <w:rPr>
          <w:rFonts w:ascii="Arial" w:cs="Arial" w:eastAsia="Arial" w:hAnsi="Arial"/>
          <w:color w:val="475569"/>
          <w:sz w:val="22"/>
          <w:szCs w:val="22"/>
        </w:rPr>
        <w:t xml:space="preserve">Attach the same IAM role used by other Hospital Lambdas (must have DynamoDB read/write access)</w:t>
      </w:r>
    </w:p>
    <w:p>
      <w:pPr>
        <w:pStyle w:val="ListParagraph"/>
        <w:numPr>
          <w:ilvl w:val="0"/>
          <w:numId w:val="3"/>
        </w:numPr>
        <w:spacing w:after="40" w:before="40"/>
      </w:pPr>
      <w:r>
        <w:rPr>
          <w:rFonts w:ascii="Arial" w:cs="Arial" w:eastAsia="Arial" w:hAnsi="Arial"/>
          <w:color w:val="475569"/>
          <w:sz w:val="22"/>
          <w:szCs w:val="22"/>
        </w:rPr>
        <w:t xml:space="preserve">Paste the contents of examinations.js into the inline editor and Deploy</w:t>
      </w:r>
    </w:p>
    <w:p>
      <w:pPr>
        <w:pStyle w:val="ListParagraph"/>
        <w:numPr>
          <w:ilvl w:val="0"/>
          <w:numId w:val="3"/>
        </w:numPr>
        <w:spacing w:after="40" w:before="40"/>
      </w:pPr>
      <w:r>
        <w:rPr>
          <w:rFonts w:ascii="Arial" w:cs="Arial" w:eastAsia="Arial" w:hAnsi="Arial"/>
          <w:color w:val="475569"/>
          <w:sz w:val="22"/>
          <w:szCs w:val="22"/>
        </w:rPr>
        <w:t xml:space="preserve">Repeat steps 1-5 for tiryaq-audit using audit.js</w:t>
      </w:r>
    </w:p>
    <w:p>
      <w:pPr>
        <w:spacing w:after="0" w:before="160"/>
      </w:pPr>
      <w:r>
        <w:t xml:space="preserve"/>
      </w:r>
    </w:p>
    <w:p>
      <w:pPr>
        <w:pStyle w:val="Heading3"/>
        <w:spacing w:after="120" w:before="240"/>
      </w:pPr>
      <w:r>
        <w:rPr>
          <w:rFonts w:ascii="Arial" w:cs="Arial" w:eastAsia="Arial" w:hAnsi="Arial"/>
          <w:b/>
          <w:bCs/>
          <w:color w:val="1e293b"/>
          <w:sz w:val="24"/>
          <w:szCs w:val="24"/>
        </w:rPr>
        <w:t xml:space="preserve">API Gateway Routes</w:t>
      </w:r>
    </w:p>
    <w:p>
      <w:pPr>
        <w:pStyle w:val="ListParagraph"/>
        <w:numPr>
          <w:ilvl w:val="0"/>
          <w:numId w:val="3"/>
        </w:numPr>
        <w:spacing w:after="40" w:before="40"/>
      </w:pPr>
      <w:r>
        <w:rPr>
          <w:rFonts w:ascii="Arial" w:cs="Arial" w:eastAsia="Arial" w:hAnsi="Arial"/>
          <w:color w:val="475569"/>
          <w:sz w:val="22"/>
          <w:szCs w:val="22"/>
        </w:rPr>
        <w:t xml:space="preserve">Go to AWS Console &gt; API Gateway &gt; Select the Hospital HTTP API (xy829e3qw2)</w:t>
      </w:r>
    </w:p>
    <w:p>
      <w:pPr>
        <w:pStyle w:val="ListParagraph"/>
        <w:numPr>
          <w:ilvl w:val="0"/>
          <w:numId w:val="3"/>
        </w:numPr>
        <w:spacing w:after="40" w:before="40"/>
      </w:pPr>
      <w:r>
        <w:rPr>
          <w:rFonts w:ascii="Arial" w:cs="Arial" w:eastAsia="Arial" w:hAnsi="Arial"/>
          <w:color w:val="475569"/>
          <w:sz w:val="22"/>
          <w:szCs w:val="22"/>
        </w:rPr>
        <w:t xml:space="preserve">Add the following routes, each integrated with tiryaq-examinations Lambda:</w:t>
      </w:r>
    </w:p>
    <w:p>
      <w:pPr>
        <w:pStyle w:val="ListParagraph"/>
        <w:numPr>
          <w:ilvl w:val="1"/>
          <w:numId w:val="2"/>
        </w:numPr>
        <w:spacing w:after="40" w:before="40"/>
      </w:pPr>
      <w:r>
        <w:rPr>
          <w:rFonts w:ascii="Arial" w:cs="Arial" w:eastAsia="Arial" w:hAnsi="Arial"/>
          <w:color w:val="475569"/>
          <w:sz w:val="22"/>
          <w:szCs w:val="22"/>
        </w:rPr>
        <w:t xml:space="preserve">GET /examinations</w:t>
      </w:r>
    </w:p>
    <w:p>
      <w:pPr>
        <w:pStyle w:val="ListParagraph"/>
        <w:numPr>
          <w:ilvl w:val="1"/>
          <w:numId w:val="2"/>
        </w:numPr>
        <w:spacing w:after="40" w:before="40"/>
      </w:pPr>
      <w:r>
        <w:rPr>
          <w:rFonts w:ascii="Arial" w:cs="Arial" w:eastAsia="Arial" w:hAnsi="Arial"/>
          <w:color w:val="475569"/>
          <w:sz w:val="22"/>
          <w:szCs w:val="22"/>
        </w:rPr>
        <w:t xml:space="preserve">POST /examinations</w:t>
      </w:r>
    </w:p>
    <w:p>
      <w:pPr>
        <w:pStyle w:val="ListParagraph"/>
        <w:numPr>
          <w:ilvl w:val="1"/>
          <w:numId w:val="2"/>
        </w:numPr>
        <w:spacing w:after="40" w:before="40"/>
      </w:pPr>
      <w:r>
        <w:rPr>
          <w:rFonts w:ascii="Arial" w:cs="Arial" w:eastAsia="Arial" w:hAnsi="Arial"/>
          <w:color w:val="475569"/>
          <w:sz w:val="22"/>
          <w:szCs w:val="22"/>
        </w:rPr>
        <w:t xml:space="preserve">GET /examinations/{examId}</w:t>
      </w:r>
    </w:p>
    <w:p>
      <w:pPr>
        <w:pStyle w:val="ListParagraph"/>
        <w:numPr>
          <w:ilvl w:val="1"/>
          <w:numId w:val="2"/>
        </w:numPr>
        <w:spacing w:after="40" w:before="40"/>
      </w:pPr>
      <w:r>
        <w:rPr>
          <w:rFonts w:ascii="Arial" w:cs="Arial" w:eastAsia="Arial" w:hAnsi="Arial"/>
          <w:color w:val="475569"/>
          <w:sz w:val="22"/>
          <w:szCs w:val="22"/>
        </w:rPr>
        <w:t xml:space="preserve">PATCH /examinations/{examId}</w:t>
      </w:r>
    </w:p>
    <w:p>
      <w:pPr>
        <w:pStyle w:val="ListParagraph"/>
        <w:numPr>
          <w:ilvl w:val="1"/>
          <w:numId w:val="2"/>
        </w:numPr>
        <w:spacing w:after="40" w:before="40"/>
      </w:pPr>
      <w:r>
        <w:rPr>
          <w:rFonts w:ascii="Arial" w:cs="Arial" w:eastAsia="Arial" w:hAnsi="Arial"/>
          <w:color w:val="475569"/>
          <w:sz w:val="22"/>
          <w:szCs w:val="22"/>
        </w:rPr>
        <w:t xml:space="preserve">DELETE /examinations/{examId}</w:t>
      </w:r>
    </w:p>
    <w:p>
      <w:pPr>
        <w:pStyle w:val="ListParagraph"/>
        <w:numPr>
          <w:ilvl w:val="1"/>
          <w:numId w:val="2"/>
        </w:numPr>
        <w:spacing w:after="40" w:before="40"/>
      </w:pPr>
      <w:r>
        <w:rPr>
          <w:rFonts w:ascii="Arial" w:cs="Arial" w:eastAsia="Arial" w:hAnsi="Arial"/>
          <w:color w:val="475569"/>
          <w:sz w:val="22"/>
          <w:szCs w:val="22"/>
        </w:rPr>
        <w:t xml:space="preserve">POST /examinations/{examId}/signoff</w:t>
      </w:r>
    </w:p>
    <w:p>
      <w:pPr>
        <w:pStyle w:val="ListParagraph"/>
        <w:numPr>
          <w:ilvl w:val="0"/>
          <w:numId w:val="3"/>
        </w:numPr>
        <w:spacing w:after="40" w:before="40"/>
      </w:pPr>
      <w:r>
        <w:rPr>
          <w:rFonts w:ascii="Arial" w:cs="Arial" w:eastAsia="Arial" w:hAnsi="Arial"/>
          <w:color w:val="475569"/>
          <w:sz w:val="22"/>
          <w:szCs w:val="22"/>
        </w:rPr>
        <w:t xml:space="preserve">Add GET /audit integrated with tiryaq-audit Lambda</w:t>
      </w:r>
    </w:p>
    <w:p>
      <w:pPr>
        <w:pStyle w:val="ListParagraph"/>
        <w:numPr>
          <w:ilvl w:val="0"/>
          <w:numId w:val="3"/>
        </w:numPr>
        <w:spacing w:after="40" w:before="40"/>
      </w:pPr>
      <w:r>
        <w:rPr>
          <w:rFonts w:ascii="Arial" w:cs="Arial" w:eastAsia="Arial" w:hAnsi="Arial"/>
          <w:color w:val="475569"/>
          <w:sz w:val="22"/>
          <w:szCs w:val="22"/>
        </w:rPr>
        <w:t xml:space="preserve">Attach the existing Cognito JWT Authorizer to all new routes</w:t>
      </w:r>
    </w:p>
    <w:p>
      <w:pPr>
        <w:pStyle w:val="ListParagraph"/>
        <w:numPr>
          <w:ilvl w:val="0"/>
          <w:numId w:val="3"/>
        </w:numPr>
        <w:spacing w:after="40" w:before="40"/>
      </w:pPr>
      <w:r>
        <w:rPr>
          <w:rFonts w:ascii="Arial" w:cs="Arial" w:eastAsia="Arial" w:hAnsi="Arial"/>
          <w:color w:val="475569"/>
          <w:sz w:val="22"/>
          <w:szCs w:val="22"/>
        </w:rPr>
        <w:t xml:space="preserve">Click Deploy</w:t>
      </w:r>
    </w:p>
    <w:p>
      <w:pPr>
        <w:spacing w:after="0" w:before="160"/>
      </w:pPr>
      <w:r>
        <w:t xml:space="preserve"/>
      </w:r>
    </w:p>
    <w:p>
      <w:pPr>
        <w:pStyle w:val="Heading3"/>
        <w:spacing w:after="120" w:before="240"/>
      </w:pPr>
      <w:r>
        <w:rPr>
          <w:rFonts w:ascii="Arial" w:cs="Arial" w:eastAsia="Arial" w:hAnsi="Arial"/>
          <w:b/>
          <w:bCs/>
          <w:color w:val="1e293b"/>
          <w:sz w:val="24"/>
          <w:szCs w:val="24"/>
        </w:rPr>
        <w:t xml:space="preserve">DynamoDB GSI</w:t>
      </w:r>
    </w:p>
    <w:p>
      <w:pPr>
        <w:pStyle w:val="ListParagraph"/>
        <w:numPr>
          <w:ilvl w:val="0"/>
          <w:numId w:val="3"/>
        </w:numPr>
        <w:spacing w:after="40" w:before="40"/>
      </w:pPr>
      <w:r>
        <w:rPr>
          <w:rFonts w:ascii="Arial" w:cs="Arial" w:eastAsia="Arial" w:hAnsi="Arial"/>
          <w:color w:val="475569"/>
          <w:sz w:val="22"/>
          <w:szCs w:val="22"/>
        </w:rPr>
        <w:t xml:space="preserve">Go to AWS Console &gt; DynamoDB &gt; Tables &gt; Hospital &gt; Indexes</w:t>
      </w:r>
    </w:p>
    <w:p>
      <w:pPr>
        <w:pStyle w:val="ListParagraph"/>
        <w:numPr>
          <w:ilvl w:val="0"/>
          <w:numId w:val="3"/>
        </w:numPr>
        <w:spacing w:after="40" w:before="40"/>
      </w:pPr>
      <w:r>
        <w:rPr>
          <w:rFonts w:ascii="Arial" w:cs="Arial" w:eastAsia="Arial" w:hAnsi="Arial"/>
          <w:color w:val="475569"/>
          <w:sz w:val="22"/>
          <w:szCs w:val="22"/>
        </w:rPr>
        <w:t xml:space="preserve">Click Create index</w:t>
      </w:r>
    </w:p>
    <w:p>
      <w:pPr>
        <w:pStyle w:val="ListParagraph"/>
        <w:numPr>
          <w:ilvl w:val="0"/>
          <w:numId w:val="3"/>
        </w:numPr>
        <w:spacing w:after="40" w:before="40"/>
      </w:pPr>
      <w:r>
        <w:rPr>
          <w:rFonts w:ascii="Arial" w:cs="Arial" w:eastAsia="Arial" w:hAnsi="Arial"/>
          <w:color w:val="475569"/>
          <w:sz w:val="22"/>
          <w:szCs w:val="22"/>
        </w:rPr>
        <w:t xml:space="preserve">Partition key: EntityType (String), no sort key</w:t>
      </w:r>
    </w:p>
    <w:p>
      <w:pPr>
        <w:pStyle w:val="ListParagraph"/>
        <w:numPr>
          <w:ilvl w:val="0"/>
          <w:numId w:val="3"/>
        </w:numPr>
        <w:spacing w:after="40" w:before="40"/>
      </w:pPr>
      <w:r>
        <w:rPr>
          <w:rFonts w:ascii="Arial" w:cs="Arial" w:eastAsia="Arial" w:hAnsi="Arial"/>
          <w:color w:val="475569"/>
          <w:sz w:val="22"/>
          <w:szCs w:val="22"/>
        </w:rPr>
        <w:t xml:space="preserve">Index name: EntityType-index, Projection: All</w:t>
      </w:r>
    </w:p>
    <w:p>
      <w:pPr>
        <w:pStyle w:val="ListParagraph"/>
        <w:numPr>
          <w:ilvl w:val="0"/>
          <w:numId w:val="3"/>
        </w:numPr>
        <w:spacing w:after="40" w:before="40"/>
      </w:pPr>
      <w:r>
        <w:rPr>
          <w:rFonts w:ascii="Arial" w:cs="Arial" w:eastAsia="Arial" w:hAnsi="Arial"/>
          <w:color w:val="475569"/>
          <w:sz w:val="22"/>
          <w:szCs w:val="22"/>
        </w:rPr>
        <w:t xml:space="preserve">Wait 1-2 minutes for status to become Active</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9.2 Frontend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cd "C:\Users\samit\Desktop\hospital"</w:t>
            </w:r>
          </w:p>
          <w:p>
            <w:pPr>
              <w:spacing w:after="0" w:before="0"/>
            </w:pPr>
            <w:r>
              <w:rPr>
                <w:rFonts w:ascii="Courier New" w:cs="Courier New" w:eastAsia="Courier New" w:hAnsi="Courier New"/>
                <w:color w:val="a3e635"/>
                <w:sz w:val="18"/>
                <w:szCs w:val="18"/>
              </w:rPr>
              <w:t xml:space="preserve">ng build --configuration production</w:t>
            </w:r>
          </w:p>
          <w:p>
            <w:pPr>
              <w:spacing w:after="0" w:before="0"/>
            </w:pPr>
            <w:r>
              <w:rPr>
                <w:rFonts w:ascii="Courier New" w:cs="Courier New" w:eastAsia="Courier New" w:hAnsi="Courier New"/>
                <w:color w:val="a3e635"/>
                <w:sz w:val="18"/>
                <w:szCs w:val="18"/>
              </w:rPr>
              <w:t xml:space="preserve">aws s3 sync "dist\verona-ng\browser" s3://tiryaq-bucket --delete</w:t>
            </w:r>
          </w:p>
          <w:p>
            <w:pPr>
              <w:spacing w:after="0" w:before="0"/>
            </w:pPr>
            <w:r>
              <w:rPr>
                <w:rFonts w:ascii="Courier New" w:cs="Courier New" w:eastAsia="Courier New" w:hAnsi="Courier New"/>
                <w:color w:val="a3e635"/>
                <w:sz w:val="18"/>
                <w:szCs w:val="18"/>
              </w:rPr>
              <w:t xml:space="preserve">aws cloudfront create-invalidation --distribution-id E3J3D3EMIOIACT --paths "/*"</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10. Testing Checklist</w:t>
      </w:r>
    </w:p>
    <w:p>
      <w:pPr>
        <w:spacing w:after="120" w:before="80"/>
      </w:pPr>
      <w:r>
        <w:rPr>
          <w:rFonts w:ascii="Arial" w:cs="Arial" w:eastAsia="Arial" w:hAnsi="Arial"/>
          <w:color w:val="475569"/>
          <w:sz w:val="22"/>
          <w:szCs w:val="22"/>
        </w:rPr>
        <w:t xml:space="preserve">Use this checklist to verify the module is working correctly after any deployment:</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000"/>
      </w:tblGrid>
      <w:tr>
        <w:trPr>
          <w:tblHeader/>
        </w:trPr>
        <w:tc>
          <w:tcPr>
            <w:tcW w:type="dxa" w:w="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Test</w:t>
            </w:r>
          </w:p>
        </w:tc>
        <w:tc>
          <w:tcPr>
            <w:tcW w:type="dxa" w:w="5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 patient profile &gt; Examinations tab</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 loads, empty state shows, New Examination button visible for doctor role</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Click New Examination</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Navigates to /examination/:examId, 8 step navigation renders, status shows Draft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 to Diagnosis step, try Save without filling Chief Complaint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Chief complaint must be completed before adding a diagnosis</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Fill Chief Complaint, click Save Chief Complaint</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Success toast, step 0 shows green checkmark</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 to Diagnosis, search ICD-10 code (e.g. I10)</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shows matching codes with descriptions</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Add diagnosis as Primary, click Save Diagnoses</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Success toast, step 3 shows green checkmark</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Try to Sign Off with only chief complaint (no diagnosis)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 button is disabled</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With chief complaint + primary diagnosis, click Sign Off</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Confirmation dialog shown, after confirm status changes to Signed Off</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After sign off, try to edit any field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fields are disabled, save buttons hidden, green signed-off banner visible</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Go back to patient profile, check Examinations tab</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card shows date, Signed Off tag, doctor name, and chief complaint preview</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 eye icon on exam card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Navigates to detail view with 4 SOAP tabs, all sections populated</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Log in as different doctor, open same patient</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 tab is empty — doctor cannot see other doctors exams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in as admin, open same patient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exams visible regardless of which doctor created them</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Query DynamoDB: SELECT * FROM Hospital WHERE begins_with(PK, EXAM#)</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record exists with status=completed and all SOAP fields populated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DynamoDB audit partition for today</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UPDATE (per section), SIGNOFF records all present with actorEmail</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12. Compliance &amp; Certification Status</w:t>
      </w:r>
    </w:p>
    <w:p>
      <w:pPr>
        <w:spacing w:after="120" w:before="80"/>
      </w:pPr>
      <w:r>
        <w:rPr>
          <w:rFonts w:ascii="Arial" w:cs="Arial" w:eastAsia="Arial" w:hAnsi="Arial"/>
          <w:color w:val="475569"/>
          <w:sz w:val="22"/>
          <w:szCs w:val="22"/>
        </w:rPr>
        <w:t xml:space="preserve">This section describes the current status of Tiryaq against major healthcare and information security standards. It is honest about what is already in place technically, what still needs to be done, and what requires external certification bodies.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
              <w:bottom w:val="none" w:color="FFFFFF" w:sz="0"/>
              <w:right w:val="none" w:color="FFFFFF" w:sz="0"/>
            </w:tcBorders>
            <w:shd w:fill="fffbeb" w:val="clear"/>
            <w:tcMar>
              <w:top w:type="dxa" w:w="100"/>
              <w:left w:type="dxa" w:w="160"/>
              <w:bottom w:type="dxa" w:w="100"/>
              <w:right w:type="dxa" w:w="120"/>
            </w:tcMar>
          </w:tcPr>
          <w:p>
            <w:pPr>
              <w:spacing w:after="40" w:before="0"/>
            </w:pPr>
            <w:r>
              <w:rPr>
                <w:rFonts w:ascii="Arial" w:cs="Arial" w:eastAsia="Arial" w:hAnsi="Arial"/>
                <w:b/>
                <w:bCs/>
                <w:color w:val="f59e0b"/>
                <w:sz w:val="20"/>
                <w:szCs w:val="20"/>
              </w:rPr>
              <w:t xml:space="preserve">⚠  Note</w:t>
            </w:r>
          </w:p>
          <w:p>
            <w:pPr>
              <w:spacing w:after="0" w:before="0"/>
            </w:pPr>
            <w:r>
              <w:rPr>
                <w:rFonts w:ascii="Arial" w:cs="Arial" w:eastAsia="Arial" w:hAnsi="Arial"/>
                <w:color w:val="1e293b"/>
                <w:sz w:val="20"/>
                <w:szCs w:val="20"/>
              </w:rPr>
              <w:t xml:space="preserve">Technical readiness does not equal certification. Certification requires formal audits, legal agreements, policies, and third-party assessors in addition to technical controls.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12.1 HIPAA — Health Insurance Portability and Accountability Act</w:t>
      </w:r>
    </w:p>
    <w:p>
      <w:pPr>
        <w:spacing w:after="120" w:before="80"/>
      </w:pPr>
      <w:r>
        <w:rPr>
          <w:rFonts w:ascii="Arial" w:cs="Arial" w:eastAsia="Arial" w:hAnsi="Arial"/>
          <w:b/>
          <w:bCs/>
          <w:color w:val="f59e0b"/>
          <w:sz w:val="22"/>
          <w:szCs w:val="22"/>
        </w:rPr>
        <w:t xml:space="preserve">Status: </w:t>
      </w:r>
      <w:r>
        <w:rPr>
          <w:rFonts w:ascii="Arial" w:cs="Arial" w:eastAsia="Arial" w:hAnsi="Arial"/>
          <w:color w:val="475569"/>
          <w:sz w:val="22"/>
          <w:szCs w:val="22"/>
        </w:rPr>
        <w:t xml:space="preserve">Partially Ready — Technical controls in place, organizational work remaining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Trail (Access logs)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create, update, sign-off, view, and delete writes a tamper-evident audit record to DynamoDB with actor, timestamp, and change summary</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Access Control (Role-based)</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Cognito groups enforce Doctor vs Admin roles. Doctors can only access their own examination records.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Cognito handles login, JWT tokens, and session management. Tokens expire automatically.</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Data Encryption in Transit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All API calls use HTTPS. CloudFront enforces TLS.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Encryption at Rest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DynamoDB encryption at rest is enabled by default on AWS.</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Minimum Necessary Access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Doctors only see their own patients examinations. Admins see all.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BAA (Business Associate Agreement)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formal legal agreement must be signed with AWS before handling real patient data. Available through AWS Console under My Account.</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Incident Response Plan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 written plan for how to respond to a data breach must be created. This is an organizational document, not a technical 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Staff Training Records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staff who access the system must complete HIPAA privacy training and records must be kept.</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Risk Assessment Document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 formal written risk assessment of the system must be completed and updated annually.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Backup and Recovery Plan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DynamoDB has point-in-time recovery available. It must be enabled and a recovery procedure documented.</w:t>
            </w:r>
          </w:p>
        </w:tc>
      </w:tr>
    </w:tbl>
    <w:p>
      <w:pPr>
        <w:spacing w:after="0" w:before="80"/>
      </w:pPr>
      <w:r>
        <w:t xml:space="preserve"/>
      </w:r>
    </w:p>
    <w:p>
      <w:pPr>
        <w:spacing w:after="120" w:before="80"/>
      </w:pPr>
      <w:r>
        <w:rPr>
          <w:rFonts w:ascii="Arial" w:cs="Arial" w:eastAsia="Arial" w:hAnsi="Arial"/>
          <w:b/>
          <w:bCs/>
          <w:color w:val="475569"/>
          <w:sz w:val="22"/>
          <w:szCs w:val="22"/>
        </w:rPr>
        <w:t xml:space="preserve">Summary: </w:t>
      </w:r>
      <w:r>
        <w:rPr>
          <w:rFonts w:ascii="Arial" w:cs="Arial" w:eastAsia="Arial" w:hAnsi="Arial"/>
          <w:color w:val="475569"/>
          <w:sz w:val="22"/>
          <w:szCs w:val="22"/>
        </w:rPr>
        <w:t xml:space="preserve">Approximately 60% of HIPAA technical safeguards are in place. The remaining 40% is organizational: legal agreements, written policies, and staff training. HIPAA is not a certification you receive — it is an ongoing compliance obligation.</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12.2 GDPR — General Data Protection Regulation</w:t>
      </w:r>
    </w:p>
    <w:p>
      <w:pPr>
        <w:spacing w:after="120" w:before="80"/>
      </w:pPr>
      <w:r>
        <w:rPr>
          <w:rFonts w:ascii="Arial" w:cs="Arial" w:eastAsia="Arial" w:hAnsi="Arial"/>
          <w:b/>
          <w:bCs/>
          <w:color w:val="f59e0b"/>
          <w:sz w:val="22"/>
          <w:szCs w:val="22"/>
        </w:rPr>
        <w:t xml:space="preserve">Status: </w:t>
      </w:r>
      <w:r>
        <w:rPr>
          <w:rFonts w:ascii="Arial" w:cs="Arial" w:eastAsia="Arial" w:hAnsi="Arial"/>
          <w:color w:val="475569"/>
          <w:sz w:val="22"/>
          <w:szCs w:val="22"/>
        </w:rPr>
        <w:t xml:space="preserve">Partially Ready — Core controls exist, data subject rights tooling pending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Lawful basis for processing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data is collected for medical treatment. A formal consent mechanism and privacy notice are not yet implemented.</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Data minimization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Only clinically necessary data is collected. No marketing or tracking data.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control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Role-based access via Cognito ensures data is only accessible to authorized clinical staff.</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 trail</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All data access and modifications are logged with actor identity and timestamp.</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Right to Access (Data Export)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Patients must be able to request a copy of all their data. A GDPR export tool will be built in the Admin Panel.</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Right to Erasure (Right to be Forgotten)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 complete cascade delete must be implemented: patient record plus all exams, invoices, appointments, and audit records.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Breach Notification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notify supervisory authority within 72 hours of discovering a breach. Requires an incident response procedure.</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Data Processing Agreement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 formal DPA must be signed with AWS as a data processor.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EU Data Residency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serving EU patients, data must be stored in an EU AWS region. Currently deployed in us-east-1 (North Virginia).</w:t>
            </w:r>
          </w:p>
        </w:tc>
      </w:tr>
      <w:tr>
        <w:tc>
          <w:tcPr>
            <w:tcW w:type="dxa" w:w="3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Privacy Notice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 plain-language privacy notice must be displayed to patients and staff explaining how their data is used.</w:t>
            </w:r>
          </w:p>
        </w:tc>
      </w:tr>
    </w:tbl>
    <w:p>
      <w:pPr>
        <w:spacing w:after="0" w:before="80"/>
      </w:pPr>
      <w:r>
        <w:t xml:space="preserve"/>
      </w:r>
    </w:p>
    <w:p>
      <w:pPr>
        <w:spacing w:after="120" w:before="80"/>
      </w:pPr>
      <w:r>
        <w:rPr>
          <w:rFonts w:ascii="Arial" w:cs="Arial" w:eastAsia="Arial" w:hAnsi="Arial"/>
          <w:b/>
          <w:bCs/>
          <w:color w:val="475569"/>
          <w:sz w:val="22"/>
          <w:szCs w:val="22"/>
        </w:rPr>
        <w:t xml:space="preserve">Summary: </w:t>
      </w:r>
      <w:r>
        <w:rPr>
          <w:rFonts w:ascii="Arial" w:cs="Arial" w:eastAsia="Arial" w:hAnsi="Arial"/>
          <w:color w:val="475569"/>
          <w:sz w:val="22"/>
          <w:szCs w:val="22"/>
        </w:rPr>
        <w:t xml:space="preserve">GDPR compliance requires both technical tools (export, delete, consent) and legal documents (privacy notice, DPA). The Admin Panel planned for the next phase will include the data export and deletion tools.</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12.3 ICD-10</w:t>
      </w:r>
    </w:p>
    <w:p>
      <w:pPr>
        <w:spacing w:after="120" w:before="80"/>
      </w:pPr>
      <w:r>
        <w:rPr>
          <w:rFonts w:ascii="Arial" w:cs="Arial" w:eastAsia="Arial" w:hAnsi="Arial"/>
          <w:b/>
          <w:bCs/>
          <w:color w:val="16a34a"/>
          <w:sz w:val="22"/>
          <w:szCs w:val="22"/>
        </w:rPr>
        <w:t xml:space="preserve">Status: </w:t>
      </w:r>
      <w:r>
        <w:rPr>
          <w:rFonts w:ascii="Arial" w:cs="Arial" w:eastAsia="Arial" w:hAnsi="Arial"/>
          <w:color w:val="475569"/>
          <w:sz w:val="22"/>
          <w:szCs w:val="22"/>
        </w:rPr>
        <w:t xml:space="preserve">Implemented</w:t>
      </w:r>
    </w:p>
    <w:p>
      <w:pPr>
        <w:spacing w:after="0" w:before="80"/>
      </w:pPr>
      <w:r>
        <w:t xml:space="preserve"/>
      </w:r>
    </w:p>
    <w:p>
      <w:pPr>
        <w:spacing w:after="120" w:before="80"/>
      </w:pPr>
      <w:r>
        <w:rPr>
          <w:rFonts w:ascii="Arial" w:cs="Arial" w:eastAsia="Arial" w:hAnsi="Arial"/>
          <w:color w:val="475569"/>
          <w:sz w:val="22"/>
          <w:szCs w:val="22"/>
        </w:rPr>
        <w:t xml:space="preserve">ICD-10 is not a certification — it is a coding standard. Tiryaq implements it as follows:</w:t>
      </w:r>
    </w:p>
    <w:p>
      <w:pPr>
        <w:pStyle w:val="ListParagraph"/>
        <w:numPr>
          <w:ilvl w:val="0"/>
          <w:numId w:val="2"/>
        </w:numPr>
        <w:spacing w:after="40" w:before="40"/>
      </w:pPr>
      <w:r>
        <w:rPr>
          <w:rFonts w:ascii="Arial" w:cs="Arial" w:eastAsia="Arial" w:hAnsi="Arial"/>
          <w:color w:val="475569"/>
          <w:sz w:val="22"/>
          <w:szCs w:val="22"/>
        </w:rPr>
        <w:t xml:space="preserve">140 of the most commonly used ICD-10 codes are embedded as a JSON file in the frontend</w:t>
      </w:r>
    </w:p>
    <w:p>
      <w:pPr>
        <w:pStyle w:val="ListParagraph"/>
        <w:numPr>
          <w:ilvl w:val="0"/>
          <w:numId w:val="2"/>
        </w:numPr>
        <w:spacing w:after="40" w:before="40"/>
      </w:pPr>
      <w:r>
        <w:rPr>
          <w:rFonts w:ascii="Arial" w:cs="Arial" w:eastAsia="Arial" w:hAnsi="Arial"/>
          <w:color w:val="475569"/>
          <w:sz w:val="22"/>
          <w:szCs w:val="22"/>
        </w:rPr>
        <w:t xml:space="preserve">Doctors search and select ICD-10 codes for all diagnoses</w:t>
      </w:r>
    </w:p>
    <w:p>
      <w:pPr>
        <w:pStyle w:val="ListParagraph"/>
        <w:numPr>
          <w:ilvl w:val="0"/>
          <w:numId w:val="2"/>
        </w:numPr>
        <w:spacing w:after="40" w:before="40"/>
      </w:pPr>
      <w:r>
        <w:rPr>
          <w:rFonts w:ascii="Arial" w:cs="Arial" w:eastAsia="Arial" w:hAnsi="Arial"/>
          <w:color w:val="475569"/>
          <w:sz w:val="22"/>
          <w:szCs w:val="22"/>
        </w:rPr>
        <w:t xml:space="preserve">Each diagnosis stored in DynamoDB includes the code (e.g. I10) and the full description (Essential Hypertension)</w:t>
      </w:r>
    </w:p>
    <w:p>
      <w:pPr>
        <w:pStyle w:val="ListParagraph"/>
        <w:numPr>
          <w:ilvl w:val="0"/>
          <w:numId w:val="2"/>
        </w:numPr>
        <w:spacing w:after="40" w:before="40"/>
      </w:pPr>
      <w:r>
        <w:rPr>
          <w:rFonts w:ascii="Arial" w:cs="Arial" w:eastAsia="Arial" w:hAnsi="Arial"/>
          <w:color w:val="475569"/>
          <w:sz w:val="22"/>
          <w:szCs w:val="22"/>
        </w:rPr>
        <w:t xml:space="preserve">Diagnoses are classified as Primary, Secondary, or Differential — matching clinical documentation standards</w:t>
      </w:r>
    </w:p>
    <w:p>
      <w:pPr>
        <w:spacing w:after="0" w:before="80"/>
      </w:pPr>
      <w:r>
        <w:t xml:space="preserve"/>
      </w:r>
    </w:p>
    <w:p>
      <w:pPr>
        <w:spacing w:after="120" w:before="80"/>
      </w:pPr>
      <w:r>
        <w:rPr>
          <w:rFonts w:ascii="Arial" w:cs="Arial" w:eastAsia="Arial" w:hAnsi="Arial"/>
          <w:b/>
          <w:bCs/>
          <w:color w:val="f59e0b"/>
          <w:sz w:val="22"/>
          <w:szCs w:val="22"/>
        </w:rPr>
        <w:t xml:space="preserve">Limitation: </w:t>
      </w:r>
      <w:r>
        <w:rPr>
          <w:rFonts w:ascii="Arial" w:cs="Arial" w:eastAsia="Arial" w:hAnsi="Arial"/>
          <w:color w:val="475569"/>
          <w:sz w:val="22"/>
          <w:szCs w:val="22"/>
        </w:rPr>
        <w:t xml:space="preserve">The current set covers 140 common codes. The full ICD-10 dataset from CMS contains over 70,000 codes. The JSON file can be replaced with the full dataset if broader coverage is needed.</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12.4 LOINC</w:t>
      </w:r>
    </w:p>
    <w:p>
      <w:pPr>
        <w:spacing w:after="120" w:before="80"/>
      </w:pPr>
      <w:r>
        <w:rPr>
          <w:rFonts w:ascii="Arial" w:cs="Arial" w:eastAsia="Arial" w:hAnsi="Arial"/>
          <w:b/>
          <w:bCs/>
          <w:color w:val="16a34a"/>
          <w:sz w:val="22"/>
          <w:szCs w:val="22"/>
        </w:rPr>
        <w:t xml:space="preserve">Status: </w:t>
      </w:r>
      <w:r>
        <w:rPr>
          <w:rFonts w:ascii="Arial" w:cs="Arial" w:eastAsia="Arial" w:hAnsi="Arial"/>
          <w:color w:val="475569"/>
          <w:sz w:val="22"/>
          <w:szCs w:val="22"/>
        </w:rPr>
        <w:t xml:space="preserve">Implemented</w:t>
      </w:r>
    </w:p>
    <w:p>
      <w:pPr>
        <w:spacing w:after="0" w:before="80"/>
      </w:pPr>
      <w:r>
        <w:t xml:space="preserve"/>
      </w:r>
    </w:p>
    <w:p>
      <w:pPr>
        <w:spacing w:after="120" w:before="80"/>
      </w:pPr>
      <w:r>
        <w:rPr>
          <w:rFonts w:ascii="Arial" w:cs="Arial" w:eastAsia="Arial" w:hAnsi="Arial"/>
          <w:color w:val="475569"/>
          <w:sz w:val="22"/>
          <w:szCs w:val="22"/>
        </w:rPr>
        <w:t xml:space="preserve">LOINC is the global standard for lab test identification. Tiryaq implements it as follows:</w:t>
      </w:r>
    </w:p>
    <w:p>
      <w:pPr>
        <w:pStyle w:val="ListParagraph"/>
        <w:numPr>
          <w:ilvl w:val="0"/>
          <w:numId w:val="2"/>
        </w:numPr>
        <w:spacing w:after="40" w:before="40"/>
      </w:pPr>
      <w:r>
        <w:rPr>
          <w:rFonts w:ascii="Arial" w:cs="Arial" w:eastAsia="Arial" w:hAnsi="Arial"/>
          <w:color w:val="475569"/>
          <w:sz w:val="22"/>
          <w:szCs w:val="22"/>
        </w:rPr>
        <w:t xml:space="preserve">50 of the most commonly ordered lab tests are embedded with LOINC code, name, unit, and reference range</w:t>
      </w:r>
    </w:p>
    <w:p>
      <w:pPr>
        <w:pStyle w:val="ListParagraph"/>
        <w:numPr>
          <w:ilvl w:val="0"/>
          <w:numId w:val="2"/>
        </w:numPr>
        <w:spacing w:after="40" w:before="40"/>
      </w:pPr>
      <w:r>
        <w:rPr>
          <w:rFonts w:ascii="Arial" w:cs="Arial" w:eastAsia="Arial" w:hAnsi="Arial"/>
          <w:color w:val="475569"/>
          <w:sz w:val="22"/>
          <w:szCs w:val="22"/>
        </w:rPr>
        <w:t xml:space="preserve">Doctors search and select LOINC codes when ordering lab tests</w:t>
      </w:r>
    </w:p>
    <w:p>
      <w:pPr>
        <w:pStyle w:val="ListParagraph"/>
        <w:numPr>
          <w:ilvl w:val="0"/>
          <w:numId w:val="2"/>
        </w:numPr>
        <w:spacing w:after="40" w:before="40"/>
      </w:pPr>
      <w:r>
        <w:rPr>
          <w:rFonts w:ascii="Arial" w:cs="Arial" w:eastAsia="Arial" w:hAnsi="Arial"/>
          <w:color w:val="475569"/>
          <w:sz w:val="22"/>
          <w:szCs w:val="22"/>
        </w:rPr>
        <w:t xml:space="preserve">Reference ranges are displayed alongside result values in the examination detail view</w:t>
      </w:r>
    </w:p>
    <w:p>
      <w:pPr>
        <w:spacing w:after="0" w:before="80"/>
      </w:pPr>
      <w:r>
        <w:t xml:space="preserve"/>
      </w:r>
    </w:p>
    <w:p>
      <w:pPr>
        <w:spacing w:after="120" w:before="80"/>
      </w:pPr>
      <w:r>
        <w:rPr>
          <w:rFonts w:ascii="Arial" w:cs="Arial" w:eastAsia="Arial" w:hAnsi="Arial"/>
          <w:b/>
          <w:bCs/>
          <w:color w:val="f59e0b"/>
          <w:sz w:val="22"/>
          <w:szCs w:val="22"/>
        </w:rPr>
        <w:t xml:space="preserve">Limitation: </w:t>
      </w:r>
      <w:r>
        <w:rPr>
          <w:rFonts w:ascii="Arial" w:cs="Arial" w:eastAsia="Arial" w:hAnsi="Arial"/>
          <w:color w:val="475569"/>
          <w:sz w:val="22"/>
          <w:szCs w:val="22"/>
        </w:rPr>
        <w:t xml:space="preserve">The full LOINC database contains over 95,000 codes. The full database is available free from loinc.org and can replace the current JSON file.</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12.5 HL7 FHIR — Fast Healthcare Interoperability Resources</w:t>
      </w:r>
    </w:p>
    <w:p>
      <w:pPr>
        <w:spacing w:after="120" w:before="80"/>
      </w:pPr>
      <w:r>
        <w:rPr>
          <w:rFonts w:ascii="Arial" w:cs="Arial" w:eastAsia="Arial" w:hAnsi="Arial"/>
          <w:b/>
          <w:bCs/>
          <w:color w:val="94a3b8"/>
          <w:sz w:val="22"/>
          <w:szCs w:val="22"/>
        </w:rPr>
        <w:t xml:space="preserve">Status: </w:t>
      </w:r>
      <w:r>
        <w:rPr>
          <w:rFonts w:ascii="Arial" w:cs="Arial" w:eastAsia="Arial" w:hAnsi="Arial"/>
          <w:color w:val="475569"/>
          <w:sz w:val="22"/>
          <w:szCs w:val="22"/>
        </w:rPr>
        <w:t xml:space="preserve">Not started — Planned for Phase 4</w:t>
      </w:r>
    </w:p>
    <w:p>
      <w:pPr>
        <w:spacing w:after="0" w:before="80"/>
      </w:pPr>
      <w:r>
        <w:t xml:space="preserve"/>
      </w:r>
    </w:p>
    <w:p>
      <w:pPr>
        <w:spacing w:after="120" w:before="80"/>
      </w:pPr>
      <w:r>
        <w:rPr>
          <w:rFonts w:ascii="Arial" w:cs="Arial" w:eastAsia="Arial" w:hAnsi="Arial"/>
          <w:color w:val="475569"/>
          <w:sz w:val="22"/>
          <w:szCs w:val="22"/>
        </w:rPr>
        <w:t xml:space="preserve">FHIR is the modern standard for exchanging healthcare data between different systems. It enables Tiryaq to connect with other hospital systems, national health registries, insurance systems, and laboratory information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What FHIR enables</w:t>
            </w:r>
          </w:p>
        </w:tc>
        <w:tc>
          <w:tcPr>
            <w:tcW w:type="dxa" w:w="432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r>
      <w:tr>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patient records in a format any other hospital system can read</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implemented</w:t>
            </w:r>
          </w:p>
        </w:tc>
      </w:tr>
      <w:tr>
        <w:tc>
          <w:tcPr>
            <w:tcW w:type="dxa" w:w="50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Receive lab results electronically from an external laboratory system</w:t>
            </w:r>
          </w:p>
        </w:tc>
        <w:tc>
          <w:tcPr>
            <w:tcW w:type="dxa" w:w="43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Not implemented</w:t>
            </w:r>
          </w:p>
        </w:tc>
      </w:tr>
      <w:tr>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Connect to national health record systems such as Qatar NHIM</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implemented</w:t>
            </w:r>
          </w:p>
        </w:tc>
      </w:tr>
      <w:tr>
        <w:tc>
          <w:tcPr>
            <w:tcW w:type="dxa" w:w="50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Interoperability with insurance systems for automated claims</w:t>
            </w:r>
          </w:p>
        </w:tc>
        <w:tc>
          <w:tcPr>
            <w:tcW w:type="dxa" w:w="43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Not implemented</w:t>
            </w:r>
          </w:p>
        </w:tc>
      </w:tr>
    </w:tbl>
    <w:p>
      <w:pPr>
        <w:spacing w:after="0" w:before="80"/>
      </w:pPr>
      <w:r>
        <w:t xml:space="preserve"/>
      </w:r>
    </w:p>
    <w:p>
      <w:pPr>
        <w:spacing w:after="120" w:before="80"/>
      </w:pPr>
      <w:r>
        <w:rPr>
          <w:rFonts w:ascii="Arial" w:cs="Arial" w:eastAsia="Arial" w:hAnsi="Arial"/>
          <w:b/>
          <w:bCs/>
          <w:color w:val="475569"/>
          <w:sz w:val="22"/>
          <w:szCs w:val="22"/>
        </w:rPr>
        <w:t xml:space="preserve">Note: </w:t>
      </w:r>
      <w:r>
        <w:rPr>
          <w:rFonts w:ascii="Arial" w:cs="Arial" w:eastAsia="Arial" w:hAnsi="Arial"/>
          <w:color w:val="475569"/>
          <w:sz w:val="22"/>
          <w:szCs w:val="22"/>
        </w:rPr>
        <w:t xml:space="preserve">FHIR R4 compliance requires all clinical modules (Examination, Pharmacy, Laboratory, Radiology) to be completed first. Planned for Phase 4 of Tiryaq development.</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12.6 ISO 27001 / SOC 2 — Information Security Management</w:t>
      </w:r>
    </w:p>
    <w:p>
      <w:pPr>
        <w:spacing w:after="120" w:before="80"/>
      </w:pPr>
      <w:r>
        <w:rPr>
          <w:rFonts w:ascii="Arial" w:cs="Arial" w:eastAsia="Arial" w:hAnsi="Arial"/>
          <w:b/>
          <w:bCs/>
          <w:color w:val="f59e0b"/>
          <w:sz w:val="22"/>
          <w:szCs w:val="22"/>
        </w:rPr>
        <w:t xml:space="preserve">Status: </w:t>
      </w:r>
      <w:r>
        <w:rPr>
          <w:rFonts w:ascii="Arial" w:cs="Arial" w:eastAsia="Arial" w:hAnsi="Arial"/>
          <w:color w:val="475569"/>
          <w:sz w:val="22"/>
          <w:szCs w:val="22"/>
        </w:rPr>
        <w:t xml:space="preserve">Technical controls partially in place — Formal certification not started</w:t>
      </w:r>
    </w:p>
    <w:p>
      <w:pPr>
        <w:spacing w:after="0" w:before="80"/>
      </w:pPr>
      <w:r>
        <w:t xml:space="preserve"/>
      </w:r>
    </w:p>
    <w:p>
      <w:pPr>
        <w:spacing w:after="120" w:before="80"/>
      </w:pPr>
      <w:r>
        <w:rPr>
          <w:rFonts w:ascii="Arial" w:cs="Arial" w:eastAsia="Arial" w:hAnsi="Arial"/>
          <w:color w:val="475569"/>
          <w:sz w:val="22"/>
          <w:szCs w:val="22"/>
        </w:rPr>
        <w:t xml:space="preserve">ISO 27001 is an international standard for information security management systems (ISMS). SOC 2 is a US-origin audit framework for organizations handling sensitive data. Both require a formal audit by an accredited third-party assessor.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Control Area</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Evidence in Tiryaq</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Control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Cognito authentication, role-based authorization, JWT token expiry</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 Logging</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 audit trail on all examination actions stored in DynamoDB</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Encryption in Transit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HTTPS enforced by CloudFront and API Gateway</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Encryption at Rest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DynamoDB default encryption enabled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Least Privilege Access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Lambda IAM roles restrict DynamoDB access. Further hardening per operation is recommended.</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Vulnerability Management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 formal process for tracking and patching vulnerabilities in dependencies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Incident Response Plan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written incident response procedure exists</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Business Continuity</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DynamoDB PITR available but not enabled. No documented recovery 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Supplier Management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formal register of third-party suppliers and their security posture</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Security Policies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 written information security policy, acceptable use policy, or data classification policy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Internal Audit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scheduled internal security review process</w:t>
            </w:r>
          </w:p>
        </w:tc>
      </w:tr>
      <w:tr>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Certification Audit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5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Requires engagement of accredited ISO 27001 or SOC 2 assessor. Estimated timeline: 6-18 months.</w:t>
            </w:r>
          </w:p>
        </w:tc>
      </w:tr>
    </w:tbl>
    <w:p>
      <w:pPr>
        <w:spacing w:after="0" w:before="80"/>
      </w:pPr>
      <w:r>
        <w:t xml:space="preserve"/>
      </w:r>
    </w:p>
    <w:p>
      <w:pPr>
        <w:spacing w:after="120" w:before="80"/>
      </w:pPr>
      <w:r>
        <w:rPr>
          <w:rFonts w:ascii="Arial" w:cs="Arial" w:eastAsia="Arial" w:hAnsi="Arial"/>
          <w:b/>
          <w:bCs/>
          <w:color w:val="475569"/>
          <w:sz w:val="22"/>
          <w:szCs w:val="22"/>
        </w:rPr>
        <w:t xml:space="preserve">Summary: </w:t>
      </w:r>
      <w:r>
        <w:rPr>
          <w:rFonts w:ascii="Arial" w:cs="Arial" w:eastAsia="Arial" w:hAnsi="Arial"/>
          <w:color w:val="475569"/>
          <w:sz w:val="22"/>
          <w:szCs w:val="22"/>
        </w:rPr>
        <w:t xml:space="preserve">The AWS infrastructure and Tiryaq architecture provide a strong technical security foundation. However, ISO 27001 and SOC 2 require much more than technical controls. A complete ISMS including written policies, staff training, risk registers, supplier assessments, and regular internal audits must be established before pursuing certification.</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12.7 Overall Compliance Roadmap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760"/>
        <w:gridCol w:w="1700"/>
      </w:tblGrid>
      <w:tr>
        <w:trPr>
          <w:tblHeader/>
        </w:trPr>
        <w:tc>
          <w:tcPr>
            <w:tcW w:type="dxa" w:w="15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Standard</w:t>
            </w:r>
          </w:p>
        </w:tc>
        <w:tc>
          <w:tcPr>
            <w:tcW w:type="dxa" w:w="1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W w:type="dxa" w:w="3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Next Steps</w:t>
            </w:r>
          </w:p>
        </w:tc>
        <w:tc>
          <w:tcPr>
            <w:tcW w:type="dxa" w:w="17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ICD-10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Optionally expand to full CMS dataset (70,000+ codes)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w:t>
            </w:r>
          </w:p>
        </w:tc>
      </w:tr>
      <w:tr>
        <w:tc>
          <w:tcPr>
            <w:tcW w:type="dxa" w:w="15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LOINC</w:t>
            </w:r>
          </w:p>
        </w:tc>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Implemented</w:t>
            </w:r>
          </w:p>
        </w:tc>
        <w:tc>
          <w:tcPr>
            <w:tcW w:type="dxa" w:w="3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Optionally expand to full LOINC database (95,000+ codes)</w:t>
            </w:r>
          </w:p>
        </w:tc>
        <w:tc>
          <w:tcPr>
            <w:tcW w:type="dxa" w:w="17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Complete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HIPAA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 (technical)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AWS BAA, write incident response and risk assessment, train staff</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 months</w:t>
            </w:r>
          </w:p>
        </w:tc>
      </w:tr>
      <w:tr>
        <w:tc>
          <w:tcPr>
            <w:tcW w:type="dxa" w:w="15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GDPR</w:t>
            </w:r>
          </w:p>
        </w:tc>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Partial (technical)</w:t>
            </w:r>
          </w:p>
        </w:tc>
        <w:tc>
          <w:tcPr>
            <w:tcW w:type="dxa" w:w="3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Build export and delete tools in Admin Panel, write privacy notice and DPA</w:t>
            </w:r>
          </w:p>
        </w:tc>
        <w:tc>
          <w:tcPr>
            <w:tcW w:type="dxa" w:w="17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2-4 months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HL7 / FHIR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started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all clinical modules completed first, then FHIR mapping layer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4</w:t>
            </w:r>
          </w:p>
        </w:tc>
      </w:tr>
      <w:tr>
        <w:tc>
          <w:tcPr>
            <w:tcW w:type="dxa" w:w="15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ISO 27001</w:t>
            </w:r>
          </w:p>
        </w:tc>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Not started</w:t>
            </w:r>
          </w:p>
        </w:tc>
        <w:tc>
          <w:tcPr>
            <w:tcW w:type="dxa" w:w="3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Engage accredited assessor, build full ISMS with policies and procedures</w:t>
            </w:r>
          </w:p>
        </w:tc>
        <w:tc>
          <w:tcPr>
            <w:tcW w:type="dxa" w:w="17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6-18 months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 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started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Engage accredited assessor, define and evidence trust service criteria</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6-18 months</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11. Known Issues &amp;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4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liveConsumerNode crash when saving inside p-step-panel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21 + PrimeNG 21 bug: p-motion animation inside StepPanel destroys signal consumers during embedded view teardown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p-stepper replaced entirely with custom @if-based step navigation. No embedded views, no animation.</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p-steplabel / p-steplist confusion</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PrimeNG 21 uses hyphenated selectors: p-step-list, p-step-panels, p-step-panel</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Resolved: verified all selectors from PrimeNG 21 source code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401 on examination API calls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Authorization header not being sent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ExaminationService.headers() now reads JWT from sessionStorage and sends as Bearer token</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list empty after create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EntityType-index GSI not deployed</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Resolved: GSI created manually in AWS Console on Hospital table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identity unknown in Lambda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Hospital API Gateway does not pass Cognito claims through to Lambda body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doctor identity (email, name) now passed in the HTTP request body from Angular instead of extracted from JWT claims</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color w:val="94a3b8"/>
              <w:sz w:val="18"/>
              <w:szCs w:val="18"/>
            </w:rPr>
            <w:t xml:space="preserve">CONFIDENTIAL — Internal Technical Document</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color w:val="94a3b8"/>
              <w:sz w:val="18"/>
              <w:szCs w:val="18"/>
            </w:rPr>
            <w:t xml:space="preserve">Tiryaq — Examination Module Technical Documentation</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94a3b8"/>
              <w:sz w:val="18"/>
              <w:szCs w:val="18"/>
            </w:rPr>
            <w:t xml:space="preserve">v1.0.0  |  March 2026</w:t>
          </w:r>
        </w:p>
      </w:tc>
    </w:tr>
  </w:tbl>
  <w:p>
    <w:pPr>
      <w:pBdr>
        <w:bottom w:val="single" w:color="e2e8f0"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a3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2026-03-18T11:38:37.347Z</dcterms:created>
  <dcterms:modified xsi:type="dcterms:W3CDTF">2026-03-18T11:38:37.348Z</dcterms:modified>
</cp:coreProperties>
</file>

<file path=docProps/custom.xml><?xml version="1.0" encoding="utf-8"?>
<Properties xmlns="http://schemas.openxmlformats.org/officeDocument/2006/custom-properties" xmlns:vt="http://schemas.openxmlformats.org/officeDocument/2006/docPropsVTypes"/>
</file>